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38" w:type="dxa"/>
      </w:tblPr>
      <w:tblGrid>
        <w:gridCol w:w="2590"/>
        <w:gridCol w:w="2165"/>
        <w:gridCol w:w="335"/>
        <w:gridCol w:w="335"/>
        <w:gridCol w:w="335"/>
        <w:gridCol w:w="335"/>
        <w:gridCol w:w="335"/>
        <w:gridCol w:w="335"/>
        <w:gridCol w:w="335"/>
        <w:gridCol w:w="335"/>
        <w:gridCol w:w="567"/>
        <w:gridCol w:w="312"/>
        <w:gridCol w:w="312"/>
        <w:gridCol w:w="312"/>
        <w:gridCol w:w="312"/>
      </w:tblGrid>
      <w:tr>
        <w:trPr>
          <w:trHeight w:val="1" w:hRule="atLeast"/>
          <w:jc w:val="left"/>
        </w:trPr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Poznámky (Ú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č  NUJ 3 – 01)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ČO 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/SID</w:t>
            </w: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Čl. I.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Všeobecné údaje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Meno a priezvisko fyzickej osoby alebo názov právnickej osoby, ktorá je zakladate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ľom alebo zriaďovateľom účtovnej jednotky, jej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trvalý pobyt  alebo sídlo, dátum založenia alebo zriadenia účtovnej jednotky.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Názov ú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čtovnej jednotky:                            Nadácia Pro Futura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Sídlo :                                                            Študentská 1457, 069 01  Snina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Dátum založenia:                                          13.01.1997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Dátum zriadenia:                                          13.01.1997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ČO:                                                               36 150 347                   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Meno zria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ďovateľa účtovnej jednotky:       Jozefína Obšitníková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Trvalý pobyt zria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ďovateľa:                           Budovateľská 1435, 069 01  Snina</w:t>
      </w:r>
    </w:p>
    <w:p>
      <w:pPr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Informácie o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členoch štatutárnych orgánov, dozorných orgánov  a iných orgánov účtovnej jednotky; uvádzajú sa mená a priezviská členov štatutárnych orgánov, dozorných orgánov a iných orgánov účtovnej jednotky.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Štatutár – správca nadácie:                                       PhDr. Daniel Andráško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Predseda správnej rady :                                          JUDr. Iveta Bžanová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Člen správnej rady:                                                   JUDr. Viera Obšitníková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Člen správnej rady:                                                   Mgr. Zuzana Piatničková Obšitníková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Dozorná rada nadácie:                                              Ing. Marián Obšitník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5"/>
        </w:numPr>
        <w:tabs>
          <w:tab w:val="left" w:pos="720" w:leader="none"/>
        </w:tabs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Opis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činnosti, na účel ktorej bola účtovná jednotka zriadená a opis druhu podnikateľskej činnosti, ak ju účtovná jednotka vykonáva.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Nadácia Pro Futura bola zriadená za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čelom rozvíjania duchovných hodnôt, realizácie a ochrany ľudských                                  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práv a iných humanitných cie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ľov, ochrany a tvorby životného prostredia, zachovávanie prírodných a   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kultúrnych hodnôt, podpora zdravia a vzdelávania vo východoslovenskom regióne.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Opis druhu podnikate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ľskej činnosti – príjmy z prenájmu majetku nadácie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Priemerný prepo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čítaný počet zamestnancov, a z toho počet vedúcich zamestnancov účtovnej jednotky za účtovné obdobie, za ktoré sa zostavuje účtovná závierka (ďalej len „bežné účtovné obdobie“) a za bezprostredne predchádzajúce účtovné obdobie. Počet dobrovoľníkov vyslaných účtovnou jednotkou a počet dobrovoľníkov, ktorí vykonávali dobrovoľnícku činnosť pre účtovnú jednotku počas účtovného obdobia.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 ods.  4 o počte zamestnancov a dobrovoľníkov</w:t>
      </w:r>
    </w:p>
    <w:tbl>
      <w:tblPr>
        <w:tblInd w:w="240" w:type="dxa"/>
      </w:tblPr>
      <w:tblGrid>
        <w:gridCol w:w="4035"/>
        <w:gridCol w:w="2730"/>
        <w:gridCol w:w="2730"/>
      </w:tblGrid>
      <w:tr>
        <w:trPr>
          <w:trHeight w:val="1" w:hRule="atLeast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</w:tr>
      <w:tr>
        <w:trPr>
          <w:trHeight w:val="391" w:hRule="auto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Priemerný prepo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čítaný počet zamestnancov</w:t>
            </w: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391" w:hRule="auto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toho  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čet vedúcich zamestnancov</w:t>
            </w: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391" w:hRule="auto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čet dobrovoľníkov vyslaných účtovnou jednotkou </w:t>
            </w: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391" w:hRule="auto"/>
          <w:jc w:val="left"/>
        </w:trPr>
        <w:tc>
          <w:tcPr>
            <w:tcW w:w="4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čet dobrovoľníkov, ktorí vykonávali dobrovoľnícku činnosť pre účtovnú jednotku počas účtovného obdobia</w:t>
            </w: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708" w:leader="none"/>
              </w:tabs>
              <w:suppressAutoHyphens w:val="true"/>
              <w:spacing w:before="0" w:after="0" w:line="240"/>
              <w:ind w:right="0" w:left="144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numPr>
          <w:ilvl w:val="0"/>
          <w:numId w:val="33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Informácia o organizáciách v zria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ďovateľskej pôsobnosti účtovnej jednotky.</w:t>
      </w: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6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Údaje pod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 čl. I, III a IV  sa uvádzajú v textovej podobe a tabuľkovej podobe.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Čl. II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Informácie o ú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čtovných zásadách a účtovných metódach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0"/>
        </w:numPr>
        <w:tabs>
          <w:tab w:val="left" w:pos="644" w:leader="none"/>
        </w:tabs>
        <w:suppressAutoHyphens w:val="true"/>
        <w:spacing w:before="0" w:after="120" w:line="24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Informácia,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či je účtovná závierka zostavená za splnenia predpokladu, že účtovná jednotka bude nepretržite pokračovať vo svojej činnosti.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bude nepretržite pokračovať vo svojej činnosti.</w:t>
      </w:r>
    </w:p>
    <w:p>
      <w:pPr>
        <w:numPr>
          <w:ilvl w:val="0"/>
          <w:numId w:val="42"/>
        </w:numPr>
        <w:tabs>
          <w:tab w:val="left" w:pos="720" w:leader="none"/>
        </w:tabs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Zmeny 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čtovných zásad a zmeny účtovných metód s uvedením dôvodu týchto zmien a vyčíslením ich vplyvu na finančnú hodnotu majetku, záväzkov, základného imania a výsledku hospodárenia účtovnej jednotky.</w:t>
      </w:r>
    </w:p>
    <w:p>
      <w:pPr>
        <w:numPr>
          <w:ilvl w:val="0"/>
          <w:numId w:val="42"/>
        </w:numPr>
        <w:tabs>
          <w:tab w:val="left" w:pos="720" w:leader="none"/>
        </w:tabs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Spôsob oce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ňovania jednotlivých položiek majetku a záväzkov v členení na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a) dlhodobý nehmotný majetok obstaraný kúpou,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b) dlhodobý nehmotný majetok obstaraný vlastnou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činnosťou,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c) dlhodobý nehmotný majetok obstaraný iným spôsobom,</w:t>
      </w:r>
    </w:p>
    <w:p>
      <w:pPr>
        <w:spacing w:before="0" w:after="120" w:line="240"/>
        <w:ind w:right="0" w:left="585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0" w:after="120" w:line="240"/>
        <w:ind w:right="0" w:left="585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d) dlhodobý hmotný majetok obstaraný kúpou,</w:t>
      </w:r>
    </w:p>
    <w:p>
      <w:pPr>
        <w:spacing w:before="0" w:after="120" w:line="240"/>
        <w:ind w:right="0" w:left="585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Obstarávacia cena vrátane nákladov súvisiacich s obstaraním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e) dlhodobý hmotný majetok obstaraný vlastnou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činnosťou,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f) dlhodobý hmotný majetok obstaraný iným spôsobom,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g) dlhodobý finan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čný majetok,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obstarávacia cena pri nákupe a predaji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h) zásoby obstarané kúpou,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obstarávacia cena vrátane nákladov súvisiacich s obstaraním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i)  zásoby vytvorené vlastnou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činnosťou,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j)  zásoby obstarané iným spôsobom,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                              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k) poh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ľadávky,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poh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ľadávky účtovná jednotka oceňovala ich menovitou hodnotou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l) krátkodobý finan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čný majetok,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krátkodobý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čný majetok účtovná jednotka oceňovala jeho menovitou hodnotou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m)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časové rozlíšenie na strane aktív,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časové rozlíšenie na strane aktív účtovná jednotka oceňovala ich „očakávanou“ menovitou hodnotou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n) záväzky vrátane rezerv, dlhopisov, pôži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čiek a úverov,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záväzky, vrátane rezerv, dlhopisov, pôži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čiek a úverov účtovná jednotka oceňovala ich menovitou              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 hodnotou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o)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časové rozlíšenie na strane pasív,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časové rozlíšenie na strane pasív účtovná jednotka ich oceňovala „očakávanou“ menovitou hodnotou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p) deriváty,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r) majetok a záväzky zabezpe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čené derivátmi.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6"/>
        </w:numPr>
        <w:tabs>
          <w:tab w:val="left" w:pos="720" w:leader="none"/>
        </w:tabs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Spôsob zostavenia odpisového plánu pre jednotlivé druhy dlhodobého hmotného majetku  a dlhodobého nehmotného majetku, pri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čom sa uvádza doba odpisovania, použité sadzby odpisov a odpisové metódy pri určení účtovných odpisov.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              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Odpisový plán ú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čtovných odpisov hmotného majetku účtovná jednotka zostavila interným predpisom, v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                 ktorom vychádza z predpokladaného opotrebenia zara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ďovaného majetku zodpovedajúceho bežným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                 podmienkam jeho použitia. Odpisové sadzby pre ú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čtovné a daňové odpisy sa nerovnajú.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>
        <w:tblInd w:w="55" w:type="dxa"/>
      </w:tblPr>
      <w:tblGrid>
        <w:gridCol w:w="1323"/>
        <w:gridCol w:w="1515"/>
        <w:gridCol w:w="1843"/>
        <w:gridCol w:w="2301"/>
      </w:tblGrid>
      <w:tr>
        <w:trPr>
          <w:trHeight w:val="1" w:hRule="atLeast"/>
          <w:jc w:val="center"/>
        </w:trPr>
        <w:tc>
          <w:tcPr>
            <w:tcW w:w="1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Druh majetku</w:t>
            </w: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Doba odpisovania</w:t>
            </w:r>
          </w:p>
        </w:tc>
        <w:tc>
          <w:tcPr>
            <w:tcW w:w="18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Sadzba odpisov</w:t>
            </w:r>
          </w:p>
        </w:tc>
        <w:tc>
          <w:tcPr>
            <w:tcW w:w="23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Odpisová metóda</w:t>
            </w:r>
          </w:p>
        </w:tc>
      </w:tr>
      <w:tr>
        <w:trPr>
          <w:trHeight w:val="1" w:hRule="atLeast"/>
          <w:jc w:val="center"/>
        </w:trPr>
        <w:tc>
          <w:tcPr>
            <w:tcW w:w="13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Stavby, budovy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40 rokov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Rovnomerné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odpisovanie</w:t>
            </w:r>
          </w:p>
        </w:tc>
        <w:tc>
          <w:tcPr>
            <w:tcW w:w="230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Rovnomerné odpisovanie – da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ňové odpisy</w:t>
            </w:r>
          </w:p>
        </w:tc>
      </w:tr>
      <w:tr>
        <w:trPr>
          <w:trHeight w:val="1" w:hRule="atLeast"/>
          <w:jc w:val="center"/>
        </w:trPr>
        <w:tc>
          <w:tcPr>
            <w:tcW w:w="13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Stavby, budovy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 percent ro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čne</w:t>
            </w:r>
          </w:p>
        </w:tc>
        <w:tc>
          <w:tcPr>
            <w:tcW w:w="230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Pod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ľa času – účtovné odpisy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(5) Zásady pre zoh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ľadnenie zníženia hodnoty majetku.</w:t>
      </w: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Čl. III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Informácie, ktoré dop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ĺňajú a vysvetľujú údaje v súvahe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(1)  Údaje o dlhodobom nehmotnom majetku a dlhodobom hmotnom majetku za bežné 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čtovné obdobie, a to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a) 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b) 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c) 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o zostatkových cenách dlhodobého majetku na začiatku bežného účtovného obdobia a na konci bežného účtovného obdobia.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 k čl. III ods. 1 o stave a pohybe dlhodobého nehmotného majetku a dlhodobého hmotného majetku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č. 1</w:t>
      </w:r>
    </w:p>
    <w:tbl>
      <w:tblPr>
        <w:tblInd w:w="28" w:type="dxa"/>
      </w:tblPr>
      <w:tblGrid>
        <w:gridCol w:w="2377"/>
        <w:gridCol w:w="1871"/>
        <w:gridCol w:w="1871"/>
        <w:gridCol w:w="1871"/>
        <w:gridCol w:w="1871"/>
        <w:gridCol w:w="1871"/>
        <w:gridCol w:w="1871"/>
        <w:gridCol w:w="1262"/>
      </w:tblGrid>
      <w:tr>
        <w:trPr>
          <w:trHeight w:val="1" w:hRule="atLeast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Nehmotné výsledky z vývojovej a obdobnej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činnosti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Softvér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Ocenite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ľné práva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Ostatný dlhodobý nehmotný majetok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Obstaranie dlhodobého nehmotného majetku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Poskytnuté preddavky na dlhodobý nehmotný majetok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Spolu</w:t>
            </w:r>
          </w:p>
        </w:tc>
      </w:tr>
      <w:tr>
        <w:trPr>
          <w:trHeight w:val="1" w:hRule="atLeast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Prvotné ocenenie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- stav na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2" w:hRule="auto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  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 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presuny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–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1" w:hRule="auto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  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 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Opravné položky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– stav na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9" w:hRule="auto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  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 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1486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Zostatková hodnota</w:t>
            </w:r>
          </w:p>
        </w:tc>
      </w:tr>
      <w:tr>
        <w:trPr>
          <w:trHeight w:val="361" w:hRule="auto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1" w:hRule="auto"/>
          <w:jc w:val="left"/>
        </w:trPr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ľka č. 2</w:t>
      </w:r>
    </w:p>
    <w:tbl>
      <w:tblPr>
        <w:tblInd w:w="28" w:type="dxa"/>
      </w:tblPr>
      <w:tblGrid>
        <w:gridCol w:w="1944"/>
        <w:gridCol w:w="263"/>
        <w:gridCol w:w="963"/>
        <w:gridCol w:w="1231"/>
        <w:gridCol w:w="1209"/>
        <w:gridCol w:w="1246"/>
        <w:gridCol w:w="1243"/>
        <w:gridCol w:w="1439"/>
        <w:gridCol w:w="1226"/>
        <w:gridCol w:w="1228"/>
        <w:gridCol w:w="1249"/>
        <w:gridCol w:w="1242"/>
        <w:gridCol w:w="1222"/>
      </w:tblGrid>
      <w:tr>
        <w:trPr>
          <w:trHeight w:val="1" w:hRule="atLeast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Pozemky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Umelecké diela a zbierky</w:t>
            </w: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Stavby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Samostatné hnute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ľné veci a súbory hnuteľných vecí</w:t>
            </w: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Dopravné prostriedky</w:t>
            </w: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Pestovate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ľské celky trvalých porastov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Základné stádo a 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ťažné zvieratá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Drobný a ostatný dlhodobý hmotný majetok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Obstaranie dlhodobého hmotného majetku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Poskytnuté preddavky na dlhodobý hmotný majetok</w:t>
            </w: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Spolu</w:t>
            </w:r>
          </w:p>
        </w:tc>
      </w:tr>
      <w:tr>
        <w:trPr>
          <w:trHeight w:val="1" w:hRule="atLeast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Prvotné ocenenie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- stav na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24591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76104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8580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109275</w:t>
            </w:r>
          </w:p>
        </w:tc>
      </w:tr>
      <w:tr>
        <w:trPr>
          <w:trHeight w:val="359" w:hRule="auto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  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 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presuny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24591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76104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8580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109275</w:t>
            </w:r>
          </w:p>
        </w:tc>
      </w:tr>
      <w:tr>
        <w:trPr>
          <w:trHeight w:val="1" w:hRule="atLeast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–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38520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8580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47100</w:t>
            </w:r>
          </w:p>
        </w:tc>
      </w:tr>
      <w:tr>
        <w:trPr>
          <w:trHeight w:val="291" w:hRule="auto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  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3805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3805</w:t>
            </w:r>
          </w:p>
        </w:tc>
      </w:tr>
      <w:tr>
        <w:trPr>
          <w:trHeight w:val="284" w:hRule="auto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 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8580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8580</w:t>
            </w:r>
          </w:p>
        </w:tc>
      </w:tr>
      <w:tr>
        <w:trPr>
          <w:trHeight w:val="1" w:hRule="atLeast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42325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42325</w:t>
            </w:r>
          </w:p>
        </w:tc>
      </w:tr>
      <w:tr>
        <w:trPr>
          <w:trHeight w:val="1" w:hRule="atLeast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Opravné položky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– stav na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9" w:hRule="auto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  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 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2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1" w:hRule="auto"/>
          <w:jc w:val="left"/>
        </w:trPr>
        <w:tc>
          <w:tcPr>
            <w:tcW w:w="1570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Zostatková hodnota</w:t>
            </w:r>
          </w:p>
        </w:tc>
      </w:tr>
      <w:tr>
        <w:trPr>
          <w:trHeight w:val="361" w:hRule="auto"/>
          <w:jc w:val="left"/>
        </w:trPr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12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24591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37584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62175</w:t>
            </w:r>
          </w:p>
        </w:tc>
      </w:tr>
      <w:tr>
        <w:trPr>
          <w:trHeight w:val="361" w:hRule="auto"/>
          <w:jc w:val="left"/>
        </w:trPr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12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24591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33779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58370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7"/>
        </w:numPr>
        <w:tabs>
          <w:tab w:val="left" w:pos="644" w:leader="none"/>
        </w:tabs>
        <w:suppressAutoHyphens w:val="true"/>
        <w:spacing w:before="0" w:after="120" w:line="24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dlhodobého majetku, na ktorý je zriadené záložné právo a dlhodobého majetku, pri ktorom má účtovná jednotka obmedzené právo s ním nakladať.</w:t>
      </w: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zriadené žiadne záložné právo na dlhodobý majetok.</w:t>
      </w:r>
    </w:p>
    <w:p>
      <w:pPr>
        <w:numPr>
          <w:ilvl w:val="0"/>
          <w:numId w:val="199"/>
        </w:numPr>
        <w:tabs>
          <w:tab w:val="left" w:pos="644" w:leader="none"/>
        </w:tabs>
        <w:suppressAutoHyphens w:val="true"/>
        <w:spacing w:before="0" w:after="120" w:line="24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Údaje o spôsobe a výške poistenia dlhodobého nehmotného majetku a dlhodobého hmotného majetku.</w:t>
      </w: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poistený dlhodobý hmotný majetok.</w:t>
      </w: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01"/>
        </w:numPr>
        <w:tabs>
          <w:tab w:val="left" w:pos="644" w:leader="none"/>
        </w:tabs>
        <w:suppressAutoHyphens w:val="true"/>
        <w:spacing w:before="0" w:after="120" w:line="24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Údaje o štruktúre dlhodobého finan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čného majetku za bežné účtovné obdobie a jeho umiestnenie v členení podľa položiek súvahy a o zmenách, ktoré sa uskutočnili v priebehu bežného účtovného obdobia v jednotlivých položkách dlhodobého  finančného  majetku.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4  o zmenách jednotlivých položiek dlhodobého finančného majetku</w:t>
      </w:r>
    </w:p>
    <w:tbl>
      <w:tblPr>
        <w:tblInd w:w="30" w:type="dxa"/>
      </w:tblPr>
      <w:tblGrid>
        <w:gridCol w:w="2894"/>
        <w:gridCol w:w="2127"/>
        <w:gridCol w:w="1984"/>
        <w:gridCol w:w="1701"/>
        <w:gridCol w:w="1533"/>
        <w:gridCol w:w="1302"/>
        <w:gridCol w:w="1418"/>
        <w:gridCol w:w="1303"/>
        <w:gridCol w:w="1012"/>
      </w:tblGrid>
      <w:tr>
        <w:trPr>
          <w:trHeight w:val="1393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Podielové cenné papiere a podiely v obchodnej spolo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čnosti v ovládanej osobe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Podielové cenné papiere a podiely v obchodnej spolo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čnosti s podstatným vplyvom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Dlhové cenné papiere držané do splatnosti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Pôži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čky podnikom v skupine a ostatné pôžičky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Ostatný dlhodobý 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čný majetok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Obstaranie dlhodobého 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čného majetku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Poskytnuté preddavky na dlhodobý 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čný  majetok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Spolu</w:t>
            </w:r>
          </w:p>
        </w:tc>
      </w:tr>
      <w:tr>
        <w:trPr>
          <w:trHeight w:val="278" w:hRule="auto"/>
          <w:jc w:val="left"/>
        </w:trPr>
        <w:tc>
          <w:tcPr>
            <w:tcW w:w="1527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Prvotné ocenenie</w:t>
            </w:r>
          </w:p>
        </w:tc>
      </w:tr>
      <w:tr>
        <w:trPr>
          <w:trHeight w:val="278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  na 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4979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4979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9958</w:t>
            </w:r>
          </w:p>
        </w:tc>
      </w:tr>
      <w:tr>
        <w:trPr>
          <w:trHeight w:val="278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Presuny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 na 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4979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4979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9958</w:t>
            </w:r>
          </w:p>
        </w:tc>
      </w:tr>
      <w:tr>
        <w:trPr>
          <w:trHeight w:val="278" w:hRule="auto"/>
          <w:jc w:val="left"/>
        </w:trPr>
        <w:tc>
          <w:tcPr>
            <w:tcW w:w="1527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Opravné položky</w:t>
            </w:r>
          </w:p>
        </w:tc>
      </w:tr>
      <w:tr>
        <w:trPr>
          <w:trHeight w:val="278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 na 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4979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4979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9958</w:t>
            </w:r>
          </w:p>
        </w:tc>
      </w:tr>
      <w:tr>
        <w:trPr>
          <w:trHeight w:val="278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 na 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4979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4979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9958</w:t>
            </w:r>
          </w:p>
        </w:tc>
      </w:tr>
      <w:tr>
        <w:trPr>
          <w:trHeight w:val="278" w:hRule="auto"/>
          <w:jc w:val="left"/>
        </w:trPr>
        <w:tc>
          <w:tcPr>
            <w:tcW w:w="1527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Zostatková hodnota </w:t>
            </w:r>
          </w:p>
        </w:tc>
      </w:tr>
      <w:tr>
        <w:trPr>
          <w:trHeight w:val="278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 na 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4979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4979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9958</w:t>
            </w:r>
          </w:p>
        </w:tc>
      </w:tr>
      <w:tr>
        <w:trPr>
          <w:trHeight w:val="290" w:hRule="auto"/>
          <w:jc w:val="left"/>
        </w:trPr>
        <w:tc>
          <w:tcPr>
            <w:tcW w:w="2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 na konci bežného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ľka k čl. III ods. 4 o štruktúre dlhodobého finančného majetku </w:t>
      </w:r>
    </w:p>
    <w:tbl>
      <w:tblPr>
        <w:tblInd w:w="38" w:type="dxa"/>
      </w:tblPr>
      <w:tblGrid>
        <w:gridCol w:w="1631"/>
        <w:gridCol w:w="2127"/>
        <w:gridCol w:w="2551"/>
        <w:gridCol w:w="1701"/>
        <w:gridCol w:w="2552"/>
        <w:gridCol w:w="2268"/>
        <w:gridCol w:w="2410"/>
      </w:tblGrid>
      <w:tr>
        <w:trPr>
          <w:trHeight w:val="399" w:hRule="auto"/>
          <w:jc w:val="left"/>
        </w:trPr>
        <w:tc>
          <w:tcPr>
            <w:tcW w:w="16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Názov spolo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čnosti</w:t>
            </w: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Podiel na základnom imaní (v %)</w:t>
            </w:r>
          </w:p>
        </w:tc>
        <w:tc>
          <w:tcPr>
            <w:tcW w:w="25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Podiel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čtovnej jednotky na hlasovacích právach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(v %)</w:t>
            </w:r>
          </w:p>
        </w:tc>
        <w:tc>
          <w:tcPr>
            <w:tcW w:w="42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Hodnota vlastného imania ku koncu</w:t>
            </w:r>
          </w:p>
        </w:tc>
        <w:tc>
          <w:tcPr>
            <w:tcW w:w="4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čtovná hodnota ku koncu</w:t>
            </w:r>
          </w:p>
        </w:tc>
      </w:tr>
      <w:tr>
        <w:trPr>
          <w:trHeight w:val="1073" w:hRule="auto"/>
          <w:jc w:val="left"/>
        </w:trPr>
        <w:tc>
          <w:tcPr>
            <w:tcW w:w="16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283" w:hRule="auto"/>
          <w:jc w:val="left"/>
        </w:trPr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5"/>
        </w:numPr>
        <w:tabs>
          <w:tab w:val="left" w:pos="644" w:leader="none"/>
        </w:tabs>
        <w:suppressAutoHyphens w:val="true"/>
        <w:spacing w:before="0" w:after="120" w:line="24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Informácia o výške tvorby, zníženia a zú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čtovania opravných položiek k dlhodobému finančnému majetku a opis dôvodu ich tvorby, zníženia a zúčtovania.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(6)   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o významných položkách krátkodobého finančného majetku a  o ocenení krátkodobého finančného majetku  reálnou hodnotou ku dňu, ku ktorému sa zostavuje účtovná závierka, pričom sa uvádza  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vplyv takéhoto ocenenia na výsledok hospodárenia 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čtovnej jednotky.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6 o položkách krátkodobého finančného majetku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č. 1 </w:t>
      </w:r>
    </w:p>
    <w:tbl>
      <w:tblPr>
        <w:tblInd w:w="28" w:type="dxa"/>
      </w:tblPr>
      <w:tblGrid>
        <w:gridCol w:w="3055"/>
        <w:gridCol w:w="3394"/>
        <w:gridCol w:w="1985"/>
        <w:gridCol w:w="2268"/>
        <w:gridCol w:w="3563"/>
      </w:tblGrid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Krátkodobý 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čný majetok</w:t>
            </w: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</w:t>
            </w:r>
          </w:p>
        </w:tc>
        <w:tc>
          <w:tcPr>
            <w:tcW w:w="3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Majetkové cenné papiere na obchodovanie</w:t>
            </w: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Dlhové cenné papiere na obchodovanie </w:t>
            </w: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Dlhové cenné papiere so splatnos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ťou do jedného roka držané do splatnosti </w:t>
            </w: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Ostatné realizovate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ľné cenné papiere</w:t>
            </w: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Obstarávanie krátkodobého 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čného majetku</w:t>
            </w: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Krátkodobý 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čný majetok spolu</w:t>
            </w: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č. 2</w:t>
      </w:r>
    </w:p>
    <w:tbl>
      <w:tblPr>
        <w:tblInd w:w="28" w:type="dxa"/>
      </w:tblPr>
      <w:tblGrid>
        <w:gridCol w:w="3819"/>
        <w:gridCol w:w="2914"/>
        <w:gridCol w:w="4252"/>
        <w:gridCol w:w="3280"/>
      </w:tblGrid>
      <w:tr>
        <w:trPr>
          <w:trHeight w:val="1" w:hRule="atLeast"/>
          <w:jc w:val="left"/>
        </w:trPr>
        <w:tc>
          <w:tcPr>
            <w:tcW w:w="3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Krátkodobý 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čný  majetok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Zvýšenie/ zníženie hodnoty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(+/-)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Vplyv ocenenia na výsledok hospodárenia 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Vplyv ocenenia na vlastné imanie</w:t>
            </w:r>
          </w:p>
        </w:tc>
      </w:tr>
      <w:tr>
        <w:trPr>
          <w:trHeight w:val="1" w:hRule="atLeast"/>
          <w:jc w:val="left"/>
        </w:trPr>
        <w:tc>
          <w:tcPr>
            <w:tcW w:w="3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Majetkové cenné papiere na obchodovanie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Dlhové cenné papiere na obchodovanie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Ostatné realizovate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ľné cenné papiere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Krátkodobý 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čný  majetok spolu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03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 opravných položiek k zásobám,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zásobám.</w:t>
      </w:r>
    </w:p>
    <w:p>
      <w:pPr>
        <w:spacing w:before="0" w:after="12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7 o vývoji opravných položiek k zásobám </w:t>
      </w:r>
    </w:p>
    <w:tbl>
      <w:tblPr>
        <w:tblInd w:w="28" w:type="dxa"/>
      </w:tblPr>
      <w:tblGrid>
        <w:gridCol w:w="2197"/>
        <w:gridCol w:w="2551"/>
        <w:gridCol w:w="2410"/>
        <w:gridCol w:w="2126"/>
        <w:gridCol w:w="2268"/>
        <w:gridCol w:w="2713"/>
      </w:tblGrid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Druh zásob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Tvorba opravnej položky (zvýšenie)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Zníženie opravnej položky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čtovanie  opravnej položky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Nedokon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čená výroba  a polotovary vlastnej výroby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Výrobky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Zvieratá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Tovar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9" w:hRule="auto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Poskytnutý preddavok na zásoby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Zásoby spolu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33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Opis významných poh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ľadávok v nadväznosti na položky súvahy a v členení na pohľadávky za hlavnú činnosť a podnikateľskú činnosť.</w:t>
      </w:r>
    </w:p>
    <w:tbl>
      <w:tblPr/>
      <w:tblGrid>
        <w:gridCol w:w="3030"/>
        <w:gridCol w:w="1995"/>
        <w:gridCol w:w="2613"/>
        <w:gridCol w:w="6645"/>
      </w:tblGrid>
      <w:tr>
        <w:trPr>
          <w:trHeight w:val="1" w:hRule="atLeast"/>
          <w:jc w:val="left"/>
        </w:trPr>
        <w:tc>
          <w:tcPr>
            <w:tcW w:w="3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ľadávky z obchodného styku 311, 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Riadok súvahy 043</w:t>
            </w: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Suma 2209,89 eur</w:t>
            </w:r>
          </w:p>
        </w:tc>
        <w:tc>
          <w:tcPr>
            <w:tcW w:w="6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podnikate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ľská zdaňovaná činnosť</w:t>
            </w:r>
          </w:p>
        </w:tc>
      </w:tr>
    </w:tbl>
    <w:p>
      <w:pPr>
        <w:numPr>
          <w:ilvl w:val="0"/>
          <w:numId w:val="343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 opravných položiek k pohľadávkam,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pohľadávkam.</w:t>
      </w:r>
    </w:p>
    <w:p>
      <w:pPr>
        <w:spacing w:before="0" w:after="12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9  o vývoji opravných položiek k pohľadávkam</w:t>
      </w:r>
    </w:p>
    <w:tbl>
      <w:tblPr>
        <w:tblInd w:w="28" w:type="dxa"/>
      </w:tblPr>
      <w:tblGrid>
        <w:gridCol w:w="2197"/>
        <w:gridCol w:w="2551"/>
        <w:gridCol w:w="2410"/>
        <w:gridCol w:w="2126"/>
        <w:gridCol w:w="2268"/>
        <w:gridCol w:w="2713"/>
      </w:tblGrid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Druh poh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ľadávok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Tvorba opravnej položky (zvýšenie)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Zníženie opravnej položky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čtovanie  opravnej položky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ľadávky z obchodného styku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Ostatné poh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ľadávky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ľadávky voči účastníkom združení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Iné poh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ľadávky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ľadávky spolu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69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 pohľadávok do lehoty splatnosti a po lehote splatnosti.</w:t>
      </w: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10  o pohľadávkach do lehoty splatnosti a po lehote splatnosti </w:t>
      </w:r>
    </w:p>
    <w:tbl>
      <w:tblPr>
        <w:tblInd w:w="574" w:type="dxa"/>
      </w:tblPr>
      <w:tblGrid>
        <w:gridCol w:w="4323"/>
        <w:gridCol w:w="3827"/>
        <w:gridCol w:w="4414"/>
      </w:tblGrid>
      <w:tr>
        <w:trPr>
          <w:trHeight w:val="397" w:hRule="auto"/>
          <w:jc w:val="left"/>
        </w:trPr>
        <w:tc>
          <w:tcPr>
            <w:tcW w:w="43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</w:t>
            </w:r>
          </w:p>
        </w:tc>
      </w:tr>
      <w:tr>
        <w:trPr>
          <w:trHeight w:val="1" w:hRule="atLeast"/>
          <w:jc w:val="left"/>
        </w:trPr>
        <w:tc>
          <w:tcPr>
            <w:tcW w:w="4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1" w:hRule="atLeast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ľadávky do lehoty splatnosti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131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262</w:t>
            </w:r>
          </w:p>
        </w:tc>
      </w:tr>
      <w:tr>
        <w:trPr>
          <w:trHeight w:val="1" w:hRule="atLeast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ľadávky po lehote splatnosti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2079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ľadávky spolu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2210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262</w:t>
            </w:r>
          </w:p>
        </w:tc>
      </w:tr>
    </w:tbl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7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významných položiek časového rozlíšenia nákladov budúcich období a príjmov budúcich období.</w:t>
      </w:r>
    </w:p>
    <w:tbl>
      <w:tblPr>
        <w:tblInd w:w="574" w:type="dxa"/>
      </w:tblPr>
      <w:tblGrid>
        <w:gridCol w:w="4323"/>
        <w:gridCol w:w="3827"/>
        <w:gridCol w:w="4414"/>
      </w:tblGrid>
      <w:tr>
        <w:trPr>
          <w:trHeight w:val="397" w:hRule="auto"/>
          <w:jc w:val="left"/>
        </w:trPr>
        <w:tc>
          <w:tcPr>
            <w:tcW w:w="43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</w:t>
            </w:r>
          </w:p>
        </w:tc>
      </w:tr>
      <w:tr>
        <w:trPr>
          <w:trHeight w:val="1" w:hRule="atLeast"/>
          <w:jc w:val="left"/>
        </w:trPr>
        <w:tc>
          <w:tcPr>
            <w:tcW w:w="4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1" w:hRule="atLeast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Náklady budúcich období (381)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Príjmy budúcich období (385)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(12) Opis a výška zmien vlastných zdrojov krytia neobežného majetku a obežného majetku pod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 položiek súvahy za bežné účtovné obdobie, a to </w:t>
      </w:r>
    </w:p>
    <w:p>
      <w:pPr>
        <w:spacing w:before="120" w:after="120" w:line="240"/>
        <w:ind w:right="0" w:left="180" w:hanging="18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a) opis základného imania, nada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čného imania v nadáciách, výška vkladov zakladateľov alebo zriaďovateľov, prioritný majetok v neziskových organizáciách poskytujúcich všeobecne prospešné služby, prevody zdrojov z fondov účtovnej jednotky a podobne; za jednotlivé položky sa uvádza stav na začiatku bežného účtovného obdobia, jednotlivé prírastky, úbytky, presuny a zostatok na konci bežného účtovného obdobia,</w:t>
      </w:r>
    </w:p>
    <w:p>
      <w:pPr>
        <w:spacing w:before="0" w:after="120" w:line="240"/>
        <w:ind w:right="0" w:left="142" w:hanging="142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b) opis jednotlivých druhov fondov, ktoré tvorí 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čtovná jednotka, stav na začiatku bežného účtovného obdobia, prírastky, úbytky, presuny a zostatok na konci bežného účtovného obdobia.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12 o zmenách vlastných zdrojov krytia neobežného majetku a obežného majetku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</w:p>
    <w:tbl>
      <w:tblPr>
        <w:tblInd w:w="28" w:type="dxa"/>
      </w:tblPr>
      <w:tblGrid>
        <w:gridCol w:w="2622"/>
        <w:gridCol w:w="2977"/>
        <w:gridCol w:w="1984"/>
        <w:gridCol w:w="1843"/>
        <w:gridCol w:w="1984"/>
        <w:gridCol w:w="2855"/>
      </w:tblGrid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(+)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(-)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Presuny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(+, -)</w:t>
            </w: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391" w:hRule="auto"/>
          <w:jc w:val="left"/>
        </w:trPr>
        <w:tc>
          <w:tcPr>
            <w:tcW w:w="1426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Imanie a fondy</w:t>
            </w:r>
          </w:p>
        </w:tc>
      </w:tr>
      <w:tr>
        <w:trPr>
          <w:trHeight w:val="391" w:hRule="auto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Základné imanie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6639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6639</w:t>
            </w:r>
          </w:p>
        </w:tc>
      </w:tr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toho: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nada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čné imanie v nadácii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6639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6639</w:t>
            </w:r>
          </w:p>
        </w:tc>
      </w:tr>
      <w:tr>
        <w:trPr>
          <w:trHeight w:val="391" w:hRule="auto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vklady zakladate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ľov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" w:hRule="auto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prioritný majetok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Fondy tvorené pod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ľa osobitného predpisu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" w:hRule="auto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Fond reprodukcie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Oce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ňovacie rozdiely z precenenia majetku a záväzkov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Oce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ňovacie rozdiely z precenenia kapitálových účastín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" w:hRule="auto"/>
          <w:jc w:val="left"/>
        </w:trPr>
        <w:tc>
          <w:tcPr>
            <w:tcW w:w="1426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Fondy zo zisku</w:t>
            </w:r>
          </w:p>
        </w:tc>
      </w:tr>
      <w:tr>
        <w:trPr>
          <w:trHeight w:val="391" w:hRule="auto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Rezervný fond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" w:hRule="auto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Fondy tvorené zo zisku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" w:hRule="auto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Ostatné fondy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Nevysporiadaný výsledok hospodárenia minulých rokov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123167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-5093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118074</w:t>
            </w:r>
          </w:p>
        </w:tc>
      </w:tr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Výsledok hospodárenia za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-5093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-15340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-20433</w:t>
            </w:r>
          </w:p>
        </w:tc>
      </w:tr>
      <w:tr>
        <w:trPr>
          <w:trHeight w:val="391" w:hRule="auto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Spolu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124713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-20433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104280</w:t>
            </w:r>
          </w:p>
        </w:tc>
      </w:tr>
    </w:tbl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84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Informácia o rozdelení 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čtovného zisku alebo vysporiadaní účtovnej straty vykázanej v minulých účtovných obdobiach.</w:t>
      </w: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13 o rozdelení účtovného zisku alebo vysporiadaní účtovnej straty</w:t>
      </w:r>
    </w:p>
    <w:tbl>
      <w:tblPr>
        <w:tblInd w:w="664" w:type="dxa"/>
      </w:tblPr>
      <w:tblGrid>
        <w:gridCol w:w="6487"/>
        <w:gridCol w:w="4983"/>
      </w:tblGrid>
      <w:tr>
        <w:trPr>
          <w:trHeight w:val="2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Názov položky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</w:tr>
      <w:tr>
        <w:trPr>
          <w:trHeight w:val="277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čtovný zisk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1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Rozdelenie 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čtovného zisku</w:t>
            </w: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Prídel do základného imania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Prídel do f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ondu tvoreného pod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ľa osobitného predpisu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Prídel do fondu reprodukcie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Prídel do rezervného fondu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Prídel do fondu tvoreného zo zisku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Prídel do ostatných fondov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Úhrada straty minulých období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Prevod do sociálneho fondu 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Prevod  do 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evysporiadaného výsledku hospodárenia minulých rokov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-20433</w:t>
            </w:r>
          </w:p>
        </w:tc>
      </w:tr>
      <w:tr>
        <w:trPr>
          <w:trHeight w:val="252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Iné 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čtovná strata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1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Vysporiadanie 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čtovnej straty</w:t>
            </w: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Zo základného imania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Z rezervného fondu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Z fondu tvoreného zo zisku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Z ostatných fondov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Z nerozdeleného zisku minulých rokov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Prevod do 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evysporiadaného výsledku hospodárenia minulých rokov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-20433</w:t>
            </w:r>
          </w:p>
        </w:tc>
      </w:tr>
      <w:tr>
        <w:trPr>
          <w:trHeight w:val="330" w:hRule="auto"/>
          <w:jc w:val="left"/>
        </w:trPr>
        <w:tc>
          <w:tcPr>
            <w:tcW w:w="6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Iné 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(14) Opis a výška cudzích zdrojov, a to</w:t>
      </w:r>
    </w:p>
    <w:p>
      <w:pPr>
        <w:spacing w:before="120" w:after="120" w:line="240"/>
        <w:ind w:right="0" w:left="180" w:hanging="18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a) údaje o jednotlivých druhoch rezerv, ktoré tvorí 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čtovná jednotka; uvádza sa stav rezerv na začiatku bežného účtovného obdobia, ich tvorba, zníženie, použitie alebo zrušenie počas bežného účtovného obdobia a zostatok rezervy na konci bežného účtovného obdobia, pričom sa uvedie predpokladaný rok použitia rezervy,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14 písm. a) o  tvorbe a použití rezerv</w:t>
      </w:r>
    </w:p>
    <w:tbl>
      <w:tblPr>
        <w:tblInd w:w="170" w:type="dxa"/>
      </w:tblPr>
      <w:tblGrid>
        <w:gridCol w:w="2905"/>
        <w:gridCol w:w="2693"/>
        <w:gridCol w:w="1985"/>
        <w:gridCol w:w="1843"/>
        <w:gridCol w:w="2126"/>
        <w:gridCol w:w="2713"/>
      </w:tblGrid>
      <w:tr>
        <w:trPr>
          <w:trHeight w:val="1" w:hRule="atLeast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Druh rezervy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Tvorba rezerv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Použitie rezerv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Zrušenie alebo zníženie rezerv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1" w:hRule="atLeast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Jednotlivé druhy krátkodobých zákonných rezerv</w:t>
            </w:r>
          </w:p>
          <w:p>
            <w:pPr>
              <w:numPr>
                <w:ilvl w:val="0"/>
                <w:numId w:val="565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Rezerva – audit 2014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792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480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792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Predpokladaný rok použitia rezervy -  2016</w:t>
            </w:r>
          </w:p>
        </w:tc>
      </w:tr>
      <w:tr>
        <w:trPr>
          <w:trHeight w:val="1" w:hRule="atLeast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Jednotlivé druhy dlhodobých zákonných rezerv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Zákonné rezervy spolu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792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480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792</w:t>
            </w:r>
          </w:p>
        </w:tc>
      </w:tr>
      <w:tr>
        <w:trPr>
          <w:trHeight w:val="1" w:hRule="atLeast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Jednotlivé druhy krátkodobých ostatných rezerv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Jednotlivé druhy dlhodobých ostatných rezerv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Ostatné rezervy spolu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9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Rezervy spolu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792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480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2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792</w:t>
            </w: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b) údaje o významných položkách na 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čtoch 325 -  Ostatné záväzky a 379 – Iné záväzky; uvádza sa začiatočný stav, prírastky, úbytky a konečný zostatok podľa jednotlivých druhov  záväzkov,</w:t>
      </w: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240" w:hanging="24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c) 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 o výške záväzkov do lehoty splatnosti a po lehote splatnosti,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1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záväzky z obchodného styku v lehote splatnosti                                       1778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2. záväzky z obchodného styku po lehote splatnosti                                        0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3. záväzky vo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 zamestnancom v lehote splatnosti                                           0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4. záväzky vo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 Sociálnej a zdravotnej poisťovni v lehote splatnosti            595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5. da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ňové záväzky v lehote splatnosti                                                               34  </w:t>
      </w:r>
    </w:p>
    <w:p>
      <w:pPr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Tabu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ľka k čl. III ods. 14 písm. c) a d) o záväzkoch</w:t>
      </w:r>
    </w:p>
    <w:tbl>
      <w:tblPr>
        <w:tblInd w:w="180" w:type="dxa"/>
      </w:tblPr>
      <w:tblGrid>
        <w:gridCol w:w="4890"/>
        <w:gridCol w:w="3118"/>
        <w:gridCol w:w="3544"/>
      </w:tblGrid>
      <w:tr>
        <w:trPr>
          <w:trHeight w:val="397" w:hRule="auto"/>
          <w:jc w:val="left"/>
        </w:trPr>
        <w:tc>
          <w:tcPr>
            <w:tcW w:w="4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Druh záväzkov</w:t>
            </w:r>
          </w:p>
        </w:tc>
        <w:tc>
          <w:tcPr>
            <w:tcW w:w="66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</w:t>
            </w:r>
          </w:p>
        </w:tc>
      </w:tr>
      <w:tr>
        <w:trPr>
          <w:trHeight w:val="1" w:hRule="atLeast"/>
          <w:jc w:val="left"/>
        </w:trPr>
        <w:tc>
          <w:tcPr>
            <w:tcW w:w="4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bežného ú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predchádzajúceho ú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391" w:hRule="auto"/>
          <w:jc w:val="left"/>
        </w:trPr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Záväzky po lehote splatnosti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" w:hRule="auto"/>
          <w:jc w:val="left"/>
        </w:trPr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Záväzky do lehoty splatnosti so zostatkovou dobou splatnosti do jedného  roka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2407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3304</w:t>
            </w:r>
          </w:p>
        </w:tc>
      </w:tr>
      <w:tr>
        <w:trPr>
          <w:trHeight w:val="447" w:hRule="auto"/>
          <w:jc w:val="left"/>
        </w:trPr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Krátkodobé záväzky spolu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2407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3304</w:t>
            </w:r>
          </w:p>
        </w:tc>
      </w:tr>
      <w:tr>
        <w:trPr>
          <w:trHeight w:val="1" w:hRule="atLeast"/>
          <w:jc w:val="left"/>
        </w:trPr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Záväzky so zostatkovou dobou splatnosti od  jedného  do piatich  rokov  vrátane 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478" w:hRule="auto"/>
          <w:jc w:val="left"/>
        </w:trPr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Záväzky so zostatkovou dobou splatnosti viac ako pä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ť rokov 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409" w:hRule="auto"/>
          <w:jc w:val="left"/>
        </w:trPr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Dlhodobé záväzky spolu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409" w:hRule="auto"/>
          <w:jc w:val="left"/>
        </w:trPr>
        <w:tc>
          <w:tcPr>
            <w:tcW w:w="4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Krátkodobé a dlhodobé záväzky spolu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2407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3304</w:t>
            </w: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d) 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o výške záväzkov podľa zostatkovej doby splatnosti v členení podľa položiek súvahy </w:t>
      </w:r>
    </w:p>
    <w:p>
      <w:pPr>
        <w:spacing w:before="120" w:after="120" w:line="240"/>
        <w:ind w:right="0" w:left="180" w:hanging="18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1. do jedného roka vrátane,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-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záväzky z obchodného styku                                                                     1778   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-  záväzky vo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 Sociálnej a zdravotnej poisťovni                                            595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-  da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ňové záväzky v lehote splatnosti                                                                34     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2. od jedného roka do piatich rokov vrátane,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120" w:after="120" w:line="240"/>
        <w:ind w:right="0" w:left="180" w:hanging="18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3. viac ako pä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ť rokov</w:t>
      </w:r>
    </w:p>
    <w:p>
      <w:pPr>
        <w:spacing w:before="120" w:after="120" w:line="240"/>
        <w:ind w:right="0" w:left="180" w:hanging="18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120" w:after="120" w:line="240"/>
        <w:ind w:right="0" w:left="180" w:hanging="18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180" w:hanging="18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e) 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o záväzkoch zo sociálneho fondu; uvádza sa začiatočný stav, tvorba a čerpanie sociálneho fondu počas účtovného obdobia a zostatok na konci účtovného obdobia,</w:t>
      </w:r>
    </w:p>
    <w:p>
      <w:pPr>
        <w:spacing w:before="120" w:after="120" w:line="240"/>
        <w:ind w:right="0" w:left="180" w:hanging="18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14 písm. e) o vývoji sociálneho fondu</w:t>
      </w:r>
    </w:p>
    <w:tbl>
      <w:tblPr>
        <w:tblInd w:w="170" w:type="dxa"/>
      </w:tblPr>
      <w:tblGrid>
        <w:gridCol w:w="4323"/>
        <w:gridCol w:w="3685"/>
        <w:gridCol w:w="3564"/>
      </w:tblGrid>
      <w:tr>
        <w:trPr>
          <w:trHeight w:val="1" w:hRule="atLeast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Sociálny fond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 obdobie</w:t>
            </w:r>
          </w:p>
        </w:tc>
      </w:tr>
      <w:tr>
        <w:trPr>
          <w:trHeight w:val="610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k prvému 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ňu účtovného obdobia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Tvorba na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ťarchu nákladov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Tvorba zo zisku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Čerpanie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f) 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o bankových úveroch, pôžičkách a návratných finančných výpomociach s uvedením meny, v ktorej boli poskytnuté, druhu, hodnoty v cudzej mene a hodnoty v eurách ku dňu, ku ktorému sa zostavuje účtovná  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závierka, výšky úroku, splatnosti a formy zabezpe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čenia,</w:t>
      </w:r>
    </w:p>
    <w:p>
      <w:pPr>
        <w:spacing w:before="120" w:after="120" w:line="240"/>
        <w:ind w:right="0" w:left="180" w:hanging="18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14 písm. f) o bankových úveroch, pôžičkách a návratných finančných výpomociach</w:t>
      </w:r>
    </w:p>
    <w:tbl>
      <w:tblPr>
        <w:tblInd w:w="170" w:type="dxa"/>
      </w:tblPr>
      <w:tblGrid>
        <w:gridCol w:w="1771"/>
        <w:gridCol w:w="1134"/>
        <w:gridCol w:w="1843"/>
        <w:gridCol w:w="1559"/>
        <w:gridCol w:w="2126"/>
        <w:gridCol w:w="2694"/>
        <w:gridCol w:w="3138"/>
      </w:tblGrid>
      <w:tr>
        <w:trPr>
          <w:trHeight w:val="1" w:hRule="atLeast"/>
          <w:jc w:val="left"/>
        </w:trPr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Druh cudzieho zdroja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Výška úroku v %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Splatnos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ť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Forma zabezpe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čenia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Suma istiny na konci 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3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Suma istiny na konci bezprostredne predchádzajúceho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1" w:hRule="atLeast"/>
          <w:jc w:val="left"/>
        </w:trPr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Krátkodobý bankový úver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" w:hRule="auto"/>
          <w:jc w:val="left"/>
        </w:trPr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Pôži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Návratná 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čná výpomoc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Dlhodobý bankový úver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Spolu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g) 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o významných položkách časového rozlíšenia výdavkov budúcich období.</w:t>
      </w:r>
    </w:p>
    <w:p>
      <w:pPr>
        <w:spacing w:before="0" w:after="24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(15) Preh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ľad o významných položkách výnosov budúcich období v členení najmä na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a) zostatkovú hodnotu bezodplatne nadobudnutého dlhodobého majetku,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b) zostatkovú hodnotu dlhodobého majetku obstaraného z dotácie,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c) zostatok nepoužitej dotácie alebo grantu,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d) zostatok nepoužitej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časti podielu zaplatenej dane,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e) zostatkovú hodnotu dlhodobého majetku obstaraného z podielu zaplatenej dane.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15 o významných položkách výnosov budúcich období</w:t>
      </w:r>
    </w:p>
    <w:tbl>
      <w:tblPr>
        <w:tblInd w:w="28" w:type="dxa"/>
      </w:tblPr>
      <w:tblGrid>
        <w:gridCol w:w="3070"/>
        <w:gridCol w:w="3663"/>
        <w:gridCol w:w="2126"/>
        <w:gridCol w:w="2268"/>
        <w:gridCol w:w="3280"/>
      </w:tblGrid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Položky výnosov budúcich období z dôvodu</w:t>
            </w:r>
          </w:p>
        </w:tc>
        <w:tc>
          <w:tcPr>
            <w:tcW w:w="3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bezprostredne predchádzajúceho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</w:t>
            </w: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bezodplatne nadobudnutého dlhodobého majetku</w:t>
            </w:r>
          </w:p>
        </w:tc>
        <w:tc>
          <w:tcPr>
            <w:tcW w:w="3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dlhodobého majetku obstaraného z dotácie</w:t>
            </w:r>
          </w:p>
        </w:tc>
        <w:tc>
          <w:tcPr>
            <w:tcW w:w="3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dlhodobého majetku  obstaraného z 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čného daru </w:t>
            </w:r>
          </w:p>
        </w:tc>
        <w:tc>
          <w:tcPr>
            <w:tcW w:w="3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dotácie zo štátneho rozpo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čtu alebo  z prostriedkov Európskej únie</w:t>
            </w:r>
          </w:p>
        </w:tc>
        <w:tc>
          <w:tcPr>
            <w:tcW w:w="3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dotácie z rozpo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čtu obce alebo z rozpočtu vyššieho územného celku</w:t>
            </w:r>
          </w:p>
        </w:tc>
        <w:tc>
          <w:tcPr>
            <w:tcW w:w="3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grantu</w:t>
            </w:r>
          </w:p>
        </w:tc>
        <w:tc>
          <w:tcPr>
            <w:tcW w:w="3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podielu zaplatenej dane</w:t>
            </w:r>
          </w:p>
        </w:tc>
        <w:tc>
          <w:tcPr>
            <w:tcW w:w="3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36395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106514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98860</w:t>
            </w: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44049</w:t>
            </w:r>
          </w:p>
        </w:tc>
      </w:tr>
      <w:tr>
        <w:trPr>
          <w:trHeight w:val="192" w:hRule="auto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dlhodobého  majetku  obstaraného z podielu zaplatenej dane</w:t>
            </w:r>
          </w:p>
        </w:tc>
        <w:tc>
          <w:tcPr>
            <w:tcW w:w="3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(16) Údaje o majetku prenajatom formou finan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čného prenájmu, a to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a) celková suma dohodnutých platieb ku d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ňu, ku ktorému sa zostavuje účtovná závierka, v členení na istinu a finančný náklad,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b) suma istiny a finan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čného nákladu podľa doby splatnosti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ab/>
        <w:t xml:space="preserve">1. do jedného roka vrátane,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ab/>
        <w:t xml:space="preserve">2. od jedného roka do piatich rokov vrátane,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               3. viac ako pä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ť rokov.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čtovná jednotka nemá náplň pre túto položku.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III ods. 16 o majetku prenajatom formou finančného prenájmu</w:t>
      </w:r>
    </w:p>
    <w:tbl>
      <w:tblPr>
        <w:tblInd w:w="28" w:type="dxa"/>
      </w:tblPr>
      <w:tblGrid>
        <w:gridCol w:w="2914"/>
        <w:gridCol w:w="2551"/>
        <w:gridCol w:w="567"/>
        <w:gridCol w:w="5090"/>
        <w:gridCol w:w="3278"/>
      </w:tblGrid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Záväzok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bezprostredne predchádzajúceho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Istina</w:t>
            </w:r>
          </w:p>
        </w:tc>
        <w:tc>
          <w:tcPr>
            <w:tcW w:w="5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čný náklad</w:t>
            </w: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218" w:hRule="auto"/>
          <w:jc w:val="left"/>
        </w:trPr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Celková suma dohodnutých platieb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do jedného roka vrátane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od jedného roka do piatich  rokov vrátane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viac ako pä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ť rokov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Čl. IV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Informácie, ktoré dop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ĺňajú a vysvetľujú údaje vo výkaze ziskov a strát</w:t>
      </w:r>
    </w:p>
    <w:p>
      <w:pPr>
        <w:numPr>
          <w:ilvl w:val="0"/>
          <w:numId w:val="715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tržieb za vlastné výkony a tovar s uvedením ich opisu a vyčíslením hodnoty tržieb podľa jednotlivých hlavných druhov výrobkov,  služieb hlavnej činnosti a podnikateľskej činnosti účtovnej jednotky.</w:t>
      </w:r>
    </w:p>
    <w:tbl>
      <w:tblPr>
        <w:tblInd w:w="170" w:type="dxa"/>
      </w:tblPr>
      <w:tblGrid>
        <w:gridCol w:w="4323"/>
        <w:gridCol w:w="3685"/>
        <w:gridCol w:w="3564"/>
        <w:gridCol w:w="3564"/>
      </w:tblGrid>
      <w:tr>
        <w:trPr>
          <w:trHeight w:val="1" w:hRule="atLeast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Položky výnosov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 obdobie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 účtovnej jednotky</w:t>
            </w:r>
          </w:p>
        </w:tc>
      </w:tr>
      <w:tr>
        <w:trPr>
          <w:trHeight w:val="375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Tržby z predaja služieb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16806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17636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Podnikate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ľská činnosť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24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Opis a vy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číslenie hodnoty významných položiek prijatých darov, osobitných výnosov, zákonných poplatkov a iných ostatných výnosov. </w:t>
      </w:r>
    </w:p>
    <w:tbl>
      <w:tblPr>
        <w:tblInd w:w="170" w:type="dxa"/>
      </w:tblPr>
      <w:tblGrid>
        <w:gridCol w:w="4323"/>
        <w:gridCol w:w="3685"/>
        <w:gridCol w:w="3564"/>
        <w:gridCol w:w="3564"/>
      </w:tblGrid>
      <w:tr>
        <w:trPr>
          <w:trHeight w:val="1" w:hRule="atLeast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Položky výnosov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 obdobie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 účtovnej jednotky</w:t>
            </w:r>
          </w:p>
        </w:tc>
      </w:tr>
      <w:tr>
        <w:trPr>
          <w:trHeight w:val="375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Úroky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395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767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Hlavná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</w:t>
            </w:r>
          </w:p>
        </w:tc>
      </w:tr>
      <w:tr>
        <w:trPr>
          <w:trHeight w:val="375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Iné ostatné výnosy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Hlavná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</w:t>
            </w:r>
          </w:p>
        </w:tc>
      </w:tr>
      <w:tr>
        <w:trPr>
          <w:trHeight w:val="375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Prijaté príspevky od iných organizácií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Hlavná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</w:t>
            </w:r>
          </w:p>
        </w:tc>
      </w:tr>
      <w:tr>
        <w:trPr>
          <w:trHeight w:val="375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Prijaté príspevky od fyzických osôb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Hlavná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</w:t>
            </w:r>
          </w:p>
        </w:tc>
      </w:tr>
      <w:tr>
        <w:trPr>
          <w:trHeight w:val="375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Tržby z predaja dlhodobého nehmotného majetku a dlhodobého hmotného majetku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Hlavná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</w:t>
            </w:r>
          </w:p>
        </w:tc>
      </w:tr>
      <w:tr>
        <w:trPr>
          <w:trHeight w:val="375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Príspevky z podielu zaplatenej dane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98860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67460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Hlavná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3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 dotácií a grantov, ktoré účtovná jednotka prijala v priebehu bežného účtovného obdobia.</w:t>
      </w:r>
    </w:p>
    <w:tbl>
      <w:tblPr>
        <w:tblInd w:w="170" w:type="dxa"/>
      </w:tblPr>
      <w:tblGrid>
        <w:gridCol w:w="4323"/>
        <w:gridCol w:w="3685"/>
        <w:gridCol w:w="3564"/>
        <w:gridCol w:w="3564"/>
      </w:tblGrid>
      <w:tr>
        <w:trPr>
          <w:trHeight w:val="1" w:hRule="atLeast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Položky grantov a dotácií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 obdobie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 účtovnej jednotky</w:t>
            </w:r>
          </w:p>
        </w:tc>
      </w:tr>
      <w:tr>
        <w:trPr>
          <w:trHeight w:val="375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Dotácie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Hlavná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</w:t>
            </w:r>
          </w:p>
        </w:tc>
      </w:tr>
      <w:tr>
        <w:trPr>
          <w:trHeight w:val="375" w:hRule="auto"/>
          <w:jc w:val="left"/>
        </w:trPr>
        <w:tc>
          <w:tcPr>
            <w:tcW w:w="4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Granty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Hlavná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činnosť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54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Opis a suma významných položiek finan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čných výnosov; uvádza sa aj celková suma kurzových ziskov, pričom  osobitne sa uvádza hodnota kurzových ziskov účtovaná ku dňu, ku ktorému sa zostavuje účtovná závierka.</w:t>
      </w:r>
    </w:p>
    <w:p>
      <w:pPr>
        <w:numPr>
          <w:ilvl w:val="0"/>
          <w:numId w:val="754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Úroky  na bankových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čtoch                                                      395 eur</w:t>
      </w:r>
    </w:p>
    <w:p>
      <w:pPr>
        <w:numPr>
          <w:ilvl w:val="0"/>
          <w:numId w:val="754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Iné ostatné výnosy                                                                         0 eur   </w:t>
      </w:r>
    </w:p>
    <w:p>
      <w:pPr>
        <w:numPr>
          <w:ilvl w:val="0"/>
          <w:numId w:val="754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Prijaté príspevky od iných organizácií                                          0 eur</w:t>
      </w:r>
    </w:p>
    <w:p>
      <w:pPr>
        <w:numPr>
          <w:ilvl w:val="0"/>
          <w:numId w:val="754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Prijaté príspevky od fyzických osôb                                              0 eur </w:t>
      </w:r>
    </w:p>
    <w:p>
      <w:pPr>
        <w:numPr>
          <w:ilvl w:val="0"/>
          <w:numId w:val="754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Príspevky z podielu zaplatenej dane                                       98860 eur</w:t>
      </w:r>
    </w:p>
    <w:p>
      <w:pPr>
        <w:spacing w:before="120" w:after="120" w:line="240"/>
        <w:ind w:right="0" w:left="360" w:firstLine="348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360" w:firstLine="348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56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Opis a vy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číslenie hodnoty významných položiek nákladov, nákladov na ostatné služby, osobitných nákladov a iných ostatných nákladov. </w:t>
      </w:r>
    </w:p>
    <w:tbl>
      <w:tblPr>
        <w:tblInd w:w="814" w:type="dxa"/>
      </w:tblPr>
      <w:tblGrid>
        <w:gridCol w:w="4351"/>
        <w:gridCol w:w="3709"/>
        <w:gridCol w:w="3587"/>
      </w:tblGrid>
      <w:tr>
        <w:trPr>
          <w:trHeight w:val="364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Položky nákladov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 obdobie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Spotreba materiálu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1151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860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Spotreba energie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3466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579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Opravy a udržiavanie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3833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Cestovné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2045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Ostatné služby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7841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8783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Mzdové náklady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3750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3750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Zákonné sociálne a zdravotné poistenie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742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742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ň z  nehnuteľnosti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579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579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Ostatné dane a poplatky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275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Dary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2088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Iné ostatné náklady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166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151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Odpisy dlhodobého hmotného a nehmotného majetku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3805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3805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Tvorba a zú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čtovanie opravných položiek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9958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Poskytnuté príspevky fyzickým osobám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2003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379" w:hRule="auto"/>
          <w:jc w:val="left"/>
        </w:trPr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Poskytnuté príspevky z podielu zaplatenej dane</w:t>
            </w:r>
          </w:p>
        </w:tc>
        <w:tc>
          <w:tcPr>
            <w:tcW w:w="3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98691</w:t>
            </w:r>
          </w:p>
        </w:tc>
        <w:tc>
          <w:tcPr>
            <w:tcW w:w="3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67460</w:t>
            </w:r>
          </w:p>
        </w:tc>
      </w:tr>
    </w:tbl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(6) 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o účele a výške použitia podielu zaplatenej dane za bežné účtovné obdobie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IV  ods. 6 o účele a výške použitia podielu zaplatenej dane    </w:t>
      </w:r>
    </w:p>
    <w:tbl>
      <w:tblPr>
        <w:tblInd w:w="28" w:type="dxa"/>
      </w:tblPr>
      <w:tblGrid>
        <w:gridCol w:w="7158"/>
        <w:gridCol w:w="3969"/>
        <w:gridCol w:w="3528"/>
        <w:gridCol w:w="2977"/>
      </w:tblGrid>
      <w:tr>
        <w:trPr>
          <w:trHeight w:val="1" w:hRule="atLeast"/>
          <w:jc w:val="left"/>
        </w:trPr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čel použitia podielu zaplatenej dane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Použitá suma z bezprostredne predchádzajúceho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65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Použitá suma 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397" w:hRule="auto"/>
          <w:jc w:val="left"/>
        </w:trPr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čné príspevky pre telesne a postihnuté deti na rehabilitácie, kúpeľnú liečbu, zakúpenie zdravotníckych pomôcok, nákup potravín pre sociálne odkázané rodiny, finančné príspevky pre občianske združenia, krízové centrá, športové kluby ...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36395</w:t>
            </w:r>
          </w:p>
        </w:tc>
        <w:tc>
          <w:tcPr>
            <w:tcW w:w="65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62464</w:t>
            </w:r>
          </w:p>
        </w:tc>
      </w:tr>
      <w:tr>
        <w:trPr>
          <w:trHeight w:val="397" w:hRule="auto"/>
          <w:jc w:val="left"/>
        </w:trPr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1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Zostatok podielu zaplatenej dane bežného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                                                     44049</w:t>
            </w:r>
          </w:p>
        </w:tc>
        <w:tc>
          <w:tcPr>
            <w:tcW w:w="65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07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Opis a suma významných položiek finan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čných nákladov; uvádza sa aj celková suma kurzových strát, pričom osobitne sa uvádza hodnota kurzových strát účtovaná ku dňu, ku ktorému sa zostavuje účtovná závierka.</w:t>
      </w: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09"/>
        </w:numPr>
        <w:suppressAutoHyphens w:val="true"/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 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čtovnej jednotke, ktorá má povinnosť overenia účtovnej závierky audítorom, sa uvedie vymedzenie a suma nákladov za účtovné obdobie v členení na náklady za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a) overenie 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čtovnej závierky,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b) uis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ťovacie audítorské služby s výnimkou overenia účtovnej závierky,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c) súvisiace audítorské služby,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d) da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ňové poradenstvo,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e) ostatné neaudítorské služby.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Tabu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ľka k čl. IV  ods. 8 o nákladoch vynaložených v súvislosti s auditom účtovnej závierky</w:t>
      </w:r>
    </w:p>
    <w:tbl>
      <w:tblPr>
        <w:tblInd w:w="844" w:type="dxa"/>
      </w:tblPr>
      <w:tblGrid>
        <w:gridCol w:w="6307"/>
        <w:gridCol w:w="2997"/>
      </w:tblGrid>
      <w:tr>
        <w:trPr>
          <w:trHeight w:val="1" w:hRule="atLeast"/>
          <w:jc w:val="left"/>
        </w:trPr>
        <w:tc>
          <w:tcPr>
            <w:tcW w:w="6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Jednotlivé druhy nákladov za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Suma</w:t>
            </w:r>
          </w:p>
        </w:tc>
      </w:tr>
      <w:tr>
        <w:trPr>
          <w:trHeight w:val="1" w:hRule="atLeast"/>
          <w:jc w:val="left"/>
        </w:trPr>
        <w:tc>
          <w:tcPr>
            <w:tcW w:w="6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overenie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čtovnej závierky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 480</w:t>
            </w:r>
          </w:p>
        </w:tc>
      </w:tr>
      <w:tr>
        <w:trPr>
          <w:trHeight w:val="1" w:hRule="atLeast"/>
          <w:jc w:val="left"/>
        </w:trPr>
        <w:tc>
          <w:tcPr>
            <w:tcW w:w="6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ťovacie audítorské služby s výnimkou overenia účtovnej závierky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súvisiace audítorské služby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ňové poradenstvo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ostatné neaudítorské služby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Spolu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  480</w:t>
            </w:r>
          </w:p>
        </w:tc>
      </w:tr>
    </w:tbl>
    <w:p>
      <w:pPr>
        <w:keepNext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Čl. V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Opis údajov na podsúvahových ú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čtoch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Významné položky prenajatého majetku, majetku prijatého do úschovy,  odpísané poh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ľadávky a prípadné ďalšie položky.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Čl. VI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Ďalšie informácie</w:t>
      </w:r>
    </w:p>
    <w:p>
      <w:pPr>
        <w:numPr>
          <w:ilvl w:val="0"/>
          <w:numId w:val="833"/>
        </w:numPr>
        <w:tabs>
          <w:tab w:val="left" w:pos="708" w:leader="none"/>
        </w:tabs>
        <w:suppressAutoHyphens w:val="true"/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Opis a hodnota iných aktív, ktorými sa rozumie možný majetok, ktorý vznikol v dôsledku minulých udalostí a ktorého existencia alebo vlastníctvo závisí od toho,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p>
      <w:pPr>
        <w:numPr>
          <w:ilvl w:val="0"/>
          <w:numId w:val="834"/>
        </w:numPr>
        <w:tabs>
          <w:tab w:val="left" w:pos="708" w:leader="none"/>
        </w:tabs>
        <w:suppressAutoHyphens w:val="true"/>
        <w:spacing w:before="120" w:after="12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numPr>
          <w:ilvl w:val="0"/>
          <w:numId w:val="835"/>
        </w:numPr>
        <w:tabs>
          <w:tab w:val="left" w:pos="708" w:leader="none"/>
        </w:tabs>
        <w:suppressAutoHyphens w:val="true"/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Opis a hodnota iných pasív vyplývajúcich zo súdnych rozhodnutí, z poskytnutých záruk, zo všeobecne záväzných právnych predpisov, z ru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čenia podľa jednotlivých druhov ručenia;  takýmito inými pasívami sú:</w:t>
      </w:r>
    </w:p>
    <w:p>
      <w:pPr>
        <w:numPr>
          <w:ilvl w:val="0"/>
          <w:numId w:val="835"/>
        </w:numPr>
        <w:tabs>
          <w:tab w:val="left" w:pos="708" w:leader="none"/>
        </w:tabs>
        <w:suppressAutoHyphens w:val="true"/>
        <w:spacing w:before="120" w:after="120" w:line="240"/>
        <w:ind w:right="0" w:left="105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možná povinnos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ť, ktorá vznikla ako dôsledok minulej udalosti a ktorej existencia závisí od toho, či nastane alebo nenastane jedna alebo viac neistých udalostí v budúcnosti, ktorých vznik nezávisí od </w:t>
      </w:r>
    </w:p>
    <w:p>
      <w:pPr>
        <w:numPr>
          <w:ilvl w:val="0"/>
          <w:numId w:val="837"/>
        </w:numPr>
        <w:tabs>
          <w:tab w:val="left" w:pos="708" w:leader="none"/>
        </w:tabs>
        <w:suppressAutoHyphens w:val="true"/>
        <w:spacing w:before="120" w:after="120" w:line="240"/>
        <w:ind w:right="0" w:left="105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čtovnej jednotky, alebo</w:t>
      </w:r>
    </w:p>
    <w:p>
      <w:pPr>
        <w:numPr>
          <w:ilvl w:val="0"/>
          <w:numId w:val="838"/>
        </w:numPr>
        <w:tabs>
          <w:tab w:val="left" w:pos="708" w:leader="none"/>
        </w:tabs>
        <w:suppressAutoHyphens w:val="true"/>
        <w:spacing w:before="120" w:after="120" w:line="240"/>
        <w:ind w:right="0" w:left="105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povinnos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ť, ktorá vznikla ako dôsledok minulej udalosti, ale ktorá sa nevykazuje v súvahe, pretože nie je pravdepodobné, že na splnenie tejto povinnosti bude potrebný úbytok ekonomických úžitkov, </w:t>
      </w:r>
    </w:p>
    <w:p>
      <w:pPr>
        <w:numPr>
          <w:ilvl w:val="0"/>
          <w:numId w:val="839"/>
        </w:numPr>
        <w:tabs>
          <w:tab w:val="left" w:pos="708" w:leader="none"/>
        </w:tabs>
        <w:suppressAutoHyphens w:val="true"/>
        <w:spacing w:before="120" w:after="120" w:line="240"/>
        <w:ind w:right="0" w:left="105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alebo výška tejto povinnosti sa nedá spo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ľahlivo oceniť.</w:t>
      </w:r>
    </w:p>
    <w:p>
      <w:pPr>
        <w:numPr>
          <w:ilvl w:val="0"/>
          <w:numId w:val="839"/>
        </w:numPr>
        <w:tabs>
          <w:tab w:val="left" w:pos="708" w:leader="none"/>
        </w:tabs>
        <w:suppressAutoHyphens w:val="true"/>
        <w:spacing w:before="120" w:after="120" w:line="240"/>
        <w:ind w:right="0" w:left="105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numPr>
          <w:ilvl w:val="0"/>
          <w:numId w:val="839"/>
        </w:numPr>
        <w:tabs>
          <w:tab w:val="left" w:pos="708" w:leader="none"/>
        </w:tabs>
        <w:suppressAutoHyphens w:val="true"/>
        <w:spacing w:before="120" w:after="120" w:line="240"/>
        <w:ind w:right="0" w:left="105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39"/>
        </w:numPr>
        <w:tabs>
          <w:tab w:val="left" w:pos="708" w:leader="none"/>
        </w:tabs>
        <w:suppressAutoHyphens w:val="true"/>
        <w:spacing w:before="120" w:after="120" w:line="240"/>
        <w:ind w:right="0" w:left="105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40"/>
        </w:numPr>
        <w:tabs>
          <w:tab w:val="left" w:pos="708" w:leader="none"/>
        </w:tabs>
        <w:suppressAutoHyphens w:val="true"/>
        <w:spacing w:before="12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Opis významných položiek ostatných finan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čných povinností, ktoré sa nesledujú v účtovníctve a neuvádzajú sa v súvahe; pri každej položke sa uvádza jej opis, výška a údaj, či sa týka spriaznených osôb, a to</w:t>
      </w:r>
    </w:p>
    <w:p>
      <w:pPr>
        <w:numPr>
          <w:ilvl w:val="0"/>
          <w:numId w:val="841"/>
        </w:numPr>
        <w:tabs>
          <w:tab w:val="left" w:pos="708" w:leader="none"/>
        </w:tabs>
        <w:suppressAutoHyphens w:val="true"/>
        <w:spacing w:before="120" w:after="120" w:line="24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a) povinnos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ť z devízových termínovaných obchodov a iných finančných derivátov,</w:t>
      </w:r>
    </w:p>
    <w:p>
      <w:pPr>
        <w:numPr>
          <w:ilvl w:val="0"/>
          <w:numId w:val="841"/>
        </w:numPr>
        <w:tabs>
          <w:tab w:val="left" w:pos="708" w:leader="none"/>
        </w:tabs>
        <w:suppressAutoHyphens w:val="true"/>
        <w:spacing w:before="120" w:after="120" w:line="24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b) povinnos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ť z opčných obchodov,</w:t>
      </w:r>
    </w:p>
    <w:p>
      <w:pPr>
        <w:numPr>
          <w:ilvl w:val="0"/>
          <w:numId w:val="841"/>
        </w:numPr>
        <w:tabs>
          <w:tab w:val="left" w:pos="708" w:leader="none"/>
        </w:tabs>
        <w:suppressAutoHyphens w:val="true"/>
        <w:spacing w:before="120" w:after="120" w:line="24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c) zákonná povinnos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ť alebo zmluvná povinnosť odobrať určité produkty alebo služby, napríklad z dodávateľských alebo odberateľských zmlúv,</w:t>
      </w:r>
    </w:p>
    <w:p>
      <w:pPr>
        <w:numPr>
          <w:ilvl w:val="0"/>
          <w:numId w:val="841"/>
        </w:numPr>
        <w:tabs>
          <w:tab w:val="left" w:pos="708" w:leader="none"/>
        </w:tabs>
        <w:suppressAutoHyphens w:val="true"/>
        <w:spacing w:before="120" w:after="120" w:line="24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d) povinnos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ť z leasingových, nájomných, servisných, poistných, koncesionárskych, licenčných zmlúv a podobných zmlúv,</w:t>
      </w:r>
    </w:p>
    <w:p>
      <w:pPr>
        <w:numPr>
          <w:ilvl w:val="0"/>
          <w:numId w:val="841"/>
        </w:numPr>
        <w:tabs>
          <w:tab w:val="left" w:pos="708" w:leader="none"/>
        </w:tabs>
        <w:suppressAutoHyphens w:val="true"/>
        <w:spacing w:before="120" w:after="120" w:line="24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e) iné povinnosti. </w:t>
      </w:r>
    </w:p>
    <w:p>
      <w:pPr>
        <w:numPr>
          <w:ilvl w:val="0"/>
          <w:numId w:val="841"/>
        </w:numPr>
        <w:tabs>
          <w:tab w:val="left" w:pos="708" w:leader="none"/>
        </w:tabs>
        <w:suppressAutoHyphens w:val="true"/>
        <w:spacing w:before="120" w:after="120" w:line="240"/>
        <w:ind w:right="0" w:left="144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numPr>
          <w:ilvl w:val="0"/>
          <w:numId w:val="842"/>
        </w:numPr>
        <w:tabs>
          <w:tab w:val="left" w:pos="720" w:leader="none"/>
        </w:tabs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Preh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ľad nehnuteľných kultúrnych pamiatok, ktoré sú v správe alebo vo vlastníctve účtovnej jednotky.</w:t>
      </w:r>
    </w:p>
    <w:p>
      <w:pPr>
        <w:spacing w:before="0" w:after="12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položku.</w:t>
      </w:r>
    </w:p>
    <w:p>
      <w:pPr>
        <w:numPr>
          <w:ilvl w:val="0"/>
          <w:numId w:val="844"/>
        </w:numPr>
        <w:tabs>
          <w:tab w:val="left" w:pos="720" w:leader="none"/>
        </w:tabs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Informácie o významných skuto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čnostiach, ktoré nastali medzi dňom, ku ktorému sa zostavuje účtovná závierka a dňom jej zostavenia.</w:t>
      </w:r>
    </w:p>
    <w:p>
      <w:pPr>
        <w:spacing w:before="120" w:after="12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čtovná jednotka nemá náplň pre túto položku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24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25">
    <w:lvl w:ilvl="0">
      <w:start w:val="1"/>
      <w:numFmt w:val="decimal"/>
      <w:lvlText w:val="%1.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31">
    <w:lvl w:ilvl="0">
      <w:start w:val="1"/>
      <w:numFmt w:val="decimal"/>
      <w:lvlText w:val="%1."/>
    </w:lvl>
  </w:abstractNum>
  <w:abstractNum w:abstractNumId="174">
    <w:lvl w:ilvl="0">
      <w:start w:val="1"/>
      <w:numFmt w:val="bullet"/>
      <w:lvlText w:val="•"/>
    </w:lvl>
  </w:abstractNum>
  <w:abstractNum w:abstractNumId="37">
    <w:lvl w:ilvl="0">
      <w:start w:val="1"/>
      <w:numFmt w:val="decimal"/>
      <w:lvlText w:val="%1."/>
    </w:lvl>
  </w:abstractNum>
  <w:abstractNum w:abstractNumId="180">
    <w:lvl w:ilvl="0">
      <w:start w:val="1"/>
      <w:numFmt w:val="bullet"/>
      <w:lvlText w:val="•"/>
    </w:lvl>
  </w:abstractNum>
  <w:abstractNum w:abstractNumId="43">
    <w:lvl w:ilvl="0">
      <w:start w:val="1"/>
      <w:numFmt w:val="decimal"/>
      <w:lvlText w:val="%1."/>
    </w:lvl>
  </w:abstractNum>
  <w:abstractNum w:abstractNumId="186">
    <w:lvl w:ilvl="0">
      <w:start w:val="1"/>
      <w:numFmt w:val="bullet"/>
      <w:lvlText w:val="•"/>
    </w:lvl>
  </w:abstractNum>
  <w:abstractNum w:abstractNumId="49">
    <w:lvl w:ilvl="0">
      <w:start w:val="1"/>
      <w:numFmt w:val="decimal"/>
      <w:lvlText w:val="%1.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num w:numId="8">
    <w:abstractNumId w:val="198"/>
  </w:num>
  <w:num w:numId="12">
    <w:abstractNumId w:val="192"/>
  </w:num>
  <w:num w:numId="15">
    <w:abstractNumId w:val="186"/>
  </w:num>
  <w:num w:numId="17">
    <w:abstractNumId w:val="180"/>
  </w:num>
  <w:num w:numId="20">
    <w:abstractNumId w:val="49"/>
  </w:num>
  <w:num w:numId="21">
    <w:abstractNumId w:val="174"/>
  </w:num>
  <w:num w:numId="24">
    <w:abstractNumId w:val="43"/>
  </w:num>
  <w:num w:numId="26">
    <w:abstractNumId w:val="37"/>
  </w:num>
  <w:num w:numId="28">
    <w:abstractNumId w:val="31"/>
  </w:num>
  <w:num w:numId="30">
    <w:abstractNumId w:val="25"/>
  </w:num>
  <w:num w:numId="33">
    <w:abstractNumId w:val="168"/>
  </w:num>
  <w:num w:numId="36">
    <w:abstractNumId w:val="162"/>
  </w:num>
  <w:num w:numId="40">
    <w:abstractNumId w:val="156"/>
  </w:num>
  <w:num w:numId="42">
    <w:abstractNumId w:val="150"/>
  </w:num>
  <w:num w:numId="46">
    <w:abstractNumId w:val="144"/>
  </w:num>
  <w:num w:numId="197">
    <w:abstractNumId w:val="138"/>
  </w:num>
  <w:num w:numId="199">
    <w:abstractNumId w:val="132"/>
  </w:num>
  <w:num w:numId="201">
    <w:abstractNumId w:val="126"/>
  </w:num>
  <w:num w:numId="265">
    <w:abstractNumId w:val="120"/>
  </w:num>
  <w:num w:numId="303">
    <w:abstractNumId w:val="114"/>
  </w:num>
  <w:num w:numId="333">
    <w:abstractNumId w:val="108"/>
  </w:num>
  <w:num w:numId="343">
    <w:abstractNumId w:val="102"/>
  </w:num>
  <w:num w:numId="369">
    <w:abstractNumId w:val="96"/>
  </w:num>
  <w:num w:numId="387">
    <w:abstractNumId w:val="90"/>
  </w:num>
  <w:num w:numId="484">
    <w:abstractNumId w:val="84"/>
  </w:num>
  <w:num w:numId="565">
    <w:abstractNumId w:val="78"/>
  </w:num>
  <w:num w:numId="715">
    <w:abstractNumId w:val="72"/>
  </w:num>
  <w:num w:numId="724">
    <w:abstractNumId w:val="66"/>
  </w:num>
  <w:num w:numId="743">
    <w:abstractNumId w:val="60"/>
  </w:num>
  <w:num w:numId="754">
    <w:abstractNumId w:val="54"/>
  </w:num>
  <w:num w:numId="756">
    <w:abstractNumId w:val="48"/>
  </w:num>
  <w:num w:numId="807">
    <w:abstractNumId w:val="42"/>
  </w:num>
  <w:num w:numId="809">
    <w:abstractNumId w:val="36"/>
  </w:num>
  <w:num w:numId="833">
    <w:abstractNumId w:val="30"/>
  </w:num>
  <w:num w:numId="834">
    <w:abstractNumId w:val="19"/>
  </w:num>
  <w:num w:numId="835">
    <w:abstractNumId w:val="24"/>
  </w:num>
  <w:num w:numId="837">
    <w:abstractNumId w:val="13"/>
  </w:num>
  <w:num w:numId="838">
    <w:abstractNumId w:val="18"/>
  </w:num>
  <w:num w:numId="839">
    <w:abstractNumId w:val="7"/>
  </w:num>
  <w:num w:numId="840">
    <w:abstractNumId w:val="12"/>
  </w:num>
  <w:num w:numId="841">
    <w:abstractNumId w:val="1"/>
  </w:num>
  <w:num w:numId="842">
    <w:abstractNumId w:val="6"/>
  </w:num>
  <w:num w:numId="8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