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38" w:type="dxa"/>
      </w:tblPr>
      <w:tblGrid>
        <w:gridCol w:w="2590"/>
        <w:gridCol w:w="2165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>
        <w:trPr>
          <w:trHeight w:val="1" w:hRule="atLeast"/>
          <w:jc w:val="left"/>
        </w:trPr>
        <w:tc>
          <w:tcPr>
            <w:tcW w:w="25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– 01)</w:t>
            </w:r>
          </w:p>
        </w:tc>
        <w:tc>
          <w:tcPr>
            <w:tcW w:w="21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12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Čl. I.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Všeobecné údaje</w:t>
      </w:r>
    </w:p>
    <w:p>
      <w:pPr>
        <w:numPr>
          <w:ilvl w:val="0"/>
          <w:numId w:val="8"/>
        </w:numPr>
        <w:tabs>
          <w:tab w:val="left" w:pos="720" w:leader="none"/>
        </w:tabs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Meno a priezvisko fyzickej osoby alebo názov právnickej osoby, ktorá je zakladate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ľom alebo zriaďovateľom účtovnej jednotky, jej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trvalý pobyt  alebo sídlo, dátum založenia alebo zriadenia účtovnej jednotky.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            Názov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jednotky:                            Nadácia Pro Futura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            Sídlo :                                                            Študentská 1457, 069 01  Snina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            Dátum založenia:                                          13.01.1997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            Dátum zriadenia:                                          13.01.1997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            I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ČO:                                                               36 150 347                   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            Meno zria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ďovateľa účtovnej jednotky:       Jozefína Obšitníková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            Trvalý pobyt zria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ďovateľa:                           Budovateľská 1435, 069 01  Snina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2"/>
        </w:numPr>
        <w:tabs>
          <w:tab w:val="left" w:pos="720" w:leader="none"/>
        </w:tabs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Informácie o 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členoch štatutárnych orgánov, dozorných orgánov  a iných orgánov účtovnej jednotky; uvádzajú sa mená a priezviská členov štatutárnych orgánov, dozorných orgánov a iných orgánov účtovnej jednotky.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Štatutár – správca nadácie:                                       PhDr. Daniel Andráško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Predseda správnej rady :                                          JUDr. Iveta Bžanová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Člen správnej rady:                                                   JUDr. Viera Obšitníková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Člen správnej rady:                                                   Mgr. Zuzana Piatničková Obšitníková </w:t>
      </w:r>
    </w:p>
    <w:p>
      <w:pPr>
        <w:spacing w:before="0" w:after="0" w:line="276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Dozorná rada nadácie:                                              Ing. Marián Obšitník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15"/>
        </w:numPr>
        <w:tabs>
          <w:tab w:val="left" w:pos="720" w:leader="none"/>
        </w:tabs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Opis 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činnosti, na účel ktorej bola účtovná jednotka zriadená a opis druhu podnikateľskej činnosti, ak ju účtovná jednotka vykonáva.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Nadácia Pro Futura bola zriadená za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čelom rozvíjania duchovných hodnôt, realizácie a ochrany ľudských                                  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práv a iných humanitných cie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ľov, ochrany a tvorby životného prostredia, zachovávanie prírodných a   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kultúrnych hodnôt, podpora zdravia a vzdelávania vo východoslovenskom regióne.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Opis druhu podnikate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ľskej činnosti – príjmy z prenájmu majetku nadácie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17"/>
        </w:numPr>
        <w:tabs>
          <w:tab w:val="left" w:pos="720" w:leader="none"/>
        </w:tabs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Priemerný prepo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</w:t>
      </w:r>
    </w:p>
    <w:p>
      <w:pPr>
        <w:spacing w:before="0" w:after="12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 ods.  4 o počte zamestnancov a dobrovoľníkov</w:t>
      </w:r>
    </w:p>
    <w:tbl>
      <w:tblPr>
        <w:tblInd w:w="240" w:type="dxa"/>
      </w:tblPr>
      <w:tblGrid>
        <w:gridCol w:w="4035"/>
        <w:gridCol w:w="2730"/>
        <w:gridCol w:w="2730"/>
      </w:tblGrid>
      <w:tr>
        <w:trPr>
          <w:trHeight w:val="1" w:hRule="atLeast"/>
          <w:jc w:val="left"/>
        </w:trPr>
        <w:tc>
          <w:tcPr>
            <w:tcW w:w="40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numPr>
                <w:ilvl w:val="0"/>
                <w:numId w:val="20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720" w:leader="none"/>
              </w:tabs>
              <w:suppressAutoHyphens w:val="true"/>
              <w:spacing w:before="0" w:after="0" w:line="240"/>
              <w:ind w:right="0" w:left="720" w:hanging="36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1"/>
              </w:numPr>
              <w:tabs>
                <w:tab w:val="left" w:pos="720" w:leader="none"/>
              </w:tabs>
              <w:suppressAutoHyphens w:val="true"/>
              <w:spacing w:before="0" w:after="0" w:line="240"/>
              <w:ind w:right="0" w:left="720" w:hanging="36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</w:tr>
      <w:tr>
        <w:trPr>
          <w:trHeight w:val="391" w:hRule="auto"/>
          <w:jc w:val="left"/>
        </w:trPr>
        <w:tc>
          <w:tcPr>
            <w:tcW w:w="40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čítaný počet zamestnancov</w:t>
            </w: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0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z toho 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vedúcich zamestnancov</w:t>
            </w: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0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dobrovoľníkov vyslaných účtovnou jednotkou </w:t>
            </w: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391" w:hRule="auto"/>
          <w:jc w:val="left"/>
        </w:trPr>
        <w:tc>
          <w:tcPr>
            <w:tcW w:w="40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čet dobrovoľníkov, ktorí vykonávali dobrovoľnícku činnosť pre účtovnú jednotku počas účtovného obdobia</w:t>
            </w: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</w:t>
            </w:r>
          </w:p>
        </w:tc>
        <w:tc>
          <w:tcPr>
            <w:tcW w:w="27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numPr>
                <w:ilvl w:val="0"/>
                <w:numId w:val="24"/>
              </w:numPr>
              <w:tabs>
                <w:tab w:val="left" w:pos="708" w:leader="none"/>
              </w:tabs>
              <w:suppressAutoHyphens w:val="true"/>
              <w:spacing w:before="0" w:after="0" w:line="240"/>
              <w:ind w:right="0" w:left="144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</w:t>
      </w:r>
    </w:p>
    <w:p>
      <w:pPr>
        <w:numPr>
          <w:ilvl w:val="0"/>
          <w:numId w:val="33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Informácia o organizáciách v zria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ďovateľskej pôsobnosti účtovnej jednotky.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36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Údaje pod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 čl. I, III a IV  sa uvádzajú v textovej podobe a tabuľkovej podobe.</w:t>
      </w:r>
    </w:p>
    <w:p>
      <w:pPr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Čl. II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čtovných zásadách a účtovných metódach</w:t>
      </w:r>
    </w:p>
    <w:p>
      <w:pPr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0"/>
        </w:numPr>
        <w:tabs>
          <w:tab w:val="left" w:pos="644" w:leader="none"/>
        </w:tabs>
        <w:suppressAutoHyphens w:val="true"/>
        <w:spacing w:before="0" w:after="120" w:line="240"/>
        <w:ind w:right="0" w:left="644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Informácia, 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či je účtovná závierka zostavená za splnenia predpokladu, že účtovná jednotka bude nepretržite pokračovať vo svojej činnosti.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bude nepretržite pokračovať vo svojej činnosti.</w:t>
      </w:r>
    </w:p>
    <w:p>
      <w:pPr>
        <w:numPr>
          <w:ilvl w:val="0"/>
          <w:numId w:val="42"/>
        </w:numPr>
        <w:tabs>
          <w:tab w:val="left" w:pos="720" w:leader="none"/>
        </w:tabs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numPr>
          <w:ilvl w:val="0"/>
          <w:numId w:val="42"/>
        </w:numPr>
        <w:tabs>
          <w:tab w:val="left" w:pos="720" w:leader="none"/>
        </w:tabs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ňovania jednotlivých položiek majetku a záväzkov v členení na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a) dlhodobý nehmotný majetok obstaraný kúpou,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b) dlhodobý nehmotný majetok obstaraný vlastnou 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činnosťou,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c) dlhodobý nehmotný majetok obstaraný iným spôsobom,</w:t>
      </w:r>
    </w:p>
    <w:p>
      <w:pPr>
        <w:spacing w:before="0" w:after="120" w:line="240"/>
        <w:ind w:right="0" w:left="585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0" w:after="120" w:line="240"/>
        <w:ind w:right="0" w:left="585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d) dlhodobý hmotný majetok obstaraný kúpou,</w:t>
      </w:r>
    </w:p>
    <w:p>
      <w:pPr>
        <w:spacing w:before="0" w:after="120" w:line="240"/>
        <w:ind w:right="0" w:left="585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Obstarávacia cena vrátane nákladov súvisiacich s obstaraním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e) dlhodobý hmotný majetok obstaraný vlastnou 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činnosťou,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f) dlhodobý hmotný majetok obstaraný iným spôsobom,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g) dlhodobý finan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čný majetok,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     obstarávacia cena pri nákupe a predaji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h) zásoby obstarané kúpou,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obstarávacia cena vrátane nákladov súvisiacich s obstaraním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i)  zásoby vytvorené vlastnou 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činnosťou,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j)  zásoby obstarané iným spôsobom,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                              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k) poh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ľadávky,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poh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ľadávky účtovná jednotka oceňovala ich menovitou hodnotou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l) krátkodobý finan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čný majetok,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     krátkodobý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čný majetok účtovná jednotka oceňovala jeho menovitou hodnotou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m) 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časové rozlíšenie na strane aktív,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časové rozlíšenie na strane aktív účtovná jednotka oceňovala ich „očakávanou“ menovitou hodnotou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n) záväzky vrátane rezerv, dlhopisov, pôži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čiek a úverov,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záväzky, vrátane rezerv, dlhopisov, pôži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čiek a úverov účtovná jednotka oceňovala ich menovitou              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      hodnotou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o) 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časové rozlíšenie na strane pasív,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časové rozlíšenie na strane pasív účtovná jednotka ich oceňovala „očakávanou“ menovitou hodnotou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p) deriváty,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r) majetok a záväzky zabezpe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čené derivátmi.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46"/>
        </w:numPr>
        <w:tabs>
          <w:tab w:val="left" w:pos="720" w:leader="none"/>
        </w:tabs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Spôsob zostavenia odpisového plánu pre jednotlivé druhy dlhodobého hmotného majetku  a dlhodobého nehmotného majetku, pri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čom sa uvádza doba odpisovania, použité sadzby odpisov a odpisové metódy pri určení účtovných odpisov.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        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  <w:t xml:space="preserve">Odpisový plán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  <w:t xml:space="preserve">čtovných odpisov hmotného majetku účtovná jednotka zostavila interným predpisom, v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  <w:t xml:space="preserve">                 ktorom vychádza z predpokladaného opotrebenia zara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  <w:t xml:space="preserve">ďovaného majetku zodpovedajúceho bežným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  <w:t xml:space="preserve">                 podmienkam jeho použitia. Odpisové sadzby pre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  <w:t xml:space="preserve">čtovné a daňové odpisy sa nerovnajú.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tbl>
      <w:tblPr>
        <w:tblInd w:w="55" w:type="dxa"/>
      </w:tblPr>
      <w:tblGrid>
        <w:gridCol w:w="1323"/>
        <w:gridCol w:w="1515"/>
        <w:gridCol w:w="1843"/>
        <w:gridCol w:w="2301"/>
      </w:tblGrid>
      <w:tr>
        <w:trPr>
          <w:trHeight w:val="1" w:hRule="atLeast"/>
          <w:jc w:val="center"/>
        </w:trPr>
        <w:tc>
          <w:tcPr>
            <w:tcW w:w="132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1515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1843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1" w:type="dxa"/>
            <w:tcBorders>
              <w:top w:val="single" w:color="000000" w:sz="2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1" w:hRule="atLeast"/>
          <w:jc w:val="center"/>
        </w:trPr>
        <w:tc>
          <w:tcPr>
            <w:tcW w:w="1323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Stavby, budovy</w:t>
            </w:r>
          </w:p>
        </w:tc>
        <w:tc>
          <w:tcPr>
            <w:tcW w:w="151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40 rokov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Rovnomerné</w:t>
            </w:r>
          </w:p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odpisovanie</w:t>
            </w:r>
          </w:p>
        </w:tc>
        <w:tc>
          <w:tcPr>
            <w:tcW w:w="230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Rovnomerné odpisovanie – da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ňové odpisy</w:t>
            </w:r>
          </w:p>
        </w:tc>
      </w:tr>
      <w:tr>
        <w:trPr>
          <w:trHeight w:val="1" w:hRule="atLeast"/>
          <w:jc w:val="center"/>
        </w:trPr>
        <w:tc>
          <w:tcPr>
            <w:tcW w:w="1323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Stavby, budovy</w:t>
            </w:r>
          </w:p>
        </w:tc>
        <w:tc>
          <w:tcPr>
            <w:tcW w:w="1515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0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5 percent ro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čne</w:t>
            </w:r>
          </w:p>
        </w:tc>
        <w:tc>
          <w:tcPr>
            <w:tcW w:w="2301" w:type="dxa"/>
            <w:tcBorders>
              <w:top w:val="single" w:color="000000" w:sz="0"/>
              <w:left w:val="single" w:color="000000" w:sz="2"/>
              <w:bottom w:val="single" w:color="000000" w:sz="2"/>
              <w:right w:val="single" w:color="000000" w:sz="2"/>
            </w:tcBorders>
            <w:shd w:color="000000" w:fill="ffffff" w:val="clear"/>
            <w:tcMar>
              <w:left w:w="54" w:type="dxa"/>
              <w:right w:w="54" w:type="dxa"/>
            </w:tcMar>
            <w:vAlign w:val="top"/>
          </w:tcPr>
          <w:p>
            <w:pPr>
              <w:suppressLineNumbers w:val="true"/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Pod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ľa času – účtovné odpisy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(5) Zásady pre zoh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ľadnenie zníženia hodnoty majetku.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Čl. III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Informácie, ktoré dop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ĺňajú a vysvetľujú údaje v súvahe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(1)  Údaje o dlhodobom nehmotnom majetku a dlhodobom hmotnom majetku za bežné 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čtovné obdobie, a to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a)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b)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c)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o zostatkových cenách dlhodobého majetku na začiatku bežného účtovného obdobia a na konci bežného účtovného obdobia.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 k čl. III ods. 1 o stave a pohybe dlhodobého nehmotného majetku a dlhodobého hmotného majetku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č. 1</w:t>
      </w:r>
    </w:p>
    <w:tbl>
      <w:tblPr>
        <w:tblInd w:w="28" w:type="dxa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262"/>
      </w:tblGrid>
      <w:tr>
        <w:trPr>
          <w:trHeight w:val="1" w:hRule="atLeast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Nehmotné výsledky z vývojovej a obdobnej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činnosti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Softvér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Ocenite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ľné práva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Ostatný dlhodobý nehmotný majetok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Obstaranie dlhodobého nehmotného majetku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 preddavky na dlhodobý nehmotný majetok</w:t>
            </w: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Prvotné ocenenie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 - stav na 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2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1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 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8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presuny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Oprávky –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1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2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 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Opravné položky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 – stav na 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9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 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14865" w:type="dxa"/>
            <w:gridSpan w:val="8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Zostatková hodnota</w:t>
            </w:r>
          </w:p>
        </w:tc>
      </w:tr>
      <w:tr>
        <w:trPr>
          <w:trHeight w:val="361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1" w:hRule="auto"/>
          <w:jc w:val="left"/>
        </w:trPr>
        <w:tc>
          <w:tcPr>
            <w:tcW w:w="2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ľka č. 2</w:t>
      </w:r>
    </w:p>
    <w:tbl>
      <w:tblPr>
        <w:tblInd w:w="28" w:type="dxa"/>
      </w:tblPr>
      <w:tblGrid>
        <w:gridCol w:w="1944"/>
        <w:gridCol w:w="263"/>
        <w:gridCol w:w="963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22"/>
      </w:tblGrid>
      <w:tr>
        <w:trPr>
          <w:trHeight w:val="1" w:hRule="atLeast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Pozemky</w:t>
            </w: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Umelecké diela a zbierky</w:t>
            </w: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Stavby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Samostatné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ľné veci a súbory hnuteľných vecí</w:t>
            </w: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Dopravné prostriedky</w:t>
            </w: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Pestovate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ľské celky trvalých porastov</w:t>
            </w: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ťažné zvieratá</w:t>
            </w: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Drobný a ostatný dlhodobý hmotný majetok</w:t>
            </w: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Obstaranie dlhodobého hmotného majetku</w:t>
            </w: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 preddavky na dlhodobý hmotný majetok</w:t>
            </w: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</w:tr>
      <w:tr>
        <w:trPr>
          <w:trHeight w:val="1" w:hRule="atLeast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Prvotné ocenenie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 - stav na 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24591</w:t>
            </w: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76104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8580</w:t>
            </w: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109275</w:t>
            </w:r>
          </w:p>
        </w:tc>
      </w:tr>
      <w:tr>
        <w:trPr>
          <w:trHeight w:val="359" w:hRule="auto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  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80" w:hRule="auto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 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2" w:hRule="auto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presuny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24591</w:t>
            </w: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76104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       8580</w:t>
            </w: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109275</w:t>
            </w:r>
          </w:p>
        </w:tc>
      </w:tr>
      <w:tr>
        <w:trPr>
          <w:trHeight w:val="1" w:hRule="atLeast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Oprávky –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38520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8580</w:t>
            </w: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47100</w:t>
            </w:r>
          </w:p>
        </w:tc>
      </w:tr>
      <w:tr>
        <w:trPr>
          <w:trHeight w:val="291" w:hRule="auto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  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3805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        3805</w:t>
            </w:r>
          </w:p>
        </w:tc>
      </w:tr>
      <w:tr>
        <w:trPr>
          <w:trHeight w:val="284" w:hRule="auto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 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            0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8580</w:t>
            </w: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8580</w:t>
            </w:r>
          </w:p>
        </w:tc>
      </w:tr>
      <w:tr>
        <w:trPr>
          <w:trHeight w:val="1" w:hRule="atLeast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42325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42325</w:t>
            </w:r>
          </w:p>
        </w:tc>
      </w:tr>
      <w:tr>
        <w:trPr>
          <w:trHeight w:val="1" w:hRule="atLeast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Opravné položky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 – stav na 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9" w:hRule="auto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  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 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7" w:hRule="auto"/>
          <w:jc w:val="left"/>
        </w:trPr>
        <w:tc>
          <w:tcPr>
            <w:tcW w:w="220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9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1" w:hRule="auto"/>
          <w:jc w:val="left"/>
        </w:trPr>
        <w:tc>
          <w:tcPr>
            <w:tcW w:w="15705" w:type="dxa"/>
            <w:gridSpan w:val="1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Zostatková hodnota</w:t>
            </w:r>
          </w:p>
        </w:tc>
      </w:tr>
      <w:tr>
        <w:trPr>
          <w:trHeight w:val="361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122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24591</w:t>
            </w: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37584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62175</w:t>
            </w:r>
          </w:p>
        </w:tc>
      </w:tr>
      <w:tr>
        <w:trPr>
          <w:trHeight w:val="361" w:hRule="auto"/>
          <w:jc w:val="left"/>
        </w:trPr>
        <w:tc>
          <w:tcPr>
            <w:tcW w:w="19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1226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24591</w:t>
            </w:r>
          </w:p>
        </w:tc>
        <w:tc>
          <w:tcPr>
            <w:tcW w:w="12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33779</w:t>
            </w:r>
          </w:p>
        </w:tc>
        <w:tc>
          <w:tcPr>
            <w:tcW w:w="124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124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12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58370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197"/>
        </w:numPr>
        <w:tabs>
          <w:tab w:val="left" w:pos="644" w:leader="none"/>
        </w:tabs>
        <w:suppressAutoHyphens w:val="true"/>
        <w:spacing w:before="0" w:after="120" w:line="240"/>
        <w:ind w:right="0" w:left="644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dlhodobého majetku, na ktorý je zriadené záložné právo a dlhodobého majetku, pri ktorom má účtovná jednotka obmedzené právo s ním nakladať.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zriadené žiadne záložné právo na dlhodobý majetok.</w:t>
      </w:r>
    </w:p>
    <w:p>
      <w:pPr>
        <w:numPr>
          <w:ilvl w:val="0"/>
          <w:numId w:val="199"/>
        </w:numPr>
        <w:tabs>
          <w:tab w:val="left" w:pos="644" w:leader="none"/>
        </w:tabs>
        <w:suppressAutoHyphens w:val="true"/>
        <w:spacing w:before="0" w:after="120" w:line="240"/>
        <w:ind w:right="0" w:left="644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Údaje o spôsobe a výške poistenia dlhodobého nehmotného majetku a dlhodobého hmotného majetku.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poistený dlhodobý hmotný majetok.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201"/>
        </w:numPr>
        <w:tabs>
          <w:tab w:val="left" w:pos="644" w:leader="none"/>
        </w:tabs>
        <w:suppressAutoHyphens w:val="true"/>
        <w:spacing w:before="0" w:after="120" w:line="240"/>
        <w:ind w:right="0" w:left="644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Údaje o štruktúre dlhodobého finan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4  o zmenách jednotlivých položiek dlhodobého finančného majetku</w:t>
      </w:r>
    </w:p>
    <w:tbl>
      <w:tblPr>
        <w:tblInd w:w="30" w:type="dxa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1012"/>
      </w:tblGrid>
      <w:tr>
        <w:trPr>
          <w:trHeight w:val="1393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Podielové cenné papiere a podiely v obchodnej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čnosti v ovládanej osobe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Podielové cenné papiere a podiely v obchodnej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čnosti s podstatným vplyvom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Dlhové cenné papiere držané do splatnosti</w:t>
            </w: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Pôži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čky podnikom v skupine a ostatné pôžičky</w:t>
            </w: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Ostatný 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čný majetok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Obstaranie dlhodobého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čného majetku</w:t>
            </w: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 preddavky na 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čný  majetok</w:t>
            </w: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</w:tr>
      <w:tr>
        <w:trPr>
          <w:trHeight w:val="278" w:hRule="auto"/>
          <w:jc w:val="left"/>
        </w:trPr>
        <w:tc>
          <w:tcPr>
            <w:tcW w:w="15274" w:type="dxa"/>
            <w:gridSpan w:val="9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  na 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9958</w:t>
            </w: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Presuny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 na 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9958</w:t>
            </w:r>
          </w:p>
        </w:tc>
      </w:tr>
      <w:tr>
        <w:trPr>
          <w:trHeight w:val="278" w:hRule="auto"/>
          <w:jc w:val="left"/>
        </w:trPr>
        <w:tc>
          <w:tcPr>
            <w:tcW w:w="15274" w:type="dxa"/>
            <w:gridSpan w:val="9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 na 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9958</w:t>
            </w: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 na 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9958</w:t>
            </w:r>
          </w:p>
        </w:tc>
      </w:tr>
      <w:tr>
        <w:trPr>
          <w:trHeight w:val="278" w:hRule="auto"/>
          <w:jc w:val="left"/>
        </w:trPr>
        <w:tc>
          <w:tcPr>
            <w:tcW w:w="15274" w:type="dxa"/>
            <w:gridSpan w:val="9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 na za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4979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9958</w:t>
            </w:r>
          </w:p>
        </w:tc>
      </w:tr>
      <w:tr>
        <w:trPr>
          <w:trHeight w:val="290" w:hRule="auto"/>
          <w:jc w:val="left"/>
        </w:trPr>
        <w:tc>
          <w:tcPr>
            <w:tcW w:w="28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Stav na konci bežného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1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ľka k čl. III ods. 4 o štruktúre dlhodobého finančného majetku </w:t>
      </w:r>
    </w:p>
    <w:tbl>
      <w:tblPr>
        <w:tblInd w:w="38" w:type="dxa"/>
      </w:tblPr>
      <w:tblGrid>
        <w:gridCol w:w="1631"/>
        <w:gridCol w:w="2127"/>
        <w:gridCol w:w="2551"/>
        <w:gridCol w:w="1701"/>
        <w:gridCol w:w="2552"/>
        <w:gridCol w:w="2268"/>
        <w:gridCol w:w="2410"/>
      </w:tblGrid>
      <w:tr>
        <w:trPr>
          <w:trHeight w:val="399" w:hRule="auto"/>
          <w:jc w:val="left"/>
        </w:trPr>
        <w:tc>
          <w:tcPr>
            <w:tcW w:w="1631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Názov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čnosti</w:t>
            </w:r>
          </w:p>
        </w:tc>
        <w:tc>
          <w:tcPr>
            <w:tcW w:w="2127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Podiel na základnom imaní (v %)</w:t>
            </w:r>
          </w:p>
        </w:tc>
        <w:tc>
          <w:tcPr>
            <w:tcW w:w="2551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Podiel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čtovnej jednotky na hlasovacích právach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(v %)</w:t>
            </w:r>
          </w:p>
        </w:tc>
        <w:tc>
          <w:tcPr>
            <w:tcW w:w="4253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Hodnota vlastného imania ku koncu</w:t>
            </w:r>
          </w:p>
        </w:tc>
        <w:tc>
          <w:tcPr>
            <w:tcW w:w="4678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čtovná hodnota ku koncu</w:t>
            </w:r>
          </w:p>
        </w:tc>
      </w:tr>
      <w:tr>
        <w:trPr>
          <w:trHeight w:val="1073" w:hRule="auto"/>
          <w:jc w:val="left"/>
        </w:trPr>
        <w:tc>
          <w:tcPr>
            <w:tcW w:w="163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283" w:hRule="auto"/>
          <w:jc w:val="left"/>
        </w:trPr>
        <w:tc>
          <w:tcPr>
            <w:tcW w:w="16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16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left"/>
        </w:trPr>
        <w:tc>
          <w:tcPr>
            <w:tcW w:w="16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265"/>
        </w:numPr>
        <w:tabs>
          <w:tab w:val="left" w:pos="644" w:leader="none"/>
        </w:tabs>
        <w:suppressAutoHyphens w:val="true"/>
        <w:spacing w:before="0" w:after="120" w:line="240"/>
        <w:ind w:right="0" w:left="644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Informácia o výške tvorby, zníženia a zú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čtovania opravných položiek k dlhodobému finančnému majetku a opis dôvodu ich tvorby, zníženia a zúčtovania.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(6)  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o významných položkách krátkodobého finančného majetku a  o ocenení krátkodobého finančného majetku  reálnou hodnotou ku dňu, ku ktorému sa zostavuje účtovná závierka, pričom sa uvádza  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vplyv takéhoto ocenenia na výsledok hospodárenia 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čtovnej jednotky.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6 o položkách krátkodobého finančného majetku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č. 1 </w:t>
      </w:r>
    </w:p>
    <w:tbl>
      <w:tblPr>
        <w:tblInd w:w="28" w:type="dxa"/>
      </w:tblPr>
      <w:tblGrid>
        <w:gridCol w:w="3055"/>
        <w:gridCol w:w="3394"/>
        <w:gridCol w:w="1985"/>
        <w:gridCol w:w="2268"/>
        <w:gridCol w:w="3563"/>
      </w:tblGrid>
      <w:tr>
        <w:trPr>
          <w:trHeight w:val="1" w:hRule="atLeast"/>
          <w:jc w:val="left"/>
        </w:trPr>
        <w:tc>
          <w:tcPr>
            <w:tcW w:w="30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čný majetok</w:t>
            </w:r>
          </w:p>
        </w:tc>
        <w:tc>
          <w:tcPr>
            <w:tcW w:w="3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</w:t>
            </w:r>
          </w:p>
        </w:tc>
        <w:tc>
          <w:tcPr>
            <w:tcW w:w="35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30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Majetkové cenné papiere na obchodovanie</w:t>
            </w:r>
          </w:p>
        </w:tc>
        <w:tc>
          <w:tcPr>
            <w:tcW w:w="3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Dlhové cenné papiere so splatnos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ťou do jedného roka držané do splatnosti </w:t>
            </w:r>
          </w:p>
        </w:tc>
        <w:tc>
          <w:tcPr>
            <w:tcW w:w="3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Ostatné realizovate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ľné cenné papiere</w:t>
            </w:r>
          </w:p>
        </w:tc>
        <w:tc>
          <w:tcPr>
            <w:tcW w:w="3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čného majetku</w:t>
            </w:r>
          </w:p>
        </w:tc>
        <w:tc>
          <w:tcPr>
            <w:tcW w:w="3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čný majetok spolu</w:t>
            </w:r>
          </w:p>
        </w:tc>
        <w:tc>
          <w:tcPr>
            <w:tcW w:w="33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č. 2</w:t>
      </w:r>
    </w:p>
    <w:tbl>
      <w:tblPr>
        <w:tblInd w:w="28" w:type="dxa"/>
      </w:tblPr>
      <w:tblGrid>
        <w:gridCol w:w="3819"/>
        <w:gridCol w:w="2914"/>
        <w:gridCol w:w="4252"/>
        <w:gridCol w:w="3280"/>
      </w:tblGrid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čný  majetok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12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Zvýšenie/ zníženie hodnoty</w:t>
            </w:r>
          </w:p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(+/-)</w:t>
            </w: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Vplyv ocenenia na výsledok hospodárenia 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Vplyv ocenenia na vlastné imanie</w:t>
            </w:r>
          </w:p>
        </w:tc>
      </w:tr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Majetkové cenné papiere na obchodovanie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Dlhové cenné papiere na obchodovanie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Ostatné realizovate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ľné cenné papiere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8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čný  majetok spolu</w:t>
            </w:r>
          </w:p>
        </w:tc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2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03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spacing w:before="0" w:after="120" w:line="240"/>
        <w:ind w:right="0" w:left="36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7 o vývoji opravných položiek k zásobám </w:t>
      </w:r>
    </w:p>
    <w:tbl>
      <w:tblPr>
        <w:tblInd w:w="28" w:type="dxa"/>
      </w:tblPr>
      <w:tblGrid>
        <w:gridCol w:w="2197"/>
        <w:gridCol w:w="2551"/>
        <w:gridCol w:w="2410"/>
        <w:gridCol w:w="2126"/>
        <w:gridCol w:w="2268"/>
        <w:gridCol w:w="2713"/>
      </w:tblGrid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Druh zásob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Tvorba opravnej položky (zvýšenie)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Zníženie opravnej položky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čtovanie  opravnej položky</w:t>
            </w: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Nedokon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čená výroba  a polotovary vlastnej výroby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8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Výrobky 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50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Zvieratá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00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Tovar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9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Poskytnutý preddavok na zásoby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2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Zásoby spolu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333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Opis významných poh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ľadávok v nadväznosti na položky súvahy a v členení na pohľadávky za hlavnú činnosť a podnikateľskú činnosť.</w:t>
      </w:r>
    </w:p>
    <w:tbl>
      <w:tblPr/>
      <w:tblGrid>
        <w:gridCol w:w="3030"/>
        <w:gridCol w:w="1995"/>
        <w:gridCol w:w="2613"/>
        <w:gridCol w:w="6645"/>
      </w:tblGrid>
      <w:tr>
        <w:trPr>
          <w:trHeight w:val="1" w:hRule="atLeast"/>
          <w:jc w:val="left"/>
        </w:trPr>
        <w:tc>
          <w:tcPr>
            <w:tcW w:w="30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ľadávky z obchodného styku 311, </w:t>
            </w:r>
          </w:p>
        </w:tc>
        <w:tc>
          <w:tcPr>
            <w:tcW w:w="19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</w:p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Riadok súvahy 043</w:t>
            </w:r>
          </w:p>
        </w:tc>
        <w:tc>
          <w:tcPr>
            <w:tcW w:w="26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120" w:after="120" w:line="36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Suma 2209,89 eur</w:t>
            </w:r>
          </w:p>
        </w:tc>
        <w:tc>
          <w:tcPr>
            <w:tcW w:w="664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12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  </w:t>
            </w:r>
          </w:p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ľská zdaňovaná činnosť</w:t>
            </w:r>
          </w:p>
        </w:tc>
      </w:tr>
    </w:tbl>
    <w:p>
      <w:pPr>
        <w:numPr>
          <w:ilvl w:val="0"/>
          <w:numId w:val="343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spacing w:before="0" w:after="120" w:line="240"/>
        <w:ind w:right="0" w:left="36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120" w:line="240"/>
        <w:ind w:right="0" w:left="36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9  o vývoji opravných položiek k pohľadávkam</w:t>
      </w:r>
    </w:p>
    <w:tbl>
      <w:tblPr>
        <w:tblInd w:w="28" w:type="dxa"/>
      </w:tblPr>
      <w:tblGrid>
        <w:gridCol w:w="2197"/>
        <w:gridCol w:w="2551"/>
        <w:gridCol w:w="2410"/>
        <w:gridCol w:w="2126"/>
        <w:gridCol w:w="2268"/>
        <w:gridCol w:w="2713"/>
      </w:tblGrid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Druh 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ľadávok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Tvorba opravnej položky (zvýšenie)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Zníženie opravnej položky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čtovanie  opravnej položky</w:t>
            </w: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ľadávky z obchodného styku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ľadávky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31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ľadávky voči účastníkom združení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Iné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ľadávky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21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ľadávky spolu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369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 pohľadávok do lehoty splatnosti a po lehote splatnosti.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10  o pohľadávkach do lehoty splatnosti a po lehote splatnosti </w:t>
      </w:r>
    </w:p>
    <w:tbl>
      <w:tblPr>
        <w:tblInd w:w="574" w:type="dxa"/>
      </w:tblPr>
      <w:tblGrid>
        <w:gridCol w:w="4323"/>
        <w:gridCol w:w="3827"/>
        <w:gridCol w:w="4414"/>
      </w:tblGrid>
      <w:tr>
        <w:trPr>
          <w:trHeight w:val="397" w:hRule="auto"/>
          <w:jc w:val="left"/>
        </w:trPr>
        <w:tc>
          <w:tcPr>
            <w:tcW w:w="4323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44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ľadávky do lehoty splatnosti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131</w:t>
            </w:r>
          </w:p>
        </w:tc>
        <w:tc>
          <w:tcPr>
            <w:tcW w:w="44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262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ľadávky po lehote splatnosti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2079</w:t>
            </w:r>
          </w:p>
        </w:tc>
        <w:tc>
          <w:tcPr>
            <w:tcW w:w="44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ľadávky spolu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2210</w:t>
            </w:r>
          </w:p>
        </w:tc>
        <w:tc>
          <w:tcPr>
            <w:tcW w:w="44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262</w:t>
            </w:r>
          </w:p>
        </w:tc>
      </w:tr>
    </w:tbl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387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významných položiek časového rozlíšenia nákladov budúcich období a príjmov budúcich období.</w:t>
      </w:r>
    </w:p>
    <w:tbl>
      <w:tblPr>
        <w:tblInd w:w="574" w:type="dxa"/>
      </w:tblPr>
      <w:tblGrid>
        <w:gridCol w:w="4323"/>
        <w:gridCol w:w="3827"/>
        <w:gridCol w:w="4414"/>
      </w:tblGrid>
      <w:tr>
        <w:trPr>
          <w:trHeight w:val="397" w:hRule="auto"/>
          <w:jc w:val="left"/>
        </w:trPr>
        <w:tc>
          <w:tcPr>
            <w:tcW w:w="4323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1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44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Náklady budúcich období (381)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15</w:t>
            </w:r>
          </w:p>
        </w:tc>
        <w:tc>
          <w:tcPr>
            <w:tcW w:w="44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16</w:t>
            </w:r>
          </w:p>
        </w:tc>
      </w:tr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Príjmy budúcich období (385)</w:t>
            </w:r>
          </w:p>
        </w:tc>
        <w:tc>
          <w:tcPr>
            <w:tcW w:w="382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44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(12) Opis a výška zmien vlastných zdrojov krytia neobežného majetku a obežného majetku pod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 položiek súvahy za bežné účtovné obdobie, a to </w:t>
      </w:r>
    </w:p>
    <w:p>
      <w:pPr>
        <w:spacing w:before="120" w:after="120" w:line="240"/>
        <w:ind w:right="0" w:left="180" w:hanging="18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a) opis základného imania, nada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spacing w:before="0" w:after="120" w:line="240"/>
        <w:ind w:right="0" w:left="142" w:hanging="142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b) opis jednotlivých druhov fondov, ktoré tvorí 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čtovná jednotka, stav na začiatku bežného účtovného obdobia, prírastky, úbytky, presuny a zostatok na konci bežného účtovného obdobia.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12 o zmenách vlastných zdrojov krytia neobežného majetku a obežného majetku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 </w:t>
      </w:r>
    </w:p>
    <w:tbl>
      <w:tblPr>
        <w:tblInd w:w="28" w:type="dxa"/>
      </w:tblPr>
      <w:tblGrid>
        <w:gridCol w:w="2622"/>
        <w:gridCol w:w="2977"/>
        <w:gridCol w:w="1984"/>
        <w:gridCol w:w="1843"/>
        <w:gridCol w:w="1984"/>
        <w:gridCol w:w="2855"/>
      </w:tblGrid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(+)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(-)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Presuny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(+, -)</w:t>
            </w: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391" w:hRule="auto"/>
          <w:jc w:val="left"/>
        </w:trPr>
        <w:tc>
          <w:tcPr>
            <w:tcW w:w="14265" w:type="dxa"/>
            <w:gridSpan w:val="6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Imanie a fondy</w:t>
            </w: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Základné imanie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6639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6639</w:t>
            </w: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z toho: 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nada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čné imanie v nadácii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6639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6639</w:t>
            </w: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vklady zakladate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ľov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prioritný majetok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Fondy tvorené pod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ľa osobitného predpisu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Fond reprodukcie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Oce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ňovacie rozdiely z precenenia majetku a záväzkov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Oce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ňovacie rozdiely z precenenia kapitálových účastín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14265" w:type="dxa"/>
            <w:gridSpan w:val="6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Fondy zo zisku</w:t>
            </w: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Rezervný fond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Fondy tvorené zo zisku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Ostatné fondy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Nevysporiadaný výsledok hospodárenia minulých rokov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123167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-5093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118074</w:t>
            </w:r>
          </w:p>
        </w:tc>
      </w:tr>
      <w:tr>
        <w:trPr>
          <w:trHeight w:val="1" w:hRule="atLeast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Výsledok hospodárenia za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-5093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-15340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-20433</w:t>
            </w:r>
          </w:p>
        </w:tc>
      </w:tr>
      <w:tr>
        <w:trPr>
          <w:trHeight w:val="391" w:hRule="auto"/>
          <w:jc w:val="left"/>
        </w:trPr>
        <w:tc>
          <w:tcPr>
            <w:tcW w:w="26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124713</w:t>
            </w: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-20433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104280</w:t>
            </w:r>
          </w:p>
        </w:tc>
      </w:tr>
    </w:tbl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484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Informácia o rozdelení 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čtovného zisku alebo vysporiadaní účtovnej straty vykázanej v minulých účtovných obdobiach.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13 o rozdelení účtovného zisku alebo vysporiadaní účtovnej straty</w:t>
      </w:r>
    </w:p>
    <w:tbl>
      <w:tblPr>
        <w:tblInd w:w="664" w:type="dxa"/>
      </w:tblPr>
      <w:tblGrid>
        <w:gridCol w:w="6487"/>
        <w:gridCol w:w="4983"/>
      </w:tblGrid>
      <w:tr>
        <w:trPr>
          <w:trHeight w:val="2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Názov položky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</w:tr>
      <w:tr>
        <w:trPr>
          <w:trHeight w:val="277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16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16"/>
                <w:shd w:fill="auto" w:val="clear"/>
              </w:rPr>
              <w:t xml:space="preserve">čtovný zisk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147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16"/>
                <w:shd w:fill="auto" w:val="clear"/>
              </w:rPr>
              <w:t xml:space="preserve">Rozdelenie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16"/>
                <w:shd w:fill="auto" w:val="clear"/>
              </w:rPr>
              <w:t xml:space="preserve">čtovného zisku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Prídel do základného imania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Prídel do 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ondu tvoreného pod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ľa osobitného predpisu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Prídel do fondu reprodukcie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Prídel do rezervného fondu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Prídel do fondu tvoreného zo zisku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Prídel do ostatných fondov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Úhrada straty minulých období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Prevod do sociálneho fondu 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Prevod  do 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evysporiadaného výsledku hospodárenia minulých rokov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-20433</w:t>
            </w:r>
          </w:p>
        </w:tc>
      </w:tr>
      <w:tr>
        <w:trPr>
          <w:trHeight w:val="252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Iné 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0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16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16"/>
                <w:shd w:fill="auto" w:val="clear"/>
              </w:rPr>
              <w:t xml:space="preserve">čtovná strata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1147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16"/>
                <w:shd w:fill="auto" w:val="clear"/>
              </w:rPr>
              <w:t xml:space="preserve">Vysporiadanie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16"/>
                <w:shd w:fill="auto" w:val="clear"/>
              </w:rPr>
              <w:t xml:space="preserve">čtovnej straty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Zo základného imania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Z rezervného fondu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Z fondu tvoreného zo zisku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Z ostatných fondov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Z nerozdeleného zisku minulých rokov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Prevod do 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evysporiadaného výsledku hospodárenia minulých rokov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-20433</w:t>
            </w:r>
          </w:p>
        </w:tc>
      </w:tr>
      <w:tr>
        <w:trPr>
          <w:trHeight w:val="330" w:hRule="auto"/>
          <w:jc w:val="left"/>
        </w:trPr>
        <w:tc>
          <w:tcPr>
            <w:tcW w:w="64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16"/>
                <w:shd w:fill="auto" w:val="clear"/>
              </w:rPr>
              <w:t xml:space="preserve">Iné </w:t>
            </w:r>
          </w:p>
        </w:tc>
        <w:tc>
          <w:tcPr>
            <w:tcW w:w="498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(14) Opis a výška cudzích zdrojov, a to</w:t>
      </w:r>
    </w:p>
    <w:p>
      <w:pPr>
        <w:spacing w:before="120" w:after="120" w:line="240"/>
        <w:ind w:right="0" w:left="180" w:hanging="18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a) údaje o jednotlivých druhoch rezerv, ktoré tvorí 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14 písm. a) o  tvorbe a použití rezerv</w:t>
      </w:r>
    </w:p>
    <w:tbl>
      <w:tblPr>
        <w:tblInd w:w="170" w:type="dxa"/>
      </w:tblPr>
      <w:tblGrid>
        <w:gridCol w:w="2905"/>
        <w:gridCol w:w="2693"/>
        <w:gridCol w:w="1985"/>
        <w:gridCol w:w="1843"/>
        <w:gridCol w:w="2126"/>
        <w:gridCol w:w="2713"/>
      </w:tblGrid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Druh rezervy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čiatku bežného účtovného obdobia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Tvorba rezerv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Použitie rezerv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Zrušenie alebo zníženie rezerv</w:t>
            </w: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Jednotlivé druhy krátkodobých zákonných rezerv</w:t>
            </w:r>
          </w:p>
          <w:p>
            <w:pPr>
              <w:numPr>
                <w:ilvl w:val="0"/>
                <w:numId w:val="565"/>
              </w:numPr>
              <w:suppressAutoHyphens w:val="true"/>
              <w:spacing w:before="0" w:after="0" w:line="240"/>
              <w:ind w:right="0" w:left="720" w:hanging="36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Rezerva – audit 2014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500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792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480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20</w:t>
            </w: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792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Predpokladaný rok použitia rezervy -  2016</w:t>
            </w: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Jednotlivé druhy dlhodobých zákonných rezerv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Zákonné rezervy spolu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500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792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480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20</w:t>
            </w: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792</w:t>
            </w: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Jednotlivé druhy krátkodobých ostatných rezerv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Jednotlivé druhy dlhodobých ostatných rezerv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Ostatné rezervy spolu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9" w:hRule="auto"/>
          <w:jc w:val="left"/>
        </w:trPr>
        <w:tc>
          <w:tcPr>
            <w:tcW w:w="290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Rezervy spolu</w:t>
            </w:r>
          </w:p>
        </w:tc>
        <w:tc>
          <w:tcPr>
            <w:tcW w:w="269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500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792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480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20</w:t>
            </w:r>
          </w:p>
        </w:tc>
        <w:tc>
          <w:tcPr>
            <w:tcW w:w="271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792</w:t>
            </w:r>
          </w:p>
        </w:tc>
      </w:tr>
    </w:tbl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b) údaje o významných položkách na 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čtoch 325 -  Ostatné záväzky a 379 – Iné záväzky; uvádza sa začiatočný stav, prírastky, úbytky a konečný zostatok podľa jednotlivých druhov  záväzkov,</w:t>
      </w: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240" w:hanging="24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c)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 o výške záväzkov do lehoty splatnosti a po lehote splatnosti,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1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.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záväzky z obchodného styku v lehote splatnosti                                       1778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2. záväzky z obchodného styku po lehote splatnosti                                        0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3. záväzky vo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či zamestnancom v lehote splatnosti                                           0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4. záväzky vo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či Sociálnej a zdravotnej poisťovni v lehote splatnosti            595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5. da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ňové záväzky v lehote splatnosti                                                               34  </w:t>
      </w: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16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16"/>
          <w:shd w:fill="auto" w:val="clear"/>
        </w:rPr>
        <w:t xml:space="preserve">Tabu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16"/>
          <w:shd w:fill="auto" w:val="clear"/>
        </w:rPr>
        <w:t xml:space="preserve">ľka k čl. III ods. 14 písm. c) a d) o záväzkoch</w:t>
      </w:r>
    </w:p>
    <w:tbl>
      <w:tblPr>
        <w:tblInd w:w="180" w:type="dxa"/>
      </w:tblPr>
      <w:tblGrid>
        <w:gridCol w:w="4890"/>
        <w:gridCol w:w="3118"/>
        <w:gridCol w:w="3544"/>
      </w:tblGrid>
      <w:tr>
        <w:trPr>
          <w:trHeight w:val="397" w:hRule="auto"/>
          <w:jc w:val="left"/>
        </w:trPr>
        <w:tc>
          <w:tcPr>
            <w:tcW w:w="489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Druh záväzkov</w:t>
            </w:r>
          </w:p>
        </w:tc>
        <w:tc>
          <w:tcPr>
            <w:tcW w:w="6662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</w:t>
            </w:r>
          </w:p>
        </w:tc>
      </w:tr>
      <w:tr>
        <w:trPr>
          <w:trHeight w:val="1" w:hRule="atLeast"/>
          <w:jc w:val="left"/>
        </w:trPr>
        <w:tc>
          <w:tcPr>
            <w:tcW w:w="489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predchádzajúceho 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391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Záväzky po lehote splatnosti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2407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3304</w:t>
            </w:r>
          </w:p>
        </w:tc>
      </w:tr>
      <w:tr>
        <w:trPr>
          <w:trHeight w:val="447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Krátkodobé záväzky spolu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2407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3304</w:t>
            </w:r>
          </w:p>
        </w:tc>
      </w:tr>
      <w:tr>
        <w:trPr>
          <w:trHeight w:val="1" w:hRule="atLeast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478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Záväzky so zostatkovou dobou splatnosti viac ako pä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ť rokov 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409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Dlhodobé záväzky spolu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409" w:hRule="auto"/>
          <w:jc w:val="left"/>
        </w:trPr>
        <w:tc>
          <w:tcPr>
            <w:tcW w:w="48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Krátkodobé a dlhodobé záväzky spolu</w:t>
            </w:r>
          </w:p>
        </w:tc>
        <w:tc>
          <w:tcPr>
            <w:tcW w:w="31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2407</w:t>
            </w:r>
          </w:p>
        </w:tc>
        <w:tc>
          <w:tcPr>
            <w:tcW w:w="35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3304</w:t>
            </w:r>
          </w:p>
        </w:tc>
      </w:tr>
    </w:tbl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d)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o výške záväzkov podľa zostatkovej doby splatnosti v členení podľa položiek súvahy </w:t>
      </w:r>
    </w:p>
    <w:p>
      <w:pPr>
        <w:spacing w:before="120" w:after="120" w:line="240"/>
        <w:ind w:right="0" w:left="180" w:hanging="18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ab/>
        <w:t xml:space="preserve">1. do jedného roka vrátane,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-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záväzky z obchodného styku                                                                     1778   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-  záväzky vo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či Sociálnej a zdravotnej poisťovni                                            595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-  da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ňové záväzky v lehote splatnosti                                                                34     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2. od jedného roka do piatich rokov vrátane,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120" w:after="120" w:line="240"/>
        <w:ind w:right="0" w:left="180" w:hanging="18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ab/>
        <w:t xml:space="preserve">3. viac ako pä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ť rokov</w:t>
      </w:r>
    </w:p>
    <w:p>
      <w:pPr>
        <w:spacing w:before="120" w:after="120" w:line="240"/>
        <w:ind w:right="0" w:left="180" w:hanging="18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120" w:after="120" w:line="240"/>
        <w:ind w:right="0" w:left="180" w:hanging="18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180" w:hanging="18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e)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o záväzkoch zo sociálneho fondu; uvádza sa začiatočný stav, tvorba a čerpanie sociálneho fondu počas účtovného obdobia a zostatok na konci účtovného obdobia,</w:t>
      </w:r>
    </w:p>
    <w:p>
      <w:pPr>
        <w:spacing w:before="120" w:after="120" w:line="240"/>
        <w:ind w:right="0" w:left="180" w:hanging="18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14 písm. e) o vývoji sociálneho fondu</w:t>
      </w:r>
    </w:p>
    <w:tbl>
      <w:tblPr>
        <w:tblInd w:w="170" w:type="dxa"/>
      </w:tblPr>
      <w:tblGrid>
        <w:gridCol w:w="4323"/>
        <w:gridCol w:w="3685"/>
        <w:gridCol w:w="3564"/>
      </w:tblGrid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Sociálny fond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 obdobie</w:t>
            </w:r>
          </w:p>
        </w:tc>
      </w:tr>
      <w:tr>
        <w:trPr>
          <w:trHeight w:val="610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k prvému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ňu účtovného obdobia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Tvorba na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ťarchu nákladov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9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Tvorba zo zisku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11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Čerpanie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f)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o bankových úveroch, pôžičkách a návratných finančných výpomociach s uvedením meny, v ktorej boli poskytnuté, druhu, hodnoty v cudzej mene a hodnoty v eurách ku dňu, ku ktorému sa zostavuje účtovná  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závierka, výšky úroku, splatnosti a formy zabezpe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čenia,</w:t>
      </w:r>
    </w:p>
    <w:p>
      <w:pPr>
        <w:spacing w:before="120" w:after="120" w:line="240"/>
        <w:ind w:right="0" w:left="180" w:hanging="18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14 písm. f) o bankových úveroch, pôžičkách a návratných finančných výpomociach</w:t>
      </w:r>
    </w:p>
    <w:tbl>
      <w:tblPr>
        <w:tblInd w:w="170" w:type="dxa"/>
      </w:tblPr>
      <w:tblGrid>
        <w:gridCol w:w="1771"/>
        <w:gridCol w:w="1134"/>
        <w:gridCol w:w="1843"/>
        <w:gridCol w:w="1559"/>
        <w:gridCol w:w="2126"/>
        <w:gridCol w:w="2694"/>
        <w:gridCol w:w="3138"/>
      </w:tblGrid>
      <w:tr>
        <w:trPr>
          <w:trHeight w:val="1" w:hRule="atLeast"/>
          <w:jc w:val="left"/>
        </w:trPr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Druh cudzieho zdroja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Mena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Výška úroku v %</w:t>
            </w: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Splatnos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ť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Forma zabezpe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čenia</w:t>
            </w: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Suma istiny na konci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31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Suma istiny na konci bezprostredne predchádzajúceho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Krátkodobý bankový úver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1" w:hRule="auto"/>
          <w:jc w:val="left"/>
        </w:trPr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Pôži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čka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Návratná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čná výpomoc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Dlhodobý bankový úver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75" w:hRule="auto"/>
          <w:jc w:val="left"/>
        </w:trPr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24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g)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o významných položkách časového rozlíšenia výdavkov budúcich období.</w:t>
      </w:r>
    </w:p>
    <w:p>
      <w:pPr>
        <w:spacing w:before="0" w:after="24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(15) Preh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ľad o významných položkách výnosov budúcich období v členení najmä na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a) zostatkovú hodnotu bezodplatne nadobudnutého dlhodobého majetku,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b) zostatkovú hodnotu dlhodobého majetku obstaraného z dotácie,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c) zostatok nepoužitej dotácie alebo grantu,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d) zostatok nepoužitej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časti podielu zaplatenej dane,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e) zostatkovú hodnotu dlhodobého majetku obstaraného z podielu zaplatenej dane.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15 o významných položkách výnosov budúcich období</w:t>
      </w:r>
    </w:p>
    <w:tbl>
      <w:tblPr>
        <w:tblInd w:w="28" w:type="dxa"/>
      </w:tblPr>
      <w:tblGrid>
        <w:gridCol w:w="3070"/>
        <w:gridCol w:w="3663"/>
        <w:gridCol w:w="2126"/>
        <w:gridCol w:w="2268"/>
        <w:gridCol w:w="3280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Položky výnosov budúcich období z dôvodu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bezprostredne predchádzajúceho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Prírastky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Úbytky</w:t>
            </w: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bezodplatne nadobudnutého dlhodobého majetku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dlhodobého majetku obstaraného z dotácie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7" w:hRule="auto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dlhodobého majetku  obstaraného z 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čného daru 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dotácie zo štátneho rozpo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čtu alebo  z prostriedkov Európskej únie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dotácie z rozpo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čtu obce alebo z rozpočtu vyššieho územného celku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grantu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podielu zaplatenej dane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36395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106514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98860</w:t>
            </w: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44049</w:t>
            </w:r>
          </w:p>
        </w:tc>
      </w:tr>
      <w:tr>
        <w:trPr>
          <w:trHeight w:val="192" w:hRule="auto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dlhodobého  majetku  obstaraného z podielu zaplatenej dane</w:t>
            </w:r>
          </w:p>
        </w:tc>
        <w:tc>
          <w:tcPr>
            <w:tcW w:w="366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(16) Údaje o majetku prenajatom formou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čného prenájmu, a to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a) celková suma dohodnutých platieb ku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ňu, ku ktorému sa zostavuje účtovná závierka, v členení na istinu a finančný náklad,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b) suma istiny a 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čného nákladu podľa doby splatnosti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ab/>
        <w:t xml:space="preserve">1. do jedného roka vrátane,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ab/>
        <w:t xml:space="preserve">2. od jedného roka do piatich rokov vrátane,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               3. viac ako pä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ť rokov.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0"/>
          <w:shd w:fill="auto" w:val="clear"/>
        </w:rPr>
        <w:t xml:space="preserve">čtovná jednotka nemá náplň pre túto položku.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III ods. 16 o majetku prenajatom formou finančného prenájmu</w:t>
      </w:r>
    </w:p>
    <w:tbl>
      <w:tblPr>
        <w:tblInd w:w="28" w:type="dxa"/>
      </w:tblPr>
      <w:tblGrid>
        <w:gridCol w:w="2914"/>
        <w:gridCol w:w="2551"/>
        <w:gridCol w:w="567"/>
        <w:gridCol w:w="5090"/>
        <w:gridCol w:w="3278"/>
      </w:tblGrid>
      <w:tr>
        <w:trPr>
          <w:trHeight w:val="1" w:hRule="atLeast"/>
          <w:jc w:val="left"/>
        </w:trPr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Záväzok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bezprostredne predchádzajúceho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Istina</w:t>
            </w:r>
          </w:p>
        </w:tc>
        <w:tc>
          <w:tcPr>
            <w:tcW w:w="50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čný náklad</w:t>
            </w:r>
          </w:p>
        </w:tc>
        <w:tc>
          <w:tcPr>
            <w:tcW w:w="32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 na konci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218" w:hRule="auto"/>
          <w:jc w:val="left"/>
        </w:trPr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Celková suma dohodnutých platieb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12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do jedného roka vrátane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od jedného roka do piatich  rokov vrátane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2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viac ako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ť rokov</w:t>
            </w:r>
          </w:p>
        </w:tc>
        <w:tc>
          <w:tcPr>
            <w:tcW w:w="25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6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Čl. IV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Informácie, ktoré dop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ĺňajú a vysvetľujú údaje vo výkaze ziskov a strát</w:t>
      </w:r>
    </w:p>
    <w:p>
      <w:pPr>
        <w:numPr>
          <w:ilvl w:val="0"/>
          <w:numId w:val="715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Ind w:w="170" w:type="dxa"/>
      </w:tblPr>
      <w:tblGrid>
        <w:gridCol w:w="4323"/>
        <w:gridCol w:w="3685"/>
        <w:gridCol w:w="3564"/>
        <w:gridCol w:w="3564"/>
      </w:tblGrid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Položky výnosov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 obdobie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 účtovnej jednotky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Tržby z predaja služieb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16806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17636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ľská činnosť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724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Opis a vy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číslenie hodnoty významných položiek prijatých darov, osobitných výnosov, zákonných poplatkov a iných ostatných výnosov. </w:t>
      </w:r>
    </w:p>
    <w:tbl>
      <w:tblPr>
        <w:tblInd w:w="170" w:type="dxa"/>
      </w:tblPr>
      <w:tblGrid>
        <w:gridCol w:w="4323"/>
        <w:gridCol w:w="3685"/>
        <w:gridCol w:w="3564"/>
        <w:gridCol w:w="3564"/>
      </w:tblGrid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Položky výnosov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 obdobie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 účtovnej jednotky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Úroky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395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767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Hlavná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Iné ostatné výnosy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Hlavná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Prijaté príspevky od iných organizácií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Hlavná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Prijaté príspevky od fyzických osôb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Hlavná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Tržby z predaja dlhodobého nehmotného majetku a dlhodobého hmotného majetku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Hlavná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Príspevky z podielu zaplatenej dane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98860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67460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Hlavná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743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 dotácií a grantov, ktoré účtovná jednotka prijala v priebehu bežného účtovného obdobia.</w:t>
      </w:r>
    </w:p>
    <w:tbl>
      <w:tblPr>
        <w:tblInd w:w="170" w:type="dxa"/>
      </w:tblPr>
      <w:tblGrid>
        <w:gridCol w:w="4323"/>
        <w:gridCol w:w="3685"/>
        <w:gridCol w:w="3564"/>
        <w:gridCol w:w="3564"/>
      </w:tblGrid>
      <w:tr>
        <w:trPr>
          <w:trHeight w:val="1" w:hRule="atLeast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Položky grantov a dotácií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 obdobie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 účtovnej jednotky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Dotácie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Hlavná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</w:t>
            </w:r>
          </w:p>
        </w:tc>
      </w:tr>
      <w:tr>
        <w:trPr>
          <w:trHeight w:val="375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Granty </w:t>
            </w:r>
          </w:p>
        </w:tc>
        <w:tc>
          <w:tcPr>
            <w:tcW w:w="36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Hlavná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činnosť</w:t>
            </w: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754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Opis a suma významných položiek finan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čných výnosov; uvádza sa aj celková suma kurzových ziskov, pričom  osobitne sa uvádza hodnota kurzových ziskov účtovaná ku dňu, ku ktorému sa zostavuje účtovná závierka.</w:t>
      </w:r>
    </w:p>
    <w:p>
      <w:pPr>
        <w:numPr>
          <w:ilvl w:val="0"/>
          <w:numId w:val="754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Úroky  na bankových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čtoch                                                      395 eur</w:t>
      </w:r>
    </w:p>
    <w:p>
      <w:pPr>
        <w:numPr>
          <w:ilvl w:val="0"/>
          <w:numId w:val="754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Iné ostatné výnosy                                                                         0 eur   </w:t>
      </w:r>
    </w:p>
    <w:p>
      <w:pPr>
        <w:numPr>
          <w:ilvl w:val="0"/>
          <w:numId w:val="754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Prijaté príspevky od iných organizácií                                          0 eur</w:t>
      </w:r>
    </w:p>
    <w:p>
      <w:pPr>
        <w:numPr>
          <w:ilvl w:val="0"/>
          <w:numId w:val="754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Prijaté príspevky od fyzických osôb                                              0 eur </w:t>
      </w:r>
    </w:p>
    <w:p>
      <w:pPr>
        <w:numPr>
          <w:ilvl w:val="0"/>
          <w:numId w:val="754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Príspevky z podielu zaplatenej dane                                       98860 eur</w:t>
      </w:r>
    </w:p>
    <w:p>
      <w:pPr>
        <w:spacing w:before="120" w:after="120" w:line="240"/>
        <w:ind w:right="0" w:left="360" w:firstLine="348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spacing w:before="120" w:after="120" w:line="240"/>
        <w:ind w:right="0" w:left="360" w:firstLine="348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756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Opis a vy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číslenie hodnoty významných položiek nákladov, nákladov na ostatné služby, osobitných nákladov a iných ostatných nákladov. </w:t>
      </w:r>
    </w:p>
    <w:tbl>
      <w:tblPr>
        <w:tblInd w:w="814" w:type="dxa"/>
      </w:tblPr>
      <w:tblGrid>
        <w:gridCol w:w="4351"/>
        <w:gridCol w:w="3709"/>
        <w:gridCol w:w="3587"/>
      </w:tblGrid>
      <w:tr>
        <w:trPr>
          <w:trHeight w:val="364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Položky nákladov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obdobie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  obdobie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Spotreba materiálu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1151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860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Spotreba energie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3466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579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Opravy a udržiavanie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3833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Cestovné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125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2045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Ostatné služby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7841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8783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Mzdové náklady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3750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3750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Zákonné sociálne a zdravotné poistenie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742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742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ň z  nehnuteľnosti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579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579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Ostatné dane a poplatky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275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Dary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2088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Iné ostatné náklady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166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151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Odpisy dlhodobého hmotného a nehmotného majetku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3805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3805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Tvorba a zú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čtovanie opravných položiek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9958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 príspevky fyzickým osobám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2003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0</w:t>
            </w:r>
          </w:p>
        </w:tc>
      </w:tr>
      <w:tr>
        <w:trPr>
          <w:trHeight w:val="379" w:hRule="auto"/>
          <w:jc w:val="left"/>
        </w:trPr>
        <w:tc>
          <w:tcPr>
            <w:tcW w:w="435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 príspevky z podielu zaplatenej dane</w:t>
            </w:r>
          </w:p>
        </w:tc>
        <w:tc>
          <w:tcPr>
            <w:tcW w:w="370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98691</w:t>
            </w:r>
          </w:p>
        </w:tc>
        <w:tc>
          <w:tcPr>
            <w:tcW w:w="35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67460</w:t>
            </w:r>
          </w:p>
        </w:tc>
      </w:tr>
    </w:tbl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(6) 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o účele a výške použitia podielu zaplatenej dane za bežné účtovné obdobie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IV  ods. 6 o účele a výške použitia podielu zaplatenej dane    </w:t>
      </w:r>
    </w:p>
    <w:tbl>
      <w:tblPr>
        <w:tblInd w:w="28" w:type="dxa"/>
      </w:tblPr>
      <w:tblGrid>
        <w:gridCol w:w="7158"/>
        <w:gridCol w:w="3969"/>
        <w:gridCol w:w="3528"/>
        <w:gridCol w:w="2977"/>
      </w:tblGrid>
      <w:tr>
        <w:trPr>
          <w:trHeight w:val="1" w:hRule="atLeast"/>
          <w:jc w:val="left"/>
        </w:trPr>
        <w:tc>
          <w:tcPr>
            <w:tcW w:w="71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čel použitia podielu zaplatenej dane</w:t>
            </w:r>
          </w:p>
        </w:tc>
        <w:tc>
          <w:tcPr>
            <w:tcW w:w="3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Použitá suma z bezprostredne predchádzajúceho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  <w:tc>
          <w:tcPr>
            <w:tcW w:w="650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Použitá suma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</w:t>
            </w:r>
          </w:p>
        </w:tc>
      </w:tr>
      <w:tr>
        <w:trPr>
          <w:trHeight w:val="397" w:hRule="auto"/>
          <w:jc w:val="left"/>
        </w:trPr>
        <w:tc>
          <w:tcPr>
            <w:tcW w:w="71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čné príspevky pre telesne a postihnuté deti na rehabilitácie, kúpeľnú liečbu, zakúpenie zdravotníckych pomôcok, nákup potravín pre sociálne odkázané rodiny, finančné príspevky pre občianske združenia, krízové centrá, športové kluby ...</w:t>
            </w:r>
          </w:p>
        </w:tc>
        <w:tc>
          <w:tcPr>
            <w:tcW w:w="396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36395</w:t>
            </w:r>
          </w:p>
        </w:tc>
        <w:tc>
          <w:tcPr>
            <w:tcW w:w="650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62464</w:t>
            </w:r>
          </w:p>
        </w:tc>
      </w:tr>
      <w:tr>
        <w:trPr>
          <w:trHeight w:val="397" w:hRule="auto"/>
          <w:jc w:val="left"/>
        </w:trPr>
        <w:tc>
          <w:tcPr>
            <w:tcW w:w="71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9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11127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Zostatok podielu zaplatenej dane bežného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čtovného obdobia                                                     44049</w:t>
            </w:r>
          </w:p>
        </w:tc>
        <w:tc>
          <w:tcPr>
            <w:tcW w:w="6505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807"/>
        </w:numPr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Opis a suma významných položiek finan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čných nákladov; uvádza sa aj celková suma kurzových strát, pričom osobitne sa uvádza hodnota kurzových strát účtovaná ku dňu, ku ktorému sa zostavuje účtovná závierka.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809"/>
        </w:numPr>
        <w:suppressAutoHyphens w:val="true"/>
        <w:spacing w:before="12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V 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čtovnej jednotke, ktorá má povinnosť overenia účtovnej závierky audítorom, sa uvedie vymedzenie a suma nákladov za účtovné obdobie v členení na náklady za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a) overenie 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čtovnej závierky,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b) uis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ťovacie audítorské služby s výnimkou overenia účtovnej závierky,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c) súvisiace audítorské služby,</w:t>
      </w:r>
    </w:p>
    <w:p>
      <w:pPr>
        <w:spacing w:before="12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d) da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ňové poradenstvo,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e) ostatné neaudítorské služby.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           Tabu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ľka k čl. IV  ods. 8 o nákladoch vynaložených v súvislosti s auditom účtovnej závierky</w:t>
      </w:r>
    </w:p>
    <w:tbl>
      <w:tblPr>
        <w:tblInd w:w="844" w:type="dxa"/>
      </w:tblPr>
      <w:tblGrid>
        <w:gridCol w:w="6307"/>
        <w:gridCol w:w="2997"/>
      </w:tblGrid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Jednotlivé druhy nákladov za</w:t>
            </w:r>
          </w:p>
        </w:tc>
        <w:tc>
          <w:tcPr>
            <w:tcW w:w="2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Suma</w:t>
            </w: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overenie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čtovnej závierky</w:t>
            </w:r>
          </w:p>
        </w:tc>
        <w:tc>
          <w:tcPr>
            <w:tcW w:w="2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                            480</w:t>
            </w: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uis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ťovacie audítorské služby s výnimkou overenia účtovnej závierky</w:t>
            </w:r>
          </w:p>
        </w:tc>
        <w:tc>
          <w:tcPr>
            <w:tcW w:w="2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súvisiace audítorské služby</w:t>
            </w:r>
          </w:p>
        </w:tc>
        <w:tc>
          <w:tcPr>
            <w:tcW w:w="2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ňové poradenstvo</w:t>
            </w:r>
          </w:p>
        </w:tc>
        <w:tc>
          <w:tcPr>
            <w:tcW w:w="2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ostatné neaudítorské služby</w:t>
            </w:r>
          </w:p>
        </w:tc>
        <w:tc>
          <w:tcPr>
            <w:tcW w:w="2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  <w:tc>
          <w:tcPr>
            <w:tcW w:w="299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uppressAutoHyphens w:val="true"/>
              <w:spacing w:before="0" w:after="12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                             480</w:t>
            </w:r>
          </w:p>
        </w:tc>
      </w:tr>
    </w:tbl>
    <w:p>
      <w:pPr>
        <w:keepNext w:val="true"/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                                                                                                                            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Čl. V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Opis údajov na podsúvahových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čtoch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Významné položky prenajatého majetku, majetku prijatého do úschovy,  odpísané poh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ľadávky a prípadné ďalšie položky.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Čl. VI</w:t>
      </w:r>
    </w:p>
    <w:p>
      <w:pPr>
        <w:keepNext w:val="true"/>
        <w:spacing w:before="0" w:after="12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Ďalšie informácie</w:t>
      </w:r>
    </w:p>
    <w:p>
      <w:pPr>
        <w:numPr>
          <w:ilvl w:val="0"/>
          <w:numId w:val="833"/>
        </w:numPr>
        <w:tabs>
          <w:tab w:val="left" w:pos="708" w:leader="none"/>
        </w:tabs>
        <w:suppressAutoHyphens w:val="true"/>
        <w:spacing w:before="12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Opis a hodnota iných aktív, ktorými sa rozumie možný majetok, ktorý vznikol v dôsledku minulých udalostí a ktorého existencia alebo vlastníctvo závisí od toho, 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numPr>
          <w:ilvl w:val="0"/>
          <w:numId w:val="834"/>
        </w:numPr>
        <w:tabs>
          <w:tab w:val="left" w:pos="708" w:leader="none"/>
        </w:tabs>
        <w:suppressAutoHyphens w:val="true"/>
        <w:spacing w:before="120" w:after="120" w:line="240"/>
        <w:ind w:right="0" w:left="72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numPr>
          <w:ilvl w:val="0"/>
          <w:numId w:val="835"/>
        </w:numPr>
        <w:tabs>
          <w:tab w:val="left" w:pos="708" w:leader="none"/>
        </w:tabs>
        <w:suppressAutoHyphens w:val="true"/>
        <w:spacing w:before="12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Opis a hodnota iných pasív vyplývajúcich zo súdnych rozhodnutí, z poskytnutých záruk, zo všeobecne záväzných právnych predpisov, z ru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čenia podľa jednotlivých druhov ručenia;  takýmito inými pasívami sú:</w:t>
      </w:r>
    </w:p>
    <w:p>
      <w:pPr>
        <w:numPr>
          <w:ilvl w:val="0"/>
          <w:numId w:val="835"/>
        </w:numPr>
        <w:tabs>
          <w:tab w:val="left" w:pos="708" w:leader="none"/>
        </w:tabs>
        <w:suppressAutoHyphens w:val="true"/>
        <w:spacing w:before="120" w:after="120" w:line="240"/>
        <w:ind w:right="0" w:left="105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možná povinnos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</w:t>
      </w:r>
    </w:p>
    <w:p>
      <w:pPr>
        <w:numPr>
          <w:ilvl w:val="0"/>
          <w:numId w:val="837"/>
        </w:numPr>
        <w:tabs>
          <w:tab w:val="left" w:pos="708" w:leader="none"/>
        </w:tabs>
        <w:suppressAutoHyphens w:val="true"/>
        <w:spacing w:before="120" w:after="120" w:line="240"/>
        <w:ind w:right="0" w:left="105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čtovnej jednotky, alebo</w:t>
      </w:r>
    </w:p>
    <w:p>
      <w:pPr>
        <w:numPr>
          <w:ilvl w:val="0"/>
          <w:numId w:val="838"/>
        </w:numPr>
        <w:tabs>
          <w:tab w:val="left" w:pos="708" w:leader="none"/>
        </w:tabs>
        <w:suppressAutoHyphens w:val="true"/>
        <w:spacing w:before="120" w:after="120" w:line="240"/>
        <w:ind w:right="0" w:left="105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ť, ktorá vznikla ako dôsledok minulej udalosti, ale ktorá sa nevykazuje v súvahe, pretože nie je pravdepodobné, že na splnenie tejto povinnosti bude potrebný úbytok ekonomických úžitkov, </w:t>
      </w:r>
    </w:p>
    <w:p>
      <w:pPr>
        <w:numPr>
          <w:ilvl w:val="0"/>
          <w:numId w:val="839"/>
        </w:numPr>
        <w:tabs>
          <w:tab w:val="left" w:pos="708" w:leader="none"/>
        </w:tabs>
        <w:suppressAutoHyphens w:val="true"/>
        <w:spacing w:before="120" w:after="120" w:line="240"/>
        <w:ind w:right="0" w:left="105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alebo výška tejto povinnosti sa nedá spo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ľahlivo oceniť.</w:t>
      </w:r>
    </w:p>
    <w:p>
      <w:pPr>
        <w:numPr>
          <w:ilvl w:val="0"/>
          <w:numId w:val="839"/>
        </w:numPr>
        <w:tabs>
          <w:tab w:val="left" w:pos="708" w:leader="none"/>
        </w:tabs>
        <w:suppressAutoHyphens w:val="true"/>
        <w:spacing w:before="120" w:after="120" w:line="240"/>
        <w:ind w:right="0" w:left="105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numPr>
          <w:ilvl w:val="0"/>
          <w:numId w:val="839"/>
        </w:numPr>
        <w:tabs>
          <w:tab w:val="left" w:pos="708" w:leader="none"/>
        </w:tabs>
        <w:suppressAutoHyphens w:val="true"/>
        <w:spacing w:before="120" w:after="120" w:line="240"/>
        <w:ind w:right="0" w:left="105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839"/>
        </w:numPr>
        <w:tabs>
          <w:tab w:val="left" w:pos="708" w:leader="none"/>
        </w:tabs>
        <w:suppressAutoHyphens w:val="true"/>
        <w:spacing w:before="120" w:after="120" w:line="240"/>
        <w:ind w:right="0" w:left="105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</w:p>
    <w:p>
      <w:pPr>
        <w:numPr>
          <w:ilvl w:val="0"/>
          <w:numId w:val="840"/>
        </w:numPr>
        <w:tabs>
          <w:tab w:val="left" w:pos="708" w:leader="none"/>
        </w:tabs>
        <w:suppressAutoHyphens w:val="true"/>
        <w:spacing w:before="12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Opis významných položiek ostatných finan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čných povinností, ktoré sa nesledujú v účtovníctve a neuvádzajú sa v súvahe; pri každej položke sa uvádza jej opis, výška a údaj, či sa týka spriaznených osôb, a to</w:t>
      </w:r>
    </w:p>
    <w:p>
      <w:pPr>
        <w:numPr>
          <w:ilvl w:val="0"/>
          <w:numId w:val="841"/>
        </w:numPr>
        <w:tabs>
          <w:tab w:val="left" w:pos="708" w:leader="none"/>
        </w:tabs>
        <w:suppressAutoHyphens w:val="true"/>
        <w:spacing w:before="120" w:after="120" w:line="240"/>
        <w:ind w:right="0" w:left="144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a) povinnos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ť z devízových termínovaných obchodov a iných finančných derivátov,</w:t>
      </w:r>
    </w:p>
    <w:p>
      <w:pPr>
        <w:numPr>
          <w:ilvl w:val="0"/>
          <w:numId w:val="841"/>
        </w:numPr>
        <w:tabs>
          <w:tab w:val="left" w:pos="708" w:leader="none"/>
        </w:tabs>
        <w:suppressAutoHyphens w:val="true"/>
        <w:spacing w:before="120" w:after="120" w:line="240"/>
        <w:ind w:right="0" w:left="144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b) povinnos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ť z opčných obchodov,</w:t>
      </w:r>
    </w:p>
    <w:p>
      <w:pPr>
        <w:numPr>
          <w:ilvl w:val="0"/>
          <w:numId w:val="841"/>
        </w:numPr>
        <w:tabs>
          <w:tab w:val="left" w:pos="708" w:leader="none"/>
        </w:tabs>
        <w:suppressAutoHyphens w:val="true"/>
        <w:spacing w:before="120" w:after="120" w:line="240"/>
        <w:ind w:right="0" w:left="144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 c) zákonná povinnos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ť alebo zmluvná povinnosť odobrať určité produkty alebo služby, napríklad z dodávateľských alebo odberateľských zmlúv,</w:t>
      </w:r>
    </w:p>
    <w:p>
      <w:pPr>
        <w:numPr>
          <w:ilvl w:val="0"/>
          <w:numId w:val="841"/>
        </w:numPr>
        <w:tabs>
          <w:tab w:val="left" w:pos="708" w:leader="none"/>
        </w:tabs>
        <w:suppressAutoHyphens w:val="true"/>
        <w:spacing w:before="120" w:after="120" w:line="240"/>
        <w:ind w:right="0" w:left="144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d) povinnos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ť z leasingových, nájomných, servisných, poistných, koncesionárskych, licenčných zmlúv a podobných zmlúv,</w:t>
      </w:r>
    </w:p>
    <w:p>
      <w:pPr>
        <w:numPr>
          <w:ilvl w:val="0"/>
          <w:numId w:val="841"/>
        </w:numPr>
        <w:tabs>
          <w:tab w:val="left" w:pos="708" w:leader="none"/>
        </w:tabs>
        <w:suppressAutoHyphens w:val="true"/>
        <w:spacing w:before="120" w:after="120" w:line="240"/>
        <w:ind w:right="0" w:left="144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               e) iné povinnosti. </w:t>
      </w:r>
    </w:p>
    <w:p>
      <w:pPr>
        <w:numPr>
          <w:ilvl w:val="0"/>
          <w:numId w:val="841"/>
        </w:numPr>
        <w:tabs>
          <w:tab w:val="left" w:pos="708" w:leader="none"/>
        </w:tabs>
        <w:suppressAutoHyphens w:val="true"/>
        <w:spacing w:before="120" w:after="120" w:line="240"/>
        <w:ind w:right="0" w:left="1440" w:hanging="36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numPr>
          <w:ilvl w:val="0"/>
          <w:numId w:val="842"/>
        </w:numPr>
        <w:tabs>
          <w:tab w:val="left" w:pos="720" w:leader="none"/>
        </w:tabs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Preh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ľad nehnuteľných kultúrnych pamiatok, ktoré sú v správe alebo vo vlastníctve účtovnej jednotky.</w:t>
      </w:r>
    </w:p>
    <w:p>
      <w:pPr>
        <w:spacing w:before="0" w:after="120" w:line="240"/>
        <w:ind w:right="0" w:left="72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položku.</w:t>
      </w:r>
    </w:p>
    <w:p>
      <w:pPr>
        <w:numPr>
          <w:ilvl w:val="0"/>
          <w:numId w:val="844"/>
        </w:numPr>
        <w:tabs>
          <w:tab w:val="left" w:pos="720" w:leader="none"/>
        </w:tabs>
        <w:suppressAutoHyphens w:val="true"/>
        <w:spacing w:before="0" w:after="12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Informácie o významných skuto</w:t>
      </w:r>
      <w:r>
        <w:rPr>
          <w:rFonts w:ascii="Arial" w:hAnsi="Arial" w:cs="Arial" w:eastAsia="Arial"/>
          <w:color w:val="auto"/>
          <w:spacing w:val="0"/>
          <w:position w:val="0"/>
          <w:sz w:val="16"/>
          <w:shd w:fill="auto" w:val="clear"/>
        </w:rPr>
        <w:t xml:space="preserve">čnostiach, ktoré nastali medzi dňom, ku ktorému sa zostavuje účtovná závierka a dňom jej zostavenia.</w:t>
      </w:r>
    </w:p>
    <w:p>
      <w:pPr>
        <w:spacing w:before="120" w:after="120" w:line="36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               Ú</w:t>
      </w:r>
      <w:r>
        <w:rPr>
          <w:rFonts w:ascii="Arial" w:hAnsi="Arial" w:cs="Arial" w:eastAsia="Arial"/>
          <w:b/>
          <w:color w:val="auto"/>
          <w:spacing w:val="0"/>
          <w:position w:val="0"/>
          <w:sz w:val="16"/>
          <w:shd w:fill="auto" w:val="clear"/>
        </w:rPr>
        <w:t xml:space="preserve">čtovná jednotka nemá náplň pre túto položku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1">
    <w:lvl w:ilvl="0">
      <w:start w:val="1"/>
      <w:numFmt w:val="decimal"/>
      <w:lvlText w:val="%1."/>
    </w:lvl>
  </w:abstractNum>
  <w:abstractNum w:abstractNumId="24">
    <w:lvl w:ilvl="0">
      <w:start w:val="1"/>
      <w:numFmt w:val="bullet"/>
      <w:lvlText w:val="•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25">
    <w:lvl w:ilvl="0">
      <w:start w:val="1"/>
      <w:numFmt w:val="decimal"/>
      <w:lvlText w:val="%1.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31">
    <w:lvl w:ilvl="0">
      <w:start w:val="1"/>
      <w:numFmt w:val="decimal"/>
      <w:lvlText w:val="%1."/>
    </w:lvl>
  </w:abstractNum>
  <w:abstractNum w:abstractNumId="174">
    <w:lvl w:ilvl="0">
      <w:start w:val="1"/>
      <w:numFmt w:val="bullet"/>
      <w:lvlText w:val="•"/>
    </w:lvl>
  </w:abstractNum>
  <w:abstractNum w:abstractNumId="37">
    <w:lvl w:ilvl="0">
      <w:start w:val="1"/>
      <w:numFmt w:val="decimal"/>
      <w:lvlText w:val="%1."/>
    </w:lvl>
  </w:abstractNum>
  <w:abstractNum w:abstractNumId="180">
    <w:lvl w:ilvl="0">
      <w:start w:val="1"/>
      <w:numFmt w:val="bullet"/>
      <w:lvlText w:val="•"/>
    </w:lvl>
  </w:abstractNum>
  <w:abstractNum w:abstractNumId="43">
    <w:lvl w:ilvl="0">
      <w:start w:val="1"/>
      <w:numFmt w:val="decimal"/>
      <w:lvlText w:val="%1."/>
    </w:lvl>
  </w:abstractNum>
  <w:abstractNum w:abstractNumId="186">
    <w:lvl w:ilvl="0">
      <w:start w:val="1"/>
      <w:numFmt w:val="bullet"/>
      <w:lvlText w:val="•"/>
    </w:lvl>
  </w:abstractNum>
  <w:abstractNum w:abstractNumId="49">
    <w:lvl w:ilvl="0">
      <w:start w:val="1"/>
      <w:numFmt w:val="decimal"/>
      <w:lvlText w:val="%1.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num w:numId="8">
    <w:abstractNumId w:val="198"/>
  </w:num>
  <w:num w:numId="12">
    <w:abstractNumId w:val="192"/>
  </w:num>
  <w:num w:numId="15">
    <w:abstractNumId w:val="186"/>
  </w:num>
  <w:num w:numId="17">
    <w:abstractNumId w:val="180"/>
  </w:num>
  <w:num w:numId="20">
    <w:abstractNumId w:val="49"/>
  </w:num>
  <w:num w:numId="21">
    <w:abstractNumId w:val="174"/>
  </w:num>
  <w:num w:numId="24">
    <w:abstractNumId w:val="43"/>
  </w:num>
  <w:num w:numId="26">
    <w:abstractNumId w:val="37"/>
  </w:num>
  <w:num w:numId="28">
    <w:abstractNumId w:val="31"/>
  </w:num>
  <w:num w:numId="30">
    <w:abstractNumId w:val="25"/>
  </w:num>
  <w:num w:numId="33">
    <w:abstractNumId w:val="168"/>
  </w:num>
  <w:num w:numId="36">
    <w:abstractNumId w:val="162"/>
  </w:num>
  <w:num w:numId="40">
    <w:abstractNumId w:val="156"/>
  </w:num>
  <w:num w:numId="42">
    <w:abstractNumId w:val="150"/>
  </w:num>
  <w:num w:numId="46">
    <w:abstractNumId w:val="144"/>
  </w:num>
  <w:num w:numId="197">
    <w:abstractNumId w:val="138"/>
  </w:num>
  <w:num w:numId="199">
    <w:abstractNumId w:val="132"/>
  </w:num>
  <w:num w:numId="201">
    <w:abstractNumId w:val="126"/>
  </w:num>
  <w:num w:numId="265">
    <w:abstractNumId w:val="120"/>
  </w:num>
  <w:num w:numId="303">
    <w:abstractNumId w:val="114"/>
  </w:num>
  <w:num w:numId="333">
    <w:abstractNumId w:val="108"/>
  </w:num>
  <w:num w:numId="343">
    <w:abstractNumId w:val="102"/>
  </w:num>
  <w:num w:numId="369">
    <w:abstractNumId w:val="96"/>
  </w:num>
  <w:num w:numId="387">
    <w:abstractNumId w:val="90"/>
  </w:num>
  <w:num w:numId="484">
    <w:abstractNumId w:val="84"/>
  </w:num>
  <w:num w:numId="565">
    <w:abstractNumId w:val="78"/>
  </w:num>
  <w:num w:numId="715">
    <w:abstractNumId w:val="72"/>
  </w:num>
  <w:num w:numId="724">
    <w:abstractNumId w:val="66"/>
  </w:num>
  <w:num w:numId="743">
    <w:abstractNumId w:val="60"/>
  </w:num>
  <w:num w:numId="754">
    <w:abstractNumId w:val="54"/>
  </w:num>
  <w:num w:numId="756">
    <w:abstractNumId w:val="48"/>
  </w:num>
  <w:num w:numId="807">
    <w:abstractNumId w:val="42"/>
  </w:num>
  <w:num w:numId="809">
    <w:abstractNumId w:val="36"/>
  </w:num>
  <w:num w:numId="833">
    <w:abstractNumId w:val="30"/>
  </w:num>
  <w:num w:numId="834">
    <w:abstractNumId w:val="19"/>
  </w:num>
  <w:num w:numId="835">
    <w:abstractNumId w:val="24"/>
  </w:num>
  <w:num w:numId="837">
    <w:abstractNumId w:val="13"/>
  </w:num>
  <w:num w:numId="838">
    <w:abstractNumId w:val="18"/>
  </w:num>
  <w:num w:numId="839">
    <w:abstractNumId w:val="7"/>
  </w:num>
  <w:num w:numId="840">
    <w:abstractNumId w:val="12"/>
  </w:num>
  <w:num w:numId="841">
    <w:abstractNumId w:val="1"/>
  </w:num>
  <w:num w:numId="842">
    <w:abstractNumId w:val="6"/>
  </w:num>
  <w:num w:numId="84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