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0B20" w:rsidRDefault="00C40B20" w:rsidP="00C40B20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Obyce</w:t>
      </w:r>
    </w:p>
    <w:p w:rsidR="00C40B20" w:rsidRDefault="00C40B20" w:rsidP="00C40B20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55693E">
        <w:rPr>
          <w:rFonts w:ascii="Arial" w:hAnsi="Arial" w:cs="Arial"/>
          <w:b/>
          <w:iCs/>
          <w:sz w:val="28"/>
          <w:szCs w:val="28"/>
        </w:rPr>
        <w:t>2015</w:t>
      </w:r>
    </w:p>
    <w:p w:rsidR="00C40B20" w:rsidRDefault="00C40B20" w:rsidP="00C40B20">
      <w:pPr>
        <w:rPr>
          <w:rFonts w:ascii="Arial" w:hAnsi="Arial" w:cs="Arial"/>
        </w:rPr>
      </w:pPr>
    </w:p>
    <w:p w:rsidR="00C40B20" w:rsidRDefault="00C40B20" w:rsidP="00C40B20">
      <w:pPr>
        <w:rPr>
          <w:rFonts w:ascii="Arial" w:hAnsi="Arial" w:cs="Arial"/>
        </w:rPr>
      </w:pP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</w:p>
    <w:p w:rsidR="00C40B20" w:rsidRDefault="00C40B20" w:rsidP="00C40B20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C40B20" w:rsidRDefault="00C40B20" w:rsidP="00C40B20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C40B20" w:rsidTr="00C40B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Obyce</w:t>
            </w:r>
          </w:p>
        </w:tc>
      </w:tr>
      <w:tr w:rsidR="00C40B20" w:rsidTr="00C40B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00308358</w:t>
            </w:r>
          </w:p>
        </w:tc>
      </w:tr>
      <w:tr w:rsidR="00C40B20" w:rsidTr="00C40B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Cintorínska 229, 951 95 Obyce</w:t>
            </w:r>
          </w:p>
        </w:tc>
      </w:tr>
      <w:tr w:rsidR="00C40B20" w:rsidTr="00C40B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založenie zo zákona</w:t>
            </w:r>
          </w:p>
        </w:tc>
      </w:tr>
    </w:tbl>
    <w:p w:rsidR="00C40B20" w:rsidRDefault="00C40B20" w:rsidP="00C40B20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Konsolidovaná účtovná závierka konsolidovaného celku obce Obyce  bola zostavená v súlade so zákonom </w:t>
      </w:r>
      <w:r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  <w:bCs/>
        </w:rPr>
      </w:pPr>
    </w:p>
    <w:p w:rsidR="00C40B20" w:rsidRDefault="00C40B20" w:rsidP="00C40B20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C40B20" w:rsidTr="00C40B20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Milan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Garaj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PhD.</w:t>
            </w:r>
          </w:p>
        </w:tc>
      </w:tr>
      <w:tr w:rsidR="00C40B20" w:rsidTr="00C40B2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Cyril Dlhý</w:t>
            </w:r>
          </w:p>
        </w:tc>
      </w:tr>
      <w:tr w:rsidR="00C40B20" w:rsidTr="00C40B20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–-</w:t>
            </w:r>
          </w:p>
        </w:tc>
      </w:tr>
      <w:tr w:rsidR="00C40B20" w:rsidTr="00C40B2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PaedDR.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Ing. Beáta Čepcová</w:t>
            </w:r>
          </w:p>
        </w:tc>
      </w:tr>
    </w:tbl>
    <w:p w:rsidR="00C40B20" w:rsidRDefault="00C40B20" w:rsidP="00C40B20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konsolidovanom celku</w:t>
      </w:r>
    </w:p>
    <w:p w:rsidR="00C40B20" w:rsidRDefault="00C40B20" w:rsidP="00C40B20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Identifikačné údaje všetkých účtovných jednotiek konsolidovaného celku Obec Obyce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p w:rsidR="00C40B20" w:rsidRDefault="00C40B20" w:rsidP="00C40B20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:rsidR="00C40B20" w:rsidRDefault="00C40B20" w:rsidP="00C40B20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C40B20" w:rsidTr="00C40B2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C40B20" w:rsidTr="00C40B2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Obyce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Školská 289, 951 95 Obyce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37865137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1.07.2002</w:t>
            </w:r>
          </w:p>
        </w:tc>
      </w:tr>
      <w:tr w:rsidR="00C40B20" w:rsidTr="00C40B2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C40B20" w:rsidRDefault="00C40B20" w:rsidP="00C40B20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Zmena konsolidovaného celku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účtovného obdobia od 1. januára 201</w:t>
      </w:r>
      <w:r w:rsidR="00FC496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do 31. decembra 201</w:t>
      </w:r>
      <w:r w:rsidR="00FC4962">
        <w:rPr>
          <w:rFonts w:ascii="Arial" w:hAnsi="Arial" w:cs="Arial"/>
        </w:rPr>
        <w:t>5</w:t>
      </w:r>
      <w:bookmarkStart w:id="0" w:name="_GoBack"/>
      <w:bookmarkEnd w:id="0"/>
      <w:r>
        <w:rPr>
          <w:rFonts w:ascii="Arial" w:hAnsi="Arial" w:cs="Arial"/>
        </w:rPr>
        <w:t xml:space="preserve"> nedošlo k týmto zmenám v štruktúre konsolidovaného celku </w:t>
      </w:r>
      <w:r>
        <w:rPr>
          <w:rFonts w:ascii="Arial" w:hAnsi="Arial" w:cs="Arial"/>
          <w:i/>
        </w:rPr>
        <w:t>názov konsolidujúcej ÚJ</w:t>
      </w:r>
      <w:r>
        <w:rPr>
          <w:rFonts w:ascii="Arial" w:hAnsi="Arial" w:cs="Arial"/>
        </w:rPr>
        <w:t xml:space="preserve"> 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p w:rsidR="00C40B20" w:rsidRDefault="00C40B20" w:rsidP="00C40B20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C40B20" w:rsidRDefault="00C40B20" w:rsidP="00C40B20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C40B20" w:rsidTr="00C40B2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pStyle w:val="odstavec"/>
            </w:pPr>
            <w: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55693E">
            <w:pPr>
              <w:pStyle w:val="odstavec"/>
            </w:pPr>
            <w:r>
              <w:t>201</w:t>
            </w:r>
            <w:r w:rsidR="009C7C25"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 w:rsidP="009C7C25">
            <w:pPr>
              <w:pStyle w:val="odstavec"/>
            </w:pPr>
            <w:r>
              <w:t>201</w:t>
            </w:r>
            <w:r w:rsidR="009C7C25">
              <w:t>5</w:t>
            </w:r>
          </w:p>
        </w:tc>
      </w:tr>
      <w:tr w:rsidR="00C40B20" w:rsidTr="00C40B2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pStyle w:val="odstavec"/>
            </w:pPr>
            <w: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55693E">
            <w:pPr>
              <w:pStyle w:val="odstavec"/>
            </w:pPr>
            <w:r>
              <w:t>36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9C7C25">
            <w:pPr>
              <w:pStyle w:val="odstavec"/>
            </w:pPr>
            <w:r>
              <w:t>38</w:t>
            </w:r>
          </w:p>
        </w:tc>
      </w:tr>
      <w:tr w:rsidR="00C40B20" w:rsidTr="00C40B20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pStyle w:val="odstavec"/>
            </w:pPr>
            <w: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pStyle w:val="odstavec"/>
            </w:pPr>
            <w:r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C40B20" w:rsidRDefault="00C40B20">
            <w:pPr>
              <w:pStyle w:val="odstavec"/>
            </w:pPr>
            <w:r>
              <w:t>4</w:t>
            </w:r>
          </w:p>
        </w:tc>
      </w:tr>
    </w:tbl>
    <w:p w:rsidR="00C40B20" w:rsidRDefault="00C40B20" w:rsidP="00C40B20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C40B20" w:rsidRDefault="00C40B20" w:rsidP="00C40B20">
      <w:pPr>
        <w:pStyle w:val="Nadpis2"/>
      </w:pPr>
      <w:r>
        <w:t xml:space="preserve">Informácie o výsledku hospodárenia z dôvodu predaja majetku medzi účtovnými   jednotkami konsolidovaného celku </w:t>
      </w:r>
    </w:p>
    <w:p w:rsidR="00C40B20" w:rsidRDefault="00C40B20" w:rsidP="00C40B20">
      <w:pPr>
        <w:spacing w:before="120"/>
        <w:ind w:left="426"/>
        <w:rPr>
          <w:rFonts w:ascii="Arial" w:hAnsi="Arial" w:cs="Arial"/>
        </w:rPr>
      </w:pPr>
      <w:r>
        <w:rPr>
          <w:rFonts w:ascii="Arial" w:hAnsi="Arial" w:cs="Arial"/>
        </w:rPr>
        <w:t>V priebehu účtovného obdobia roku 201</w:t>
      </w:r>
      <w:r w:rsidR="009C7C25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sa medzi účtovnými jednotkami konsolidovaného celku obce neuskutočnil nákup resp. predaj majetku.</w:t>
      </w:r>
    </w:p>
    <w:p w:rsidR="00C40B20" w:rsidRDefault="00C40B20" w:rsidP="00C40B20">
      <w:pPr>
        <w:spacing w:before="120"/>
        <w:ind w:left="426"/>
        <w:jc w:val="both"/>
        <w:rPr>
          <w:rFonts w:ascii="Arial" w:hAnsi="Arial" w:cs="Arial"/>
        </w:rPr>
      </w:pPr>
    </w:p>
    <w:p w:rsidR="00C40B20" w:rsidRDefault="00C40B20" w:rsidP="00C40B20">
      <w:pPr>
        <w:pStyle w:val="Nadpis2"/>
      </w:pPr>
      <w:r>
        <w:t>Informácie o účtovných zásadách a účtovných metódach</w:t>
      </w:r>
    </w:p>
    <w:p w:rsidR="00C40B20" w:rsidRDefault="00C40B20" w:rsidP="00C40B20">
      <w:pPr>
        <w:pStyle w:val="abc"/>
      </w:pPr>
      <w:r>
        <w:t>Dlhodobý nehmotný a dlhodobý hmotný majetok</w:t>
      </w:r>
    </w:p>
    <w:p w:rsidR="00C40B20" w:rsidRDefault="00C40B20" w:rsidP="00C40B20">
      <w:pPr>
        <w:pStyle w:val="odstavec"/>
      </w:pPr>
      <w:r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</w:t>
      </w:r>
    </w:p>
    <w:p w:rsidR="00C40B20" w:rsidRDefault="00C40B20" w:rsidP="00C40B2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40B20" w:rsidRDefault="00C40B20" w:rsidP="00C40B20">
      <w:pPr>
        <w:pStyle w:val="odstavec"/>
      </w:pPr>
      <w:r>
        <w:t xml:space="preserve">Hodnota obstarávaného dlhodobého hmotného majetku, ktorý sa používa, sa trvalo zníži o oprávky, ktoré zodpovedajú výške opotrebenia majetku.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</w:pPr>
      <w:r>
        <w:t xml:space="preserve">O opravných položkách sa účtuje v prípade prechodného zníženia hodnoty majetku ku dňu, ku ktorému sa zostavuje účtovná závierka.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</w:pPr>
      <w: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C40B20" w:rsidRDefault="00C40B20" w:rsidP="00C40B20">
      <w:pPr>
        <w:pStyle w:val="odstavec"/>
      </w:pPr>
      <w: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>. cenou, za ktorú by sa majetok obstaral v čase, keď sa o ňom účtuje.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</w:pPr>
      <w: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C40B20" w:rsidRDefault="00C40B20" w:rsidP="00C40B20">
      <w:pPr>
        <w:pStyle w:val="odstavec"/>
      </w:pPr>
      <w:r>
        <w:tab/>
      </w:r>
      <w:r>
        <w:tab/>
      </w:r>
    </w:p>
    <w:p w:rsidR="00C40B20" w:rsidRDefault="00C40B20" w:rsidP="00C40B20">
      <w:pPr>
        <w:pStyle w:val="abc"/>
      </w:pPr>
      <w:r>
        <w:t>Dlhodobý finančný majetok</w:t>
      </w:r>
    </w:p>
    <w:p w:rsidR="00C40B20" w:rsidRDefault="00C40B20" w:rsidP="00C40B20">
      <w:pPr>
        <w:pStyle w:val="odstavec"/>
      </w:pPr>
      <w:r>
        <w:t xml:space="preserve">Finančné investície, cenné papiere a majetkové účasti sa oceňujú obstarávacou cenou, vrátane nákladov súvisiacich s obstaraním (provízie maklérom, poplatky burze).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Zásoby</w:t>
      </w:r>
    </w:p>
    <w:p w:rsidR="00C40B20" w:rsidRDefault="00C40B20" w:rsidP="00C40B20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C40B20" w:rsidRDefault="00C40B20" w:rsidP="00C40B20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:rsidR="00C40B20" w:rsidRDefault="00C40B20" w:rsidP="00C40B20">
      <w:pPr>
        <w:pStyle w:val="abc"/>
        <w:numPr>
          <w:ilvl w:val="0"/>
          <w:numId w:val="0"/>
        </w:numPr>
      </w:pPr>
      <w:r>
        <w:rPr>
          <w:b w:val="0"/>
        </w:rPr>
        <w:lastRenderedPageBreak/>
        <w:t>Toto ocenenie sa upravuje o zníženie</w:t>
      </w:r>
      <w:r>
        <w:t xml:space="preserve"> hodnoty zásob.</w:t>
      </w:r>
    </w:p>
    <w:p w:rsidR="00C40B20" w:rsidRDefault="00C40B20" w:rsidP="00C40B20">
      <w:pPr>
        <w:pStyle w:val="abc"/>
        <w:numPr>
          <w:ilvl w:val="0"/>
          <w:numId w:val="0"/>
        </w:numPr>
      </w:pPr>
    </w:p>
    <w:p w:rsidR="00C40B20" w:rsidRDefault="00C40B20" w:rsidP="00C40B20">
      <w:pPr>
        <w:pStyle w:val="abc"/>
        <w:numPr>
          <w:ilvl w:val="0"/>
          <w:numId w:val="0"/>
        </w:numPr>
      </w:pPr>
    </w:p>
    <w:p w:rsidR="00C40B20" w:rsidRDefault="00C40B20" w:rsidP="00C40B20">
      <w:pPr>
        <w:pStyle w:val="abc"/>
        <w:numPr>
          <w:ilvl w:val="0"/>
          <w:numId w:val="0"/>
        </w:numPr>
      </w:pPr>
    </w:p>
    <w:p w:rsidR="00C40B20" w:rsidRDefault="00C40B20" w:rsidP="00C40B20">
      <w:pPr>
        <w:pStyle w:val="abc"/>
      </w:pPr>
      <w:r>
        <w:t>Pohľadávky</w:t>
      </w:r>
    </w:p>
    <w:p w:rsidR="00C40B20" w:rsidRDefault="00C40B20" w:rsidP="00C40B20">
      <w:pPr>
        <w:pStyle w:val="odstavec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 obstaraním.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  <w:rPr>
          <w:color w:val="00B050"/>
        </w:rPr>
      </w:pPr>
      <w:r>
        <w:t xml:space="preserve">Opravná položka sa vytvára napr. k pohľadávkam po splatnosti a nedobytným pohľadávkam, kde existuje riziko nevymožiteľnosti pohľadávok.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Finančné účty</w:t>
      </w:r>
    </w:p>
    <w:p w:rsidR="00C40B20" w:rsidRDefault="00C40B20" w:rsidP="00C40B20">
      <w:pPr>
        <w:pStyle w:val="odstavec"/>
      </w:pPr>
      <w:r>
        <w:t>Peňažné prostriedky a ceniny sa oceňujú menovitou hodnotou.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Náklady budúcich období a príjmy budúcich období</w:t>
      </w:r>
    </w:p>
    <w:p w:rsidR="00C40B20" w:rsidRDefault="00C40B20" w:rsidP="00C40B20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Rezervy</w:t>
      </w:r>
    </w:p>
    <w:p w:rsidR="00C40B20" w:rsidRDefault="00C40B20" w:rsidP="00C40B20">
      <w:pPr>
        <w:pStyle w:val="odstavec"/>
      </w:pPr>
      <w: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Záväzky</w:t>
      </w:r>
    </w:p>
    <w:p w:rsidR="00C40B20" w:rsidRDefault="00C40B20" w:rsidP="00C40B20">
      <w:pPr>
        <w:pStyle w:val="odstavec"/>
      </w:pPr>
      <w:r>
        <w:t xml:space="preserve">Záväzky sa pri ich vzniku oceňujú menovitou hodnotou a pri ich prevzatí sa oceňujú obstarávacou cenou. </w:t>
      </w:r>
    </w:p>
    <w:p w:rsidR="00C40B20" w:rsidRDefault="00C40B20" w:rsidP="00C40B20">
      <w:pPr>
        <w:pStyle w:val="odstavec"/>
      </w:pPr>
      <w:r>
        <w:t>Ak sa pri inventarizácii zistí, že suma záväzkov je iná ako ich výška v účtovníctve, uvedú sa záväzky v účtovníctve a v účtovnej závierke v tomto zistenom ocenení.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Výdavky budúcich období a výnosy budúcich období</w:t>
      </w:r>
    </w:p>
    <w:p w:rsidR="00C40B20" w:rsidRDefault="00C40B20" w:rsidP="00C40B20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t>Cudzia mena</w:t>
      </w:r>
    </w:p>
    <w:p w:rsidR="00C40B20" w:rsidRDefault="00C40B20" w:rsidP="00C40B20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Zkladntext"/>
        <w:numPr>
          <w:ilvl w:val="0"/>
          <w:numId w:val="4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Zásady pre vykazovanie transferov.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</w:p>
    <w:p w:rsidR="009C7C25" w:rsidRDefault="009C7C25" w:rsidP="00C40B20">
      <w:pPr>
        <w:pStyle w:val="Zkladntext"/>
        <w:ind w:left="0"/>
        <w:rPr>
          <w:rFonts w:ascii="Arial" w:hAnsi="Arial" w:cs="Arial"/>
        </w:rPr>
      </w:pPr>
    </w:p>
    <w:p w:rsidR="00C40B20" w:rsidRDefault="00C40B20" w:rsidP="00C40B20">
      <w:pPr>
        <w:pStyle w:val="Zkladntext"/>
        <w:ind w:left="0"/>
        <w:rPr>
          <w:rFonts w:ascii="Arial" w:hAnsi="Arial" w:cs="Arial"/>
        </w:rPr>
      </w:pPr>
    </w:p>
    <w:p w:rsidR="00C40B20" w:rsidRDefault="00C40B20" w:rsidP="00C40B20">
      <w:pPr>
        <w:pStyle w:val="odstavec"/>
      </w:pPr>
    </w:p>
    <w:p w:rsidR="00C40B20" w:rsidRDefault="00C40B20" w:rsidP="00C40B20">
      <w:pPr>
        <w:pStyle w:val="abc"/>
      </w:pPr>
      <w:r>
        <w:lastRenderedPageBreak/>
        <w:t xml:space="preserve">Výnosy </w:t>
      </w:r>
    </w:p>
    <w:p w:rsidR="00C40B20" w:rsidRDefault="00C40B20" w:rsidP="00C40B20">
      <w:pPr>
        <w:pStyle w:val="odstavec"/>
      </w:pPr>
      <w: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C40B20" w:rsidRDefault="00C40B20" w:rsidP="00C40B20">
      <w:pPr>
        <w:pStyle w:val="odstavec"/>
      </w:pPr>
    </w:p>
    <w:p w:rsidR="00C40B20" w:rsidRDefault="00C40B20" w:rsidP="009C7C25">
      <w:pPr>
        <w:pStyle w:val="odstavec"/>
      </w:pPr>
      <w:r>
        <w:t>O výnosoch z  poplatkov sa účtuje v časovej a vecnej súvislosti s vyrubením poplatkov (ak je účtovná jednotka výbercom poplatkov).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C40B20" w:rsidRDefault="00C40B20" w:rsidP="00C40B20">
      <w:pPr>
        <w:jc w:val="both"/>
        <w:rPr>
          <w:rFonts w:ascii="Arial" w:hAnsi="Arial" w:cs="Arial"/>
        </w:rPr>
      </w:pPr>
    </w:p>
    <w:p w:rsidR="00C40B20" w:rsidRDefault="00C40B20" w:rsidP="00C40B20">
      <w:pPr>
        <w:numPr>
          <w:ilvl w:val="0"/>
          <w:numId w:val="5"/>
        </w:num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C40B20" w:rsidRDefault="00C40B20" w:rsidP="00C40B20">
      <w:pPr>
        <w:jc w:val="both"/>
        <w:rPr>
          <w:rFonts w:ascii="Arial" w:hAnsi="Arial" w:cs="Arial"/>
        </w:rPr>
      </w:pPr>
    </w:p>
    <w:p w:rsidR="00C40B20" w:rsidRDefault="00C40B20" w:rsidP="00C40B2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Účtovné jednotky konsolidovaného celku obce Obyce boli zahrnuté do konsolidovanej účtovnej závierky metódou konsolidácie uvedenou v nasledujúcom prehľade:</w:t>
      </w:r>
    </w:p>
    <w:p w:rsidR="00C40B20" w:rsidRDefault="00C40B20" w:rsidP="00C40B20">
      <w:pPr>
        <w:jc w:val="both"/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40B20" w:rsidTr="00C40B20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40B20" w:rsidRDefault="00C40B2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C40B20" w:rsidTr="00C40B20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Obyce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B20" w:rsidRDefault="00C40B2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B20" w:rsidRDefault="00C40B2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C40B20" w:rsidRDefault="00C40B20" w:rsidP="00C40B20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C40B20" w:rsidRDefault="00C40B20" w:rsidP="00C40B20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Moment prvej konsolidácie kapitálu :</w:t>
      </w:r>
    </w:p>
    <w:p w:rsidR="00C40B20" w:rsidRDefault="00C40B20" w:rsidP="00C40B20">
      <w:pPr>
        <w:numPr>
          <w:ilvl w:val="0"/>
          <w:numId w:val="6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rozpočtových organizáciách je to deň ich zriadenia. </w:t>
      </w:r>
    </w:p>
    <w:p w:rsidR="00C40B20" w:rsidRDefault="00C40B20" w:rsidP="00C40B20">
      <w:pPr>
        <w:numPr>
          <w:ilvl w:val="0"/>
          <w:numId w:val="6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príspevkových  organizáciách je to deň ich zriadenia. </w:t>
      </w:r>
    </w:p>
    <w:p w:rsidR="00C40B20" w:rsidRDefault="00C40B20" w:rsidP="00C40B20">
      <w:pPr>
        <w:numPr>
          <w:ilvl w:val="0"/>
          <w:numId w:val="6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>Pri obchodných spoločnostiach je to deň obstarania podielov.</w:t>
      </w:r>
    </w:p>
    <w:p w:rsidR="00C40B20" w:rsidRDefault="00C40B20" w:rsidP="00C40B20">
      <w:pPr>
        <w:jc w:val="center"/>
        <w:rPr>
          <w:rFonts w:ascii="Arial" w:hAnsi="Arial" w:cs="Arial"/>
        </w:rPr>
      </w:pPr>
    </w:p>
    <w:p w:rsidR="009C7C25" w:rsidRDefault="009C7C25" w:rsidP="00C40B20">
      <w:pPr>
        <w:jc w:val="center"/>
        <w:rPr>
          <w:rFonts w:ascii="Arial" w:hAnsi="Arial" w:cs="Arial"/>
          <w:b/>
        </w:rPr>
      </w:pP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C40B20" w:rsidRDefault="00C40B20" w:rsidP="00C40B2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C40B20" w:rsidRDefault="00C40B20" w:rsidP="00C40B20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C40B20" w:rsidRDefault="00C40B20" w:rsidP="00C40B2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Konsolidovaný celok obce Obyce zahŕňa  1</w:t>
      </w:r>
      <w:r>
        <w:rPr>
          <w:rFonts w:ascii="Arial" w:hAnsi="Arial" w:cs="Arial"/>
          <w:iCs/>
          <w:color w:val="C00000"/>
        </w:rPr>
        <w:t xml:space="preserve"> </w:t>
      </w:r>
      <w:r>
        <w:rPr>
          <w:rFonts w:ascii="Arial" w:hAnsi="Arial" w:cs="Arial"/>
          <w:iCs/>
        </w:rPr>
        <w:t xml:space="preserve">rozpočtovú organizáciu. Identifikačné údaje o účtovných jednotkách konsolidovaného celku sú uvedené v tabuľkovej časti </w:t>
      </w:r>
      <w:r>
        <w:rPr>
          <w:rFonts w:ascii="Arial" w:hAnsi="Arial" w:cs="Arial"/>
          <w:iCs/>
          <w:color w:val="0000CC"/>
        </w:rPr>
        <w:t>(tabuľka č. 1).</w:t>
      </w:r>
    </w:p>
    <w:p w:rsidR="00C40B20" w:rsidRDefault="00C40B20" w:rsidP="00C40B20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majetku</w:t>
      </w:r>
    </w:p>
    <w:p w:rsidR="00C40B20" w:rsidRDefault="00C40B20" w:rsidP="00C40B20">
      <w:pPr>
        <w:pStyle w:val="odstavec"/>
      </w:pPr>
      <w:r>
        <w:rPr>
          <w:b/>
        </w:rPr>
        <w:t>a</w:t>
      </w:r>
      <w:r>
        <w:rPr>
          <w:b/>
          <w:u w:val="single"/>
        </w:rPr>
        <w:t>) Prehľad o pohybe dlhodobého nehmotného a dlhodobého hmotného majetku</w:t>
      </w:r>
      <w:r>
        <w:t xml:space="preserve"> od 1. januára 201</w:t>
      </w:r>
      <w:r w:rsidR="006E65C5">
        <w:t>5</w:t>
      </w:r>
      <w:r>
        <w:t xml:space="preserve"> do 31. decembra 201</w:t>
      </w:r>
      <w:r w:rsidR="006E65C5">
        <w:t>5</w:t>
      </w:r>
      <w:r>
        <w:t xml:space="preserve"> je uvedený  v tabuľkovej časti  konsolidovaných poznámok </w:t>
      </w:r>
      <w:r>
        <w:rPr>
          <w:color w:val="0000CC"/>
        </w:rPr>
        <w:t>(tabuľka č. 2).</w:t>
      </w:r>
      <w:r>
        <w:t xml:space="preserve"> 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pStyle w:val="odstavec"/>
      </w:pPr>
      <w:r>
        <w:t>Komentár</w:t>
      </w:r>
    </w:p>
    <w:p w:rsidR="00C40B20" w:rsidRDefault="009C7C25" w:rsidP="00C40B20">
      <w:pPr>
        <w:pStyle w:val="odstavec"/>
      </w:pPr>
      <w:r>
        <w:t xml:space="preserve">V Roku 2015 sme nezaznamenali  </w:t>
      </w:r>
      <w:r w:rsidR="00C40B20">
        <w:t>významn</w:t>
      </w:r>
      <w:r>
        <w:t>ý</w:t>
      </w:r>
      <w:r w:rsidR="00C40B20">
        <w:t xml:space="preserve"> prírasto</w:t>
      </w:r>
      <w:r>
        <w:t>k dlhodobého  hmotného majetku.</w:t>
      </w:r>
    </w:p>
    <w:p w:rsidR="00C40B20" w:rsidRDefault="00C40B20" w:rsidP="00C40B20">
      <w:pPr>
        <w:pStyle w:val="odstavec"/>
      </w:pPr>
    </w:p>
    <w:p w:rsidR="00C40B20" w:rsidRDefault="00C40B20" w:rsidP="00C40B20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C40B20" w:rsidRDefault="00C40B20" w:rsidP="00C40B20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Výška poistenia </w:t>
            </w:r>
          </w:p>
          <w:p w:rsidR="00C40B20" w:rsidRDefault="00C40B20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</w:t>
            </w:r>
            <w:proofErr w:type="spellEnd"/>
            <w:r>
              <w:rPr>
                <w:sz w:val="24"/>
                <w:szCs w:val="24"/>
              </w:rPr>
              <w:t>.  a občianske   budovy,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KD, DS, PZ, ZS, </w:t>
            </w:r>
            <w:proofErr w:type="spellStart"/>
            <w:r>
              <w:rPr>
                <w:sz w:val="24"/>
                <w:szCs w:val="24"/>
              </w:rPr>
              <w:t>OcÚ</w:t>
            </w:r>
            <w:proofErr w:type="spellEnd"/>
            <w:r>
              <w:rPr>
                <w:sz w:val="24"/>
                <w:szCs w:val="24"/>
              </w:rPr>
              <w:t>, ZŠ, MŠ, ŠJ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živel,odsudzenie</w:t>
            </w:r>
            <w:proofErr w:type="spellEnd"/>
            <w:r>
              <w:rPr>
                <w:sz w:val="24"/>
                <w:szCs w:val="24"/>
              </w:rPr>
              <w:t>, poistenie skla,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zodpovednosť za škodu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3 138 792,80 €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</w:t>
            </w:r>
            <w:proofErr w:type="spellEnd"/>
            <w:r>
              <w:rPr>
                <w:sz w:val="24"/>
                <w:szCs w:val="24"/>
              </w:rPr>
              <w:t>.  a občianske   budovy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dom I.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združený živel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594 050,32 €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</w:t>
            </w:r>
            <w:proofErr w:type="spellEnd"/>
            <w:r>
              <w:rPr>
                <w:sz w:val="24"/>
                <w:szCs w:val="24"/>
              </w:rPr>
              <w:t>.  a občianske   budovy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dom II.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združený živel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633 613,36 €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</w:t>
            </w:r>
            <w:proofErr w:type="spellEnd"/>
            <w:r>
              <w:rPr>
                <w:sz w:val="24"/>
                <w:szCs w:val="24"/>
              </w:rPr>
              <w:t>.  a občianske   budovy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dom III.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združený živel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332 351,47 €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lastRenderedPageBreak/>
              <w:t>Administrat</w:t>
            </w:r>
            <w:proofErr w:type="spellEnd"/>
            <w:r>
              <w:rPr>
                <w:sz w:val="24"/>
                <w:szCs w:val="24"/>
              </w:rPr>
              <w:t>.  a občianske   budovy</w:t>
            </w:r>
          </w:p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dom IV.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združený živel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C40B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307 894,40 €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  <w:tr w:rsidR="00C40B20" w:rsidTr="00C40B20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Hnuteľné veci – výber</w:t>
            </w:r>
            <w:r w:rsidR="00873357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 xml:space="preserve"> admin. a obč. budov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Združený živel, ukradnutie veci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B20" w:rsidRDefault="008733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69870,98</w:t>
            </w:r>
            <w:r w:rsidR="00C40B20">
              <w:rPr>
                <w:sz w:val="24"/>
                <w:szCs w:val="24"/>
              </w:rPr>
              <w:t xml:space="preserve"> €</w:t>
            </w:r>
          </w:p>
          <w:p w:rsidR="00C40B20" w:rsidRDefault="00C40B20">
            <w:pPr>
              <w:jc w:val="center"/>
              <w:rPr>
                <w:sz w:val="24"/>
                <w:szCs w:val="24"/>
              </w:rPr>
            </w:pPr>
          </w:p>
        </w:tc>
      </w:tr>
    </w:tbl>
    <w:p w:rsidR="00C40B20" w:rsidRDefault="00C40B20" w:rsidP="00C40B20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Ročná výška poistenia za celý konsolidovaný celok predstavuje spolu sumu </w:t>
      </w:r>
      <w:r w:rsidR="002D747C">
        <w:rPr>
          <w:rFonts w:ascii="Arial" w:hAnsi="Arial" w:cs="Arial"/>
          <w:b/>
        </w:rPr>
        <w:t>1493,70</w:t>
      </w:r>
      <w:r>
        <w:rPr>
          <w:rFonts w:ascii="Arial" w:hAnsi="Arial" w:cs="Arial"/>
          <w:b/>
        </w:rPr>
        <w:t xml:space="preserve"> €</w:t>
      </w:r>
    </w:p>
    <w:p w:rsidR="00C40B20" w:rsidRDefault="00C40B20" w:rsidP="00C40B20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C40B20" w:rsidRDefault="00C40B20" w:rsidP="00C40B20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Cs/>
        </w:rPr>
        <w:t xml:space="preserve">Realizovateľné cenné papiere v 294232,95 € - </w:t>
      </w:r>
      <w:r>
        <w:rPr>
          <w:rFonts w:ascii="Arial" w:hAnsi="Arial" w:cs="Arial"/>
          <w:color w:val="0000CC"/>
        </w:rPr>
        <w:t>(tabuľka č. 4 )</w:t>
      </w:r>
    </w:p>
    <w:p w:rsidR="00C40B20" w:rsidRDefault="00C40B20" w:rsidP="00C40B2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:rsidR="00C40B20" w:rsidRDefault="00C40B20" w:rsidP="00C40B20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Konsolidovaný celok v roku 201</w:t>
      </w:r>
      <w:r w:rsidR="009C7C25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netvoril opravné položky, nebol dôvod.</w:t>
      </w:r>
    </w:p>
    <w:p w:rsidR="00C40B20" w:rsidRDefault="00C40B20" w:rsidP="00C40B20">
      <w:pPr>
        <w:jc w:val="both"/>
        <w:rPr>
          <w:rFonts w:ascii="Arial" w:hAnsi="Arial" w:cs="Arial"/>
          <w:lang w:eastAsia="cs-CZ"/>
        </w:rPr>
      </w:pPr>
    </w:p>
    <w:p w:rsidR="00C40B20" w:rsidRDefault="00C40B20" w:rsidP="00C40B2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Pohľadávky konsolidovaného celku v €</w:t>
      </w:r>
    </w:p>
    <w:tbl>
      <w:tblPr>
        <w:tblW w:w="337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4"/>
        <w:gridCol w:w="1317"/>
        <w:gridCol w:w="1737"/>
      </w:tblGrid>
      <w:tr w:rsidR="00C40B20" w:rsidTr="00C40B20">
        <w:trPr>
          <w:trHeight w:val="225"/>
        </w:trPr>
        <w:tc>
          <w:tcPr>
            <w:tcW w:w="5000" w:type="pct"/>
            <w:gridSpan w:val="3"/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color w:val="000000"/>
              </w:rPr>
              <w:t>a) významné pohľadávky podľa jednotlivých položiek súvahy v €:</w:t>
            </w:r>
          </w:p>
        </w:tc>
      </w:tr>
      <w:tr w:rsidR="00C40B20" w:rsidTr="00C40B20">
        <w:trPr>
          <w:trHeight w:val="465"/>
        </w:trPr>
        <w:tc>
          <w:tcPr>
            <w:tcW w:w="25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10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</w:tr>
      <w:tr w:rsidR="00C40B20" w:rsidTr="00C40B20">
        <w:trPr>
          <w:trHeight w:val="165"/>
        </w:trPr>
        <w:tc>
          <w:tcPr>
            <w:tcW w:w="259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103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13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</w:tr>
      <w:tr w:rsidR="00C40B20" w:rsidTr="00C40B20">
        <w:trPr>
          <w:trHeight w:val="452"/>
        </w:trPr>
        <w:tc>
          <w:tcPr>
            <w:tcW w:w="2597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hideMark/>
          </w:tcPr>
          <w:p w:rsidR="006E65C5" w:rsidRDefault="006E65C5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  <w:p w:rsidR="00C40B20" w:rsidRDefault="00C40B20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z 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nedaň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príjmpv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obcí a VÚC a RO </w:t>
            </w:r>
          </w:p>
          <w:p w:rsidR="00C40B20" w:rsidRDefault="00C40B2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zriadených obcou, VÚC. </w:t>
            </w:r>
          </w:p>
        </w:tc>
        <w:tc>
          <w:tcPr>
            <w:tcW w:w="103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6E65C5" w:rsidRDefault="006E65C5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6E65C5" w:rsidRDefault="006E65C5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1367" w:type="pct"/>
            <w:tcBorders>
              <w:top w:val="nil"/>
              <w:left w:val="nil"/>
              <w:bottom w:val="nil"/>
              <w:right w:val="single" w:sz="4" w:space="0" w:color="000000"/>
            </w:tcBorders>
            <w:hideMark/>
          </w:tcPr>
          <w:p w:rsidR="006E65C5" w:rsidRDefault="006E65C5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98,03</w:t>
            </w:r>
          </w:p>
          <w:p w:rsidR="00C40B20" w:rsidRDefault="006E65C5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11570,39</w:t>
            </w:r>
          </w:p>
        </w:tc>
      </w:tr>
      <w:tr w:rsidR="00C40B20" w:rsidTr="00C40B20">
        <w:trPr>
          <w:trHeight w:val="335"/>
        </w:trPr>
        <w:tc>
          <w:tcPr>
            <w:tcW w:w="2597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hideMark/>
          </w:tcPr>
          <w:p w:rsidR="00C40B20" w:rsidRDefault="00C40B20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z daň. príjmov obcí a VÚC</w:t>
            </w:r>
          </w:p>
        </w:tc>
        <w:tc>
          <w:tcPr>
            <w:tcW w:w="103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1367" w:type="pct"/>
            <w:tcBorders>
              <w:top w:val="nil"/>
              <w:left w:val="nil"/>
              <w:bottom w:val="nil"/>
              <w:right w:val="single" w:sz="4" w:space="0" w:color="000000"/>
            </w:tcBorders>
            <w:hideMark/>
          </w:tcPr>
          <w:p w:rsidR="00C40B20" w:rsidRDefault="006E65C5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8259,47</w:t>
            </w:r>
          </w:p>
        </w:tc>
      </w:tr>
      <w:tr w:rsidR="00C40B20" w:rsidTr="00C40B20">
        <w:trPr>
          <w:trHeight w:val="335"/>
        </w:trPr>
        <w:tc>
          <w:tcPr>
            <w:tcW w:w="2597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hideMark/>
          </w:tcPr>
          <w:p w:rsidR="00C40B20" w:rsidRDefault="00C40B2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voči zamestnancom</w:t>
            </w:r>
          </w:p>
        </w:tc>
        <w:tc>
          <w:tcPr>
            <w:tcW w:w="103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73</w:t>
            </w:r>
          </w:p>
        </w:tc>
        <w:tc>
          <w:tcPr>
            <w:tcW w:w="1367" w:type="pct"/>
            <w:tcBorders>
              <w:top w:val="nil"/>
              <w:left w:val="nil"/>
              <w:bottom w:val="nil"/>
              <w:right w:val="single" w:sz="4" w:space="0" w:color="000000"/>
            </w:tcBorders>
            <w:hideMark/>
          </w:tcPr>
          <w:p w:rsidR="00C40B20" w:rsidRDefault="006E65C5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1922,02</w:t>
            </w:r>
          </w:p>
        </w:tc>
      </w:tr>
      <w:tr w:rsidR="00C40B20" w:rsidTr="00C40B20">
        <w:trPr>
          <w:trHeight w:val="225"/>
        </w:trPr>
        <w:tc>
          <w:tcPr>
            <w:tcW w:w="25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10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13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6E65C5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21849,91</w:t>
            </w:r>
          </w:p>
        </w:tc>
      </w:tr>
    </w:tbl>
    <w:p w:rsidR="00C40B20" w:rsidRDefault="00C40B20" w:rsidP="00C40B20">
      <w:pPr>
        <w:spacing w:after="120"/>
        <w:jc w:val="both"/>
        <w:rPr>
          <w:rFonts w:ascii="Arial" w:hAnsi="Arial" w:cs="Arial"/>
          <w:b/>
        </w:rPr>
      </w:pPr>
    </w:p>
    <w:p w:rsidR="00C40B20" w:rsidRDefault="00C40B20" w:rsidP="00C40B20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vykazuje krátkodobé pohľadávky vo výške </w:t>
      </w:r>
      <w:r w:rsidR="006E65C5">
        <w:rPr>
          <w:rFonts w:ascii="Arial" w:hAnsi="Arial" w:cs="Arial"/>
        </w:rPr>
        <w:t>21849,91</w:t>
      </w:r>
      <w:r>
        <w:rPr>
          <w:rFonts w:ascii="Arial" w:hAnsi="Arial" w:cs="Arial"/>
        </w:rPr>
        <w:t xml:space="preserve"> €. </w:t>
      </w:r>
    </w:p>
    <w:p w:rsidR="00C40B20" w:rsidRDefault="00C40B20" w:rsidP="00C40B20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Najväčší podiel na vykázaných krátkodobých pohľadávkach má materská účtovná jednotka – obec Obyce a to hlavne:</w:t>
      </w:r>
    </w:p>
    <w:p w:rsidR="00C40B20" w:rsidRDefault="00C40B20" w:rsidP="00C40B20">
      <w:pPr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nedaňových príjmov obcí  </w:t>
      </w:r>
      <w:r w:rsidR="00BE016D">
        <w:rPr>
          <w:rFonts w:ascii="Arial" w:hAnsi="Arial" w:cs="Arial"/>
        </w:rPr>
        <w:t>8974,15</w:t>
      </w:r>
      <w:r>
        <w:rPr>
          <w:rFonts w:ascii="Arial" w:hAnsi="Arial" w:cs="Arial"/>
        </w:rPr>
        <w:t xml:space="preserve"> € (poplatok za vývoz komunálneho odpadu)</w:t>
      </w:r>
    </w:p>
    <w:p w:rsidR="00C40B20" w:rsidRDefault="00C40B20" w:rsidP="00C40B20">
      <w:pPr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daňových príjmov obcí </w:t>
      </w:r>
      <w:r w:rsidR="00BE016D">
        <w:rPr>
          <w:rFonts w:ascii="Arial" w:hAnsi="Arial" w:cs="Arial"/>
        </w:rPr>
        <w:t>8157,78</w:t>
      </w:r>
      <w:r>
        <w:rPr>
          <w:rFonts w:ascii="Arial" w:hAnsi="Arial" w:cs="Arial"/>
        </w:rPr>
        <w:t xml:space="preserve"> € (najvyšší podiel na daňových pohľadávkach majú pohľadávky za daň z nehnuteľností)</w:t>
      </w:r>
    </w:p>
    <w:p w:rsidR="00C40B20" w:rsidRDefault="00C40B20" w:rsidP="00C40B20">
      <w:pPr>
        <w:spacing w:before="120" w:after="120"/>
        <w:rPr>
          <w:rFonts w:ascii="Arial" w:hAnsi="Arial" w:cs="Arial"/>
          <w:sz w:val="14"/>
        </w:rPr>
      </w:pPr>
      <w:r>
        <w:rPr>
          <w:rFonts w:ascii="Arial" w:hAnsi="Arial" w:cs="Arial"/>
          <w:sz w:val="18"/>
          <w:lang w:eastAsia="cs-CZ"/>
        </w:rPr>
        <w:t>- pohľadávky voči zamestnancom</w:t>
      </w:r>
      <w:r w:rsidR="00BE016D">
        <w:rPr>
          <w:rFonts w:ascii="Arial" w:hAnsi="Arial" w:cs="Arial"/>
          <w:sz w:val="18"/>
          <w:lang w:eastAsia="cs-CZ"/>
        </w:rPr>
        <w:t xml:space="preserve"> v konsolidovanom celku sú</w:t>
      </w:r>
      <w:r>
        <w:rPr>
          <w:rFonts w:ascii="Arial" w:hAnsi="Arial" w:cs="Arial"/>
          <w:sz w:val="18"/>
          <w:lang w:eastAsia="cs-CZ"/>
        </w:rPr>
        <w:t xml:space="preserve"> vo výške </w:t>
      </w:r>
      <w:r w:rsidR="00BE016D">
        <w:rPr>
          <w:rFonts w:ascii="Arial" w:hAnsi="Arial" w:cs="Arial"/>
          <w:sz w:val="18"/>
          <w:lang w:eastAsia="cs-CZ"/>
        </w:rPr>
        <w:t>2106,52</w:t>
      </w:r>
      <w:r>
        <w:rPr>
          <w:rFonts w:ascii="Arial" w:hAnsi="Arial" w:cs="Arial"/>
          <w:sz w:val="18"/>
          <w:lang w:eastAsia="cs-CZ"/>
        </w:rPr>
        <w:t xml:space="preserve"> €</w:t>
      </w:r>
    </w:p>
    <w:p w:rsidR="00C40B20" w:rsidRDefault="00C40B20" w:rsidP="00C40B20">
      <w:pPr>
        <w:spacing w:before="120" w:after="12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:rsidR="00C40B20" w:rsidRDefault="00C40B20" w:rsidP="00C40B20">
      <w:pPr>
        <w:spacing w:before="120" w:after="120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  <w:color w:val="0000CC"/>
        </w:rPr>
        <w:t>(tabuľka č. 9)</w:t>
      </w:r>
    </w:p>
    <w:p w:rsidR="00C40B20" w:rsidRDefault="00C40B20" w:rsidP="00C40B20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56"/>
        <w:gridCol w:w="1430"/>
        <w:gridCol w:w="1643"/>
      </w:tblGrid>
      <w:tr w:rsidR="00C40B20" w:rsidTr="00C40B20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</w:t>
            </w:r>
          </w:p>
          <w:p w:rsidR="00C40B20" w:rsidRDefault="00C40B2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2014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</w:t>
            </w:r>
          </w:p>
          <w:p w:rsidR="00C40B20" w:rsidRDefault="00BE016D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2015</w:t>
            </w:r>
          </w:p>
        </w:tc>
      </w:tr>
      <w:tr w:rsidR="00C40B20" w:rsidTr="00C40B20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C40B20" w:rsidTr="00C40B2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30112,15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21849,91</w:t>
            </w:r>
          </w:p>
        </w:tc>
      </w:tr>
      <w:tr w:rsidR="00C40B20" w:rsidTr="00C40B2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30112,15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21849,91</w:t>
            </w:r>
          </w:p>
        </w:tc>
      </w:tr>
      <w:tr w:rsidR="00C40B20" w:rsidTr="00C40B20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30112,15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21849,91</w:t>
            </w:r>
          </w:p>
        </w:tc>
      </w:tr>
    </w:tbl>
    <w:p w:rsidR="00C40B20" w:rsidRDefault="00C40B20" w:rsidP="00C40B20">
      <w:pPr>
        <w:jc w:val="both"/>
        <w:rPr>
          <w:rFonts w:ascii="Arial" w:hAnsi="Arial" w:cs="Arial"/>
          <w:b/>
        </w:rPr>
      </w:pPr>
    </w:p>
    <w:p w:rsidR="00C40B20" w:rsidRDefault="00C40B20" w:rsidP="00C40B2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C40B20" w:rsidRDefault="00C40B20" w:rsidP="00C40B20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C40B20" w:rsidTr="00C40B2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lastRenderedPageBreak/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Zostatok</w:t>
            </w:r>
          </w:p>
          <w:p w:rsidR="00C40B20" w:rsidRDefault="00BE01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2015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Zostatok</w:t>
            </w:r>
          </w:p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2014</w:t>
            </w:r>
          </w:p>
        </w:tc>
      </w:tr>
      <w:tr w:rsidR="00C40B20" w:rsidTr="00C40B20">
        <w:trPr>
          <w:trHeight w:val="22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172,98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292,49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321,52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422,18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331,15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894,67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825,65</w:t>
            </w:r>
          </w:p>
        </w:tc>
      </w:tr>
    </w:tbl>
    <w:p w:rsidR="00C40B20" w:rsidRDefault="00C40B20" w:rsidP="00C40B20">
      <w:pPr>
        <w:jc w:val="both"/>
        <w:rPr>
          <w:rFonts w:ascii="Arial" w:hAnsi="Arial" w:cs="Arial"/>
        </w:rPr>
      </w:pPr>
    </w:p>
    <w:p w:rsidR="00C40B20" w:rsidRDefault="00C40B20" w:rsidP="00C40B20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  <w:r>
        <w:rPr>
          <w:rFonts w:ascii="Arial" w:hAnsi="Arial" w:cs="Arial"/>
          <w:color w:val="0000CC"/>
        </w:rPr>
        <w:t>(tabuľka č. 11)</w:t>
      </w:r>
    </w:p>
    <w:p w:rsidR="00C40B20" w:rsidRDefault="00C40B20" w:rsidP="00C40B20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C40B20" w:rsidTr="00C40B2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Zostatok</w:t>
            </w:r>
          </w:p>
          <w:p w:rsidR="00C40B20" w:rsidRDefault="00BE016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Zostatok</w:t>
            </w:r>
          </w:p>
          <w:p w:rsidR="00C40B20" w:rsidRDefault="00C40B2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40B20" w:rsidTr="00C40B20">
        <w:trPr>
          <w:trHeight w:val="23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33,47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39,04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 w:rsidP="00BE016D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33,47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39,04</w:t>
            </w:r>
          </w:p>
        </w:tc>
      </w:tr>
    </w:tbl>
    <w:p w:rsidR="00C40B20" w:rsidRDefault="00C40B20" w:rsidP="00C40B20">
      <w:pPr>
        <w:ind w:left="3"/>
        <w:jc w:val="both"/>
        <w:rPr>
          <w:rFonts w:ascii="Arial" w:hAnsi="Arial" w:cs="Arial"/>
          <w:color w:val="0000CC"/>
        </w:rPr>
      </w:pPr>
    </w:p>
    <w:p w:rsidR="00C40B20" w:rsidRDefault="00C40B20" w:rsidP="00C40B20">
      <w:pPr>
        <w:ind w:left="3"/>
        <w:jc w:val="both"/>
        <w:rPr>
          <w:rFonts w:ascii="Arial" w:hAnsi="Arial" w:cs="Arial"/>
          <w:b/>
        </w:rPr>
      </w:pPr>
    </w:p>
    <w:p w:rsidR="00C40B20" w:rsidRDefault="00C40B20" w:rsidP="00C40B20">
      <w:pPr>
        <w:numPr>
          <w:ilvl w:val="0"/>
          <w:numId w:val="10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C40B20" w:rsidRDefault="00C40B20" w:rsidP="00C40B20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Obyce </w:t>
      </w:r>
      <w:r>
        <w:rPr>
          <w:rFonts w:ascii="Arial" w:hAnsi="Arial" w:cs="Arial"/>
        </w:rPr>
        <w:t xml:space="preserve">od 1. januára 2014 do 31. decembra 2014 je uvedený v tabuľkovej prílohe konsolidovaných poznámok – </w:t>
      </w:r>
      <w:r>
        <w:rPr>
          <w:rFonts w:ascii="Arial" w:hAnsi="Arial" w:cs="Arial"/>
          <w:color w:val="0000CC"/>
        </w:rPr>
        <w:t>tabuľka č. 12.</w:t>
      </w:r>
    </w:p>
    <w:p w:rsidR="00C40B20" w:rsidRDefault="00C40B20" w:rsidP="00C40B20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360"/>
        <w:gridCol w:w="1140"/>
        <w:gridCol w:w="1220"/>
        <w:gridCol w:w="1175"/>
        <w:gridCol w:w="1440"/>
      </w:tblGrid>
      <w:tr w:rsidR="00C40B20" w:rsidTr="00C40B20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BE016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BE016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2015</w:t>
            </w:r>
          </w:p>
        </w:tc>
      </w:tr>
      <w:tr w:rsidR="00C40B20" w:rsidTr="00BE016D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40B20" w:rsidTr="00C40B2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40B20" w:rsidTr="00C40B2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40B20" w:rsidTr="00C40B2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40B20" w:rsidTr="00C40B2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1093422,82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24630,30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118053,12</w:t>
            </w:r>
          </w:p>
        </w:tc>
      </w:tr>
      <w:tr w:rsidR="00C40B20" w:rsidTr="00BE016D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2988,84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45293,62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48282,46</w:t>
            </w:r>
          </w:p>
        </w:tc>
      </w:tr>
      <w:tr w:rsidR="00C40B20" w:rsidTr="00C40B2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653EB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1096411,66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653EB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69923,92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BE016D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653EB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1166335,58</w:t>
            </w:r>
          </w:p>
        </w:tc>
      </w:tr>
    </w:tbl>
    <w:p w:rsidR="00C40B20" w:rsidRDefault="00C40B20" w:rsidP="00C40B20">
      <w:pPr>
        <w:ind w:left="3"/>
        <w:jc w:val="both"/>
        <w:rPr>
          <w:rFonts w:ascii="Arial" w:hAnsi="Arial" w:cs="Arial"/>
          <w:u w:val="single"/>
        </w:rPr>
      </w:pPr>
    </w:p>
    <w:p w:rsidR="00C40B20" w:rsidRDefault="00C40B20" w:rsidP="00C40B20">
      <w:pPr>
        <w:spacing w:before="120" w:after="120"/>
        <w:ind w:right="-624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C40B20" w:rsidRDefault="00C40B20" w:rsidP="00C40B20">
      <w:pPr>
        <w:spacing w:before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Významné pohyby v položke </w:t>
      </w:r>
      <w:proofErr w:type="spellStart"/>
      <w:r>
        <w:rPr>
          <w:rFonts w:ascii="Arial" w:hAnsi="Arial" w:cs="Arial"/>
          <w:color w:val="000000"/>
        </w:rPr>
        <w:t>nevysporiadaného</w:t>
      </w:r>
      <w:proofErr w:type="spellEnd"/>
      <w:r>
        <w:rPr>
          <w:rFonts w:ascii="Arial" w:hAnsi="Arial" w:cs="Arial"/>
          <w:color w:val="000000"/>
        </w:rPr>
        <w:t xml:space="preserve"> hospodárskeho výsledku minulých rokov neboli.</w:t>
      </w:r>
    </w:p>
    <w:p w:rsidR="00C40B20" w:rsidRDefault="00C40B20" w:rsidP="00C40B20">
      <w:pPr>
        <w:spacing w:before="60"/>
        <w:jc w:val="both"/>
        <w:rPr>
          <w:rFonts w:ascii="Arial" w:hAnsi="Arial" w:cs="Arial"/>
        </w:rPr>
      </w:pPr>
    </w:p>
    <w:p w:rsidR="00C40B20" w:rsidRDefault="00C40B20" w:rsidP="00C40B20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Opravy minulých období:</w:t>
      </w:r>
    </w:p>
    <w:p w:rsidR="00C40B20" w:rsidRDefault="00C40B20" w:rsidP="00C40B20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neúčtovala o významných opravách minulých období.</w:t>
      </w:r>
    </w:p>
    <w:p w:rsidR="00C40B20" w:rsidRDefault="00C40B20" w:rsidP="00C40B20">
      <w:pPr>
        <w:ind w:left="3"/>
        <w:jc w:val="both"/>
        <w:rPr>
          <w:rFonts w:ascii="Arial" w:hAnsi="Arial" w:cs="Arial"/>
          <w:u w:val="single"/>
        </w:rPr>
      </w:pPr>
    </w:p>
    <w:p w:rsidR="00C40B20" w:rsidRDefault="00C40B20" w:rsidP="00C40B20">
      <w:pPr>
        <w:numPr>
          <w:ilvl w:val="0"/>
          <w:numId w:val="10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Rezervy</w:t>
      </w:r>
    </w:p>
    <w:p w:rsidR="00C40B20" w:rsidRDefault="00C40B20" w:rsidP="00C40B20">
      <w:pPr>
        <w:jc w:val="both"/>
        <w:rPr>
          <w:rFonts w:ascii="Arial" w:hAnsi="Arial" w:cs="Arial"/>
        </w:rPr>
      </w:pPr>
    </w:p>
    <w:p w:rsidR="00C40B20" w:rsidRDefault="00C40B20" w:rsidP="00C40B2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rezerv konsolidovaného celku v členení na zákonné a ostatné, dlhodobé a krátkodobé od</w:t>
      </w:r>
    </w:p>
    <w:p w:rsidR="00C40B20" w:rsidRDefault="00C40B20" w:rsidP="00C40B20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1. januára 201</w:t>
      </w:r>
      <w:r w:rsidR="00C653E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do 31. decembra 201</w:t>
      </w:r>
      <w:r w:rsidR="00C653E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tabuľka č.14</w:t>
      </w:r>
    </w:p>
    <w:p w:rsidR="00C40B20" w:rsidRDefault="00C40B20" w:rsidP="00C40B20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C40B20" w:rsidRDefault="00C40B20" w:rsidP="00C40B20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C40B20" w:rsidRDefault="00C40B20" w:rsidP="00C40B20">
      <w:pPr>
        <w:spacing w:before="6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b) </w:t>
      </w:r>
      <w:r>
        <w:rPr>
          <w:rFonts w:ascii="Arial" w:hAnsi="Arial" w:cs="Arial"/>
          <w:i/>
          <w:u w:val="single"/>
        </w:rPr>
        <w:t>krátkodobé rezervy</w:t>
      </w:r>
      <w:r>
        <w:rPr>
          <w:rFonts w:ascii="Arial" w:hAnsi="Arial" w:cs="Arial"/>
          <w:i/>
        </w:rPr>
        <w:t xml:space="preserve"> </w:t>
      </w:r>
    </w:p>
    <w:p w:rsidR="00C40B20" w:rsidRDefault="00C40B20" w:rsidP="00C40B20">
      <w:pPr>
        <w:spacing w:before="6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Obec tvorila ostatné krátkodobé rezervy na audit.</w:t>
      </w:r>
    </w:p>
    <w:p w:rsidR="00C40B20" w:rsidRDefault="00C40B20" w:rsidP="00C40B20">
      <w:pPr>
        <w:jc w:val="both"/>
        <w:rPr>
          <w:rFonts w:ascii="Arial" w:hAnsi="Arial" w:cs="Arial"/>
        </w:rPr>
      </w:pPr>
    </w:p>
    <w:p w:rsidR="00C40B20" w:rsidRDefault="00C40B20" w:rsidP="00C40B20">
      <w:pPr>
        <w:ind w:left="3"/>
        <w:jc w:val="both"/>
        <w:rPr>
          <w:rFonts w:ascii="Arial" w:hAnsi="Arial" w:cs="Arial"/>
        </w:rPr>
      </w:pPr>
    </w:p>
    <w:p w:rsidR="00C40B20" w:rsidRDefault="00C40B20" w:rsidP="00C40B20">
      <w:pPr>
        <w:numPr>
          <w:ilvl w:val="0"/>
          <w:numId w:val="1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Záväzky</w:t>
      </w:r>
      <w:r>
        <w:rPr>
          <w:rFonts w:ascii="Arial" w:hAnsi="Arial" w:cs="Arial"/>
        </w:rPr>
        <w:t xml:space="preserve"> </w:t>
      </w:r>
    </w:p>
    <w:p w:rsidR="00C40B20" w:rsidRDefault="00C40B20" w:rsidP="00C40B20">
      <w:pPr>
        <w:spacing w:before="60" w:after="60"/>
        <w:jc w:val="both"/>
        <w:rPr>
          <w:rFonts w:ascii="Arial" w:hAnsi="Arial" w:cs="Arial"/>
        </w:rPr>
      </w:pPr>
    </w:p>
    <w:p w:rsidR="00C40B20" w:rsidRDefault="00C40B20" w:rsidP="00C40B20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>
        <w:rPr>
          <w:rFonts w:ascii="Arial" w:hAnsi="Arial" w:cs="Arial"/>
          <w:color w:val="0000CC"/>
        </w:rPr>
        <w:t>(tabuľka č. 15).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dlhodobých záväzkov sú prijaté úvery zo  Štátneho fondu rozvoja bývania, ktoré sú k 31.12.201</w:t>
      </w:r>
      <w:r w:rsidR="00C653E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vykázané vo výške 1</w:t>
      </w:r>
      <w:r w:rsidR="00BC71F0">
        <w:rPr>
          <w:rFonts w:ascii="Arial" w:hAnsi="Arial" w:cs="Arial"/>
        </w:rPr>
        <w:t> 203 289,74</w:t>
      </w:r>
      <w:r>
        <w:rPr>
          <w:rFonts w:ascii="Arial" w:hAnsi="Arial" w:cs="Arial"/>
        </w:rPr>
        <w:t xml:space="preserve"> €. Úvery prijaté zo štátneho fondu rozvoja a bývania bude obec splácať do roku 2043.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  <w:i/>
          <w:color w:val="000000"/>
        </w:rPr>
      </w:pPr>
      <w:r>
        <w:rPr>
          <w:rFonts w:ascii="Arial" w:hAnsi="Arial" w:cs="Arial"/>
          <w:i/>
          <w:color w:val="000000"/>
        </w:rPr>
        <w:t>Ostatné dlhodobé záväzky- úvery zo ŠFRB (v  €)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440"/>
        <w:gridCol w:w="1407"/>
        <w:gridCol w:w="4414"/>
      </w:tblGrid>
      <w:tr w:rsidR="00C40B20" w:rsidTr="00C40B20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C40B20" w:rsidRDefault="00C653E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31.12.2015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Výška </w:t>
            </w:r>
          </w:p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31.12.2014</w:t>
            </w: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C40B20" w:rsidTr="00C40B20">
        <w:trPr>
          <w:trHeight w:val="584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ŠFRB BD I. 12.b. j.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BC71F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381 005,72</w:t>
            </w:r>
            <w:r w:rsidR="00C40B20">
              <w:rPr>
                <w:rFonts w:ascii="Arial" w:hAnsi="Arial" w:cs="Arial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395 428,91 €</w:t>
            </w: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zo ŠFRB na výstavbu nájomných bytov, poskytnutý v roku 2008, splatnosť rok 2038.</w:t>
            </w:r>
          </w:p>
        </w:tc>
      </w:tr>
      <w:tr w:rsidR="00C40B20" w:rsidTr="00C40B20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ŠFRB  BD II. 12. b. j.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BC71F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424 010,10</w:t>
            </w:r>
            <w:r w:rsidR="00C40B20">
              <w:rPr>
                <w:rFonts w:ascii="Arial" w:hAnsi="Arial" w:cs="Arial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439 135,80 €</w:t>
            </w: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Podpora zo ŠFRB na výstavbu nájomných bytov. Podpora poskytnutá v roku 2010, splatnosť rok 2040.</w:t>
            </w:r>
          </w:p>
        </w:tc>
      </w:tr>
      <w:tr w:rsidR="00C40B20" w:rsidTr="00C40B20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 BD  III. 6.b.j.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BC71F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167 909,47</w:t>
            </w:r>
            <w:r w:rsidR="00C40B20">
              <w:rPr>
                <w:rFonts w:ascii="Arial" w:hAnsi="Arial" w:cs="Arial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173 328,95 €</w:t>
            </w: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Podpora zo ŠFRB na výstavbu nájomných bytov. Podpora poskytnutá v roku 2012, splatnosť rok 2042.</w:t>
            </w:r>
          </w:p>
        </w:tc>
      </w:tr>
      <w:tr w:rsidR="00C40B20" w:rsidTr="00C40B20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 BD IV. 6.b.j.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BC71F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230 364,45</w:t>
            </w:r>
            <w:r w:rsidR="00C40B20">
              <w:rPr>
                <w:rFonts w:ascii="Arial" w:hAnsi="Arial" w:cs="Arial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237496,51 €</w:t>
            </w: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0B20" w:rsidRDefault="00C40B20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Podpora zo ŠFRB na výstavbu nájomných bytov. Podpora poskytnutá v roku 2013, splatnosť rok 2043.</w:t>
            </w:r>
          </w:p>
        </w:tc>
      </w:tr>
    </w:tbl>
    <w:p w:rsidR="00C40B20" w:rsidRDefault="00C40B20" w:rsidP="00C40B20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0B20" w:rsidRDefault="00C40B20" w:rsidP="00C40B20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C40B20" w:rsidRDefault="00C40B20" w:rsidP="00C40B20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C40B20" w:rsidRDefault="00C40B20" w:rsidP="00C40B20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</w:p>
    <w:p w:rsidR="00C40B20" w:rsidRDefault="00C40B20" w:rsidP="00C40B20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bankových úveroch Obce Obyce k 31.12.201</w:t>
      </w:r>
      <w:r w:rsidR="00FC4962">
        <w:rPr>
          <w:rFonts w:ascii="Arial" w:hAnsi="Arial" w:cs="Arial"/>
          <w:b w:val="0"/>
          <w:color w:val="000000"/>
        </w:rPr>
        <w:t>5</w:t>
      </w:r>
      <w:r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</w:p>
    <w:p w:rsidR="00C40B20" w:rsidRDefault="00C40B20" w:rsidP="00C40B20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CC"/>
        </w:rPr>
      </w:pPr>
      <w:r>
        <w:rPr>
          <w:rFonts w:ascii="Arial" w:hAnsi="Arial" w:cs="Arial"/>
          <w:b w:val="0"/>
          <w:color w:val="0000CC"/>
        </w:rPr>
        <w:t xml:space="preserve">(tabuľka č. 16). </w:t>
      </w:r>
    </w:p>
    <w:p w:rsidR="00C40B20" w:rsidRDefault="00C40B20" w:rsidP="00C40B20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FF0000"/>
          <w:sz w:val="20"/>
        </w:rPr>
      </w:pPr>
    </w:p>
    <w:p w:rsidR="00C40B20" w:rsidRDefault="00C40B20" w:rsidP="00C40B20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Časové rozlíšenie  pasív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a) Prehľad výnosov budúcich obdob</w:t>
      </w:r>
      <w:r>
        <w:rPr>
          <w:rFonts w:ascii="Arial" w:hAnsi="Arial" w:cs="Arial"/>
        </w:rPr>
        <w:t xml:space="preserve">í je uvedený v tabuľkovej časti – </w:t>
      </w:r>
      <w:r>
        <w:rPr>
          <w:rFonts w:ascii="Arial" w:hAnsi="Arial" w:cs="Arial"/>
          <w:color w:val="0000CC"/>
        </w:rPr>
        <w:t xml:space="preserve">tabuľka č. 18 </w:t>
      </w:r>
    </w:p>
    <w:p w:rsidR="00C40B20" w:rsidRDefault="00C40B20" w:rsidP="00C40B20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C40B20" w:rsidTr="00C40B20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Zo</w:t>
            </w:r>
            <w:r w:rsidR="00FC496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statok 2015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Zostatok</w:t>
            </w:r>
          </w:p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2014</w:t>
            </w:r>
          </w:p>
        </w:tc>
      </w:tr>
      <w:tr w:rsidR="00C40B20" w:rsidTr="00C40B20">
        <w:trPr>
          <w:trHeight w:val="22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162,16</w:t>
            </w: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Zaplatené paušály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759916,85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788674,30</w:t>
            </w: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1576,68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1706,68</w:t>
            </w:r>
          </w:p>
        </w:tc>
      </w:tr>
      <w:tr w:rsidR="00C40B20" w:rsidTr="00C40B2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761493,53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790543,14</w:t>
            </w:r>
          </w:p>
        </w:tc>
      </w:tr>
    </w:tbl>
    <w:p w:rsidR="00C40B20" w:rsidRDefault="00C40B20" w:rsidP="00C40B20">
      <w:pPr>
        <w:spacing w:before="60" w:after="60"/>
        <w:rPr>
          <w:rFonts w:ascii="Arial" w:hAnsi="Arial" w:cs="Arial"/>
          <w:b/>
        </w:rPr>
      </w:pP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</w:p>
    <w:p w:rsidR="00FC4962" w:rsidRDefault="00FC4962" w:rsidP="00C40B20">
      <w:pPr>
        <w:spacing w:before="60" w:after="60"/>
        <w:rPr>
          <w:rFonts w:ascii="Arial" w:hAnsi="Arial" w:cs="Arial"/>
          <w:b/>
        </w:rPr>
      </w:pPr>
    </w:p>
    <w:p w:rsidR="00FC4962" w:rsidRDefault="00FC4962" w:rsidP="00C40B20">
      <w:pPr>
        <w:spacing w:before="60" w:after="60"/>
        <w:rPr>
          <w:rFonts w:ascii="Arial" w:hAnsi="Arial" w:cs="Arial"/>
          <w:b/>
        </w:rPr>
      </w:pP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</w:p>
    <w:p w:rsidR="00C40B20" w:rsidRDefault="00C40B20" w:rsidP="00C40B20">
      <w:pPr>
        <w:numPr>
          <w:ilvl w:val="0"/>
          <w:numId w:val="10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Náklady konsolidovaného celku</w:t>
      </w: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Náklady na služby </w:t>
      </w:r>
    </w:p>
    <w:p w:rsidR="00C40B20" w:rsidRDefault="00C40B20" w:rsidP="00C40B20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>
        <w:rPr>
          <w:rFonts w:ascii="Arial" w:hAnsi="Arial" w:cs="Arial"/>
          <w:color w:val="0000CC"/>
        </w:rPr>
        <w:t>tabuľka č. 19</w:t>
      </w:r>
    </w:p>
    <w:p w:rsidR="00C40B20" w:rsidRDefault="00C40B20" w:rsidP="00C40B20">
      <w:pPr>
        <w:rPr>
          <w:rFonts w:ascii="Arial" w:hAnsi="Arial" w:cs="Arial"/>
          <w:color w:val="0000CC"/>
        </w:rPr>
      </w:pP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Ostatné náklady na prevádzkovú činnosť </w:t>
      </w:r>
    </w:p>
    <w:p w:rsidR="00C40B20" w:rsidRDefault="00C40B20" w:rsidP="00C40B20">
      <w:pPr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20</w:t>
      </w:r>
    </w:p>
    <w:p w:rsidR="00C40B20" w:rsidRDefault="00C40B20" w:rsidP="00C40B20">
      <w:pPr>
        <w:rPr>
          <w:rFonts w:ascii="Arial" w:hAnsi="Arial" w:cs="Arial"/>
          <w:b/>
        </w:rPr>
      </w:pPr>
    </w:p>
    <w:p w:rsidR="00C40B20" w:rsidRDefault="00C40B20" w:rsidP="00C40B20">
      <w:pPr>
        <w:spacing w:before="60" w:after="60"/>
        <w:rPr>
          <w:rFonts w:ascii="Arial" w:hAnsi="Arial" w:cs="Arial"/>
          <w:b/>
        </w:rPr>
      </w:pPr>
    </w:p>
    <w:p w:rsidR="00C40B20" w:rsidRDefault="00C40B20" w:rsidP="00C40B20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Ostatné finančné náklady </w:t>
      </w:r>
    </w:p>
    <w:p w:rsidR="00C40B20" w:rsidRDefault="00C40B20" w:rsidP="00C40B20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21</w:t>
      </w:r>
    </w:p>
    <w:p w:rsidR="00C40B20" w:rsidRDefault="00C40B20" w:rsidP="00C40B20">
      <w:pPr>
        <w:spacing w:before="120"/>
        <w:jc w:val="both"/>
        <w:rPr>
          <w:rFonts w:ascii="Arial" w:hAnsi="Arial" w:cs="Arial"/>
          <w:b/>
        </w:rPr>
      </w:pPr>
    </w:p>
    <w:p w:rsidR="00C40B20" w:rsidRDefault="00C40B20" w:rsidP="00C40B20">
      <w:pPr>
        <w:numPr>
          <w:ilvl w:val="0"/>
          <w:numId w:val="10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Výnosy konsolidovaného celku</w:t>
      </w:r>
    </w:p>
    <w:p w:rsidR="00C40B20" w:rsidRDefault="00C40B20" w:rsidP="00C40B20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C40B20" w:rsidRDefault="00C40B20" w:rsidP="00C40B20">
      <w:pPr>
        <w:spacing w:before="60"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Ostatné výnosy na prevádzkovú činnosť v € -</w:t>
      </w:r>
      <w:r>
        <w:rPr>
          <w:rFonts w:ascii="Arial" w:hAnsi="Arial" w:cs="Arial"/>
          <w:color w:val="0000CC"/>
        </w:rPr>
        <w:t xml:space="preserve"> tabuľka č. 22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370"/>
        <w:gridCol w:w="1220"/>
        <w:gridCol w:w="1220"/>
      </w:tblGrid>
      <w:tr w:rsidR="00C40B20" w:rsidTr="00C40B20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 w:rsidP="00FC49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 201</w:t>
            </w:r>
            <w:r w:rsidR="00FC496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:rsidR="00C40B20" w:rsidRDefault="00FC49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2014</w:t>
            </w: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0B20" w:rsidTr="00C40B20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75262,84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75262,84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66554,21</w:t>
            </w:r>
          </w:p>
        </w:tc>
      </w:tr>
      <w:tr w:rsidR="00C40B20" w:rsidTr="00C40B20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0B20" w:rsidTr="00C40B20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0B20" w:rsidTr="00C40B20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704,27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FC49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704,27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0B20" w:rsidRDefault="00C40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0B20" w:rsidTr="00C40B2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0B20" w:rsidRDefault="00C40B2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75967,11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0B20" w:rsidRDefault="00C40B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75967,11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0B20" w:rsidRDefault="00FC49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66554,21</w:t>
            </w:r>
          </w:p>
        </w:tc>
      </w:tr>
    </w:tbl>
    <w:p w:rsidR="00C40B20" w:rsidRDefault="00C40B20" w:rsidP="00C40B20">
      <w:pPr>
        <w:rPr>
          <w:rFonts w:ascii="Arial" w:hAnsi="Arial" w:cs="Arial"/>
          <w:b/>
          <w:sz w:val="18"/>
          <w:szCs w:val="18"/>
        </w:rPr>
      </w:pPr>
    </w:p>
    <w:p w:rsidR="00C40B20" w:rsidRDefault="00C40B20" w:rsidP="00C40B20">
      <w:pPr>
        <w:jc w:val="center"/>
        <w:rPr>
          <w:rFonts w:ascii="Arial" w:hAnsi="Arial" w:cs="Arial"/>
          <w:b/>
        </w:rPr>
      </w:pP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Čl. IV. </w:t>
      </w:r>
    </w:p>
    <w:p w:rsidR="00C40B20" w:rsidRDefault="00C40B20" w:rsidP="00C40B2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C40B20" w:rsidRDefault="00C40B20" w:rsidP="00C40B20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C40B20" w:rsidRDefault="00C40B20" w:rsidP="00C40B20">
      <w:pPr>
        <w:numPr>
          <w:ilvl w:val="0"/>
          <w:numId w:val="11"/>
        </w:numPr>
        <w:tabs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C40B20" w:rsidRDefault="00C40B20" w:rsidP="00C40B20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konsolidovaný celok nemá. </w:t>
      </w:r>
    </w:p>
    <w:p w:rsidR="00C40B20" w:rsidRDefault="00C40B20" w:rsidP="00C40B20">
      <w:pPr>
        <w:numPr>
          <w:ilvl w:val="0"/>
          <w:numId w:val="12"/>
        </w:numPr>
        <w:tabs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Prípadné ďalšie záväzky</w:t>
      </w:r>
    </w:p>
    <w:p w:rsidR="00C40B20" w:rsidRDefault="00C40B20" w:rsidP="00C40B20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</w:t>
      </w:r>
      <w:r>
        <w:rPr>
          <w:rFonts w:ascii="Arial" w:hAnsi="Arial" w:cs="Arial"/>
          <w:i/>
        </w:rPr>
        <w:t>obce nemá</w:t>
      </w:r>
      <w:r>
        <w:rPr>
          <w:rFonts w:ascii="Arial" w:hAnsi="Arial" w:cs="Arial"/>
          <w:i/>
          <w:color w:val="C00000"/>
        </w:rPr>
        <w:t xml:space="preserve"> </w:t>
      </w:r>
      <w:r>
        <w:rPr>
          <w:rFonts w:ascii="Arial" w:hAnsi="Arial" w:cs="Arial"/>
        </w:rPr>
        <w:t xml:space="preserve"> ďalšie záväzky, ktoré sa nesledujú v bežnom účtovníctve a neuvádzajú sa v súvahe.</w:t>
      </w: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</w:rPr>
      </w:pPr>
    </w:p>
    <w:p w:rsidR="00C40B20" w:rsidRDefault="00C40B20" w:rsidP="00C40B20">
      <w:pPr>
        <w:numPr>
          <w:ilvl w:val="0"/>
          <w:numId w:val="12"/>
        </w:numPr>
        <w:tabs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Zoznam nehnuteľných kultúrnych pamiatok spravovaných účtovnou jednotkou –</w:t>
      </w: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- konsolidovaný celok nemá kultúrne pamiatky</w:t>
      </w: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C40B20" w:rsidRDefault="00C40B20" w:rsidP="00C40B20">
      <w:pPr>
        <w:numPr>
          <w:ilvl w:val="0"/>
          <w:numId w:val="12"/>
        </w:numPr>
        <w:tabs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Ostatné finančné povinnosti </w:t>
      </w: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- konsolidovaný celok nemá ostatné finančné povinnosti</w:t>
      </w: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C40B20" w:rsidRDefault="00C40B20" w:rsidP="00C40B2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C40B20" w:rsidRDefault="00C40B20" w:rsidP="00C40B2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:rsidR="00C40B20" w:rsidRDefault="00C40B20" w:rsidP="00C40B2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:rsidR="00C40B20" w:rsidRDefault="00C40B20" w:rsidP="00C40B2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:rsidR="00C40B20" w:rsidRDefault="00C40B20" w:rsidP="00C40B20">
      <w:pPr>
        <w:jc w:val="center"/>
        <w:rPr>
          <w:rFonts w:ascii="Arial" w:hAnsi="Arial" w:cs="Arial"/>
          <w:b/>
        </w:rPr>
      </w:pPr>
    </w:p>
    <w:p w:rsidR="00C40B20" w:rsidRDefault="00C40B20" w:rsidP="00C40B20">
      <w:pPr>
        <w:jc w:val="center"/>
        <w:rPr>
          <w:rFonts w:ascii="Arial" w:hAnsi="Arial" w:cs="Arial"/>
          <w:b/>
        </w:rPr>
      </w:pPr>
    </w:p>
    <w:p w:rsidR="00C40B20" w:rsidRDefault="00C40B20" w:rsidP="00C40B20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>
        <w:rPr>
          <w:rFonts w:ascii="Arial" w:hAnsi="Arial" w:cs="Arial"/>
          <w:iCs/>
        </w:rPr>
        <w:t>201</w:t>
      </w:r>
      <w:r w:rsidR="00FC4962">
        <w:rPr>
          <w:rFonts w:ascii="Arial" w:hAnsi="Arial" w:cs="Arial"/>
          <w:iCs/>
        </w:rPr>
        <w:t>5</w:t>
      </w:r>
      <w:r>
        <w:rPr>
          <w:rFonts w:ascii="Arial" w:hAnsi="Arial" w:cs="Arial"/>
          <w:i/>
        </w:rPr>
        <w:t xml:space="preserve"> nenastali</w:t>
      </w:r>
      <w:r>
        <w:rPr>
          <w:rFonts w:ascii="Arial" w:hAnsi="Arial" w:cs="Arial"/>
          <w:i/>
          <w:color w:val="C00000"/>
        </w:rPr>
        <w:t xml:space="preserve"> 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>také udalosti, ktoré by si vyžadovali zverejnenie alebo vykázanie v konsolidovanej účtovnej závierke za rok 201</w:t>
      </w:r>
      <w:r w:rsidR="00FC4962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:rsidR="00C40B20" w:rsidRDefault="00C40B20" w:rsidP="00C40B20"/>
    <w:p w:rsidR="008D6D20" w:rsidRDefault="008D6D20"/>
    <w:sectPr w:rsidR="008D6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6CF0C4E"/>
    <w:multiLevelType w:val="hybridMultilevel"/>
    <w:tmpl w:val="45089742"/>
    <w:lvl w:ilvl="0" w:tplc="66C034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0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0D9"/>
    <w:rsid w:val="002D747C"/>
    <w:rsid w:val="0055693E"/>
    <w:rsid w:val="005A20D9"/>
    <w:rsid w:val="006E65C5"/>
    <w:rsid w:val="00873357"/>
    <w:rsid w:val="008D6D20"/>
    <w:rsid w:val="009C7C25"/>
    <w:rsid w:val="00BC71F0"/>
    <w:rsid w:val="00BE016D"/>
    <w:rsid w:val="00C40B20"/>
    <w:rsid w:val="00C653EB"/>
    <w:rsid w:val="00D929C7"/>
    <w:rsid w:val="00EC7CA4"/>
    <w:rsid w:val="00FC4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6275F5-F0EE-491B-9ACE-FFFF8CA2E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0B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C40B20"/>
    <w:pPr>
      <w:keepNext/>
      <w:numPr>
        <w:numId w:val="1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40B20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C40B2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rsid w:val="00C40B2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C40B20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C40B20"/>
    <w:pPr>
      <w:ind w:right="-79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C40B20"/>
    <w:pPr>
      <w:numPr>
        <w:numId w:val="2"/>
      </w:numPr>
      <w:spacing w:before="60" w:after="120"/>
      <w:jc w:val="both"/>
    </w:pPr>
    <w:rPr>
      <w:rFonts w:ascii="Arial" w:hAnsi="Arial" w:cs="Arial"/>
      <w:b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5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2409</Words>
  <Characters>13732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ŠLOSIAROVÁ Katarína</dc:creator>
  <cp:keywords/>
  <dc:description/>
  <cp:lastModifiedBy>ŠLOSIAROVÁ Katarína</cp:lastModifiedBy>
  <cp:revision>6</cp:revision>
  <dcterms:created xsi:type="dcterms:W3CDTF">2016-05-11T11:32:00Z</dcterms:created>
  <dcterms:modified xsi:type="dcterms:W3CDTF">2016-05-11T13:40:00Z</dcterms:modified>
</cp:coreProperties>
</file>