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4435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bookmarkStart w:id="0" w:name="page2"/>
      <w:bookmarkEnd w:id="0"/>
      <w:r>
        <w:rPr>
          <w:rFonts w:ascii="Times New Roman" w:hAnsi="Times New Roman" w:cs="Times New Roman"/>
          <w:b/>
          <w:bCs/>
        </w:rPr>
        <w:t xml:space="preserve">A.  </w:t>
      </w:r>
      <w:r>
        <w:rPr>
          <w:rFonts w:ascii="Times New Roman" w:hAnsi="Times New Roman" w:cs="Times New Roman"/>
          <w:b/>
          <w:bCs/>
          <w:u w:val="single"/>
        </w:rPr>
        <w:t>INFORMÁCIE O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  <w:u w:val="single"/>
        </w:rPr>
        <w:t>ÚČTOVNEJ JEDNOTKE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3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</w:rPr>
        <w:t>Obchodné meno a sídlo spoločnosti: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50" w:lineRule="exact"/>
        <w:rPr>
          <w:rFonts w:ascii="Times New Roman" w:hAnsi="Times New Roman" w:cs="Times New Roman"/>
          <w:sz w:val="24"/>
          <w:szCs w:val="24"/>
        </w:rPr>
      </w:pPr>
    </w:p>
    <w:p w:rsidR="00FE4435" w:rsidRPr="00022E1E" w:rsidRDefault="00FE4435" w:rsidP="00FE443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Cs w:val="18"/>
        </w:rPr>
      </w:pPr>
      <w:r w:rsidRPr="00022E1E">
        <w:rPr>
          <w:rFonts w:ascii="Times New Roman" w:hAnsi="Times New Roman" w:cs="Times New Roman"/>
          <w:bCs/>
          <w:szCs w:val="18"/>
        </w:rPr>
        <w:t>LUMAR LA s. r. o.</w:t>
      </w:r>
    </w:p>
    <w:p w:rsidR="00FE4435" w:rsidRPr="00022E1E" w:rsidRDefault="00FE4435" w:rsidP="00FE443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Cs w:val="18"/>
        </w:rPr>
      </w:pPr>
      <w:r w:rsidRPr="00022E1E">
        <w:rPr>
          <w:rFonts w:ascii="Times New Roman" w:hAnsi="Times New Roman" w:cs="Times New Roman"/>
          <w:bCs/>
          <w:szCs w:val="18"/>
        </w:rPr>
        <w:t>Mieru 134</w:t>
      </w:r>
    </w:p>
    <w:p w:rsidR="00FE4435" w:rsidRPr="00022E1E" w:rsidRDefault="00FE4435" w:rsidP="00FE4435">
      <w:pPr>
        <w:widowControl w:val="0"/>
        <w:autoSpaceDE w:val="0"/>
        <w:autoSpaceDN w:val="0"/>
        <w:adjustRightInd w:val="0"/>
        <w:spacing w:after="0" w:line="299" w:lineRule="exact"/>
        <w:rPr>
          <w:rFonts w:ascii="Times New Roman" w:hAnsi="Times New Roman" w:cs="Times New Roman"/>
          <w:bCs/>
          <w:szCs w:val="18"/>
        </w:rPr>
      </w:pPr>
      <w:r w:rsidRPr="00022E1E">
        <w:rPr>
          <w:rFonts w:ascii="Times New Roman" w:hAnsi="Times New Roman" w:cs="Times New Roman"/>
          <w:bCs/>
          <w:szCs w:val="18"/>
        </w:rPr>
        <w:t>980 52 Hrachovo</w:t>
      </w:r>
    </w:p>
    <w:p w:rsidR="00FE4435" w:rsidRPr="00022E1E" w:rsidRDefault="00FE4435" w:rsidP="00FE4435">
      <w:pPr>
        <w:widowControl w:val="0"/>
        <w:autoSpaceDE w:val="0"/>
        <w:autoSpaceDN w:val="0"/>
        <w:adjustRightInd w:val="0"/>
        <w:spacing w:after="0" w:line="299" w:lineRule="exact"/>
        <w:rPr>
          <w:rFonts w:ascii="Times New Roman" w:hAnsi="Times New Roman" w:cs="Times New Roman"/>
          <w:sz w:val="32"/>
          <w:szCs w:val="24"/>
        </w:rPr>
      </w:pPr>
    </w:p>
    <w:p w:rsidR="00FE4435" w:rsidRPr="00022E1E" w:rsidRDefault="00FE4435" w:rsidP="00FE443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Cs w:val="18"/>
        </w:rPr>
      </w:pPr>
      <w:r>
        <w:rPr>
          <w:rFonts w:ascii="Times New Roman" w:hAnsi="Times New Roman" w:cs="Times New Roman"/>
          <w:bCs/>
          <w:szCs w:val="18"/>
        </w:rPr>
        <w:t>Spoločnosť</w:t>
      </w:r>
      <w:r w:rsidRPr="00022E1E">
        <w:rPr>
          <w:rFonts w:ascii="Times New Roman" w:hAnsi="Times New Roman" w:cs="Times New Roman"/>
          <w:bCs/>
          <w:szCs w:val="18"/>
        </w:rPr>
        <w:t xml:space="preserve"> LUMAR LA s. r. o. bola do obchodného registra zapísaná 23.07.2008</w:t>
      </w:r>
      <w:r>
        <w:rPr>
          <w:rFonts w:ascii="Times New Roman" w:hAnsi="Times New Roman" w:cs="Times New Roman"/>
          <w:bCs/>
          <w:szCs w:val="18"/>
        </w:rPr>
        <w:t xml:space="preserve"> </w:t>
      </w:r>
      <w:r w:rsidRPr="00022E1E">
        <w:rPr>
          <w:rFonts w:ascii="Times New Roman" w:hAnsi="Times New Roman" w:cs="Times New Roman"/>
          <w:bCs/>
          <w:szCs w:val="18"/>
        </w:rPr>
        <w:t>(Obchodný register Okresného  súdu Banská Bystrica, oddiel s. r. o., vložka 15145/S)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60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Hlavné činnosti obchodnej spoločnosti sú: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9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alebo iným prevádzkovateľom živnosti (veľkoobchod ) v rozsahu voľných živnosti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9" w:lineRule="exact"/>
        <w:ind w:left="720"/>
        <w:rPr>
          <w:rFonts w:ascii="Times New Roman" w:hAnsi="Times New Roman" w:cs="Times New Roman"/>
          <w:sz w:val="24"/>
          <w:szCs w:val="24"/>
        </w:rPr>
      </w:pPr>
    </w:p>
    <w:p w:rsidR="00FE4435" w:rsidRPr="004D76AA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4D76AA">
        <w:rPr>
          <w:rFonts w:ascii="Times New Roman" w:hAnsi="Times New Roman" w:cs="Times New Roman"/>
          <w:bCs/>
          <w:i/>
        </w:rPr>
        <w:t>Právne dôvody na zostavenie účtovnej závierky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48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80" w:right="200" w:firstLine="3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Účtovná závierka obchodnej spo</w:t>
      </w:r>
      <w:r w:rsidR="002D290C">
        <w:rPr>
          <w:rFonts w:ascii="Times New Roman" w:hAnsi="Times New Roman" w:cs="Times New Roman"/>
        </w:rPr>
        <w:t>ločnosti zostavená k 31.12. 2015</w:t>
      </w:r>
      <w:r>
        <w:rPr>
          <w:rFonts w:ascii="Times New Roman" w:hAnsi="Times New Roman" w:cs="Times New Roman"/>
        </w:rPr>
        <w:t xml:space="preserve"> je zostavená ako riadna účtovná závierka podľa § 17 ods. 6 zákona č. 431/2002 Z. z. o účtovníctve v znení neskorších predpisov.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ind w:left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</w:rPr>
        <w:t>Priemerný počet zamestnancov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44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20"/>
        <w:gridCol w:w="2640"/>
        <w:gridCol w:w="2880"/>
        <w:gridCol w:w="30"/>
      </w:tblGrid>
      <w:tr w:rsidR="00FE4435" w:rsidTr="00EC4A31">
        <w:trPr>
          <w:trHeight w:val="279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</w:rPr>
              <w:t>Bezprostredne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54"/>
        </w:trPr>
        <w:tc>
          <w:tcPr>
            <w:tcW w:w="3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predchádzajúce účtovné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63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</w:rPr>
              <w:t>obdobie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48"/>
        </w:trPr>
        <w:tc>
          <w:tcPr>
            <w:tcW w:w="3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Priemerný prepočítaný počet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7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7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57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zamestnancov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39"/>
        </w:trPr>
        <w:tc>
          <w:tcPr>
            <w:tcW w:w="3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9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Stav zamestnancov ku dňu, ku ktorému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57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sa zostavuje účtovná závierka, z toho: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39"/>
        </w:trPr>
        <w:tc>
          <w:tcPr>
            <w:tcW w:w="372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62"/>
        </w:trPr>
        <w:tc>
          <w:tcPr>
            <w:tcW w:w="372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8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6"/>
                <w:szCs w:val="6"/>
              </w:rPr>
            </w:pP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6"/>
                <w:szCs w:val="6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6"/>
                <w:szCs w:val="6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FE4435" w:rsidRDefault="00FE4435" w:rsidP="00FE4435">
      <w:pPr>
        <w:widowControl w:val="0"/>
        <w:autoSpaceDE w:val="0"/>
        <w:autoSpaceDN w:val="0"/>
        <w:adjustRightInd w:val="0"/>
        <w:spacing w:after="0" w:line="247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39" w:lineRule="auto"/>
        <w:ind w:left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Obchodná spoločnosť nie je neobmedzene ručiacim spoločníkom v žiadnej spoločnosti.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312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1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numPr>
          <w:ilvl w:val="0"/>
          <w:numId w:val="4"/>
        </w:numPr>
        <w:tabs>
          <w:tab w:val="clear" w:pos="720"/>
          <w:tab w:val="num" w:pos="780"/>
        </w:tabs>
        <w:overflowPunct w:val="0"/>
        <w:autoSpaceDE w:val="0"/>
        <w:autoSpaceDN w:val="0"/>
        <w:adjustRightInd w:val="0"/>
        <w:spacing w:after="0" w:line="239" w:lineRule="auto"/>
        <w:ind w:left="780" w:hanging="70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KONSOLIDOVANÁ ÚČTOVNÁ ZÁVIERKA – spoločnosť nezostavuje </w:t>
      </w:r>
    </w:p>
    <w:p w:rsidR="00FE4435" w:rsidRDefault="00FE4435" w:rsidP="00FE4435">
      <w:pPr>
        <w:widowControl w:val="0"/>
        <w:overflowPunct w:val="0"/>
        <w:autoSpaceDE w:val="0"/>
        <w:autoSpaceDN w:val="0"/>
        <w:adjustRightInd w:val="0"/>
        <w:spacing w:after="0" w:line="239" w:lineRule="auto"/>
        <w:ind w:left="780"/>
        <w:jc w:val="both"/>
        <w:rPr>
          <w:rFonts w:ascii="Times New Roman" w:hAnsi="Times New Roman" w:cs="Times New Roman"/>
          <w:b/>
          <w:bCs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hAnsi="Times New Roman" w:cs="Times New Roman"/>
          <w:b/>
          <w:bCs/>
        </w:rPr>
      </w:pPr>
    </w:p>
    <w:p w:rsidR="00FE4435" w:rsidRDefault="00FE4435" w:rsidP="00FE4435">
      <w:pPr>
        <w:widowControl w:val="0"/>
        <w:numPr>
          <w:ilvl w:val="0"/>
          <w:numId w:val="4"/>
        </w:numPr>
        <w:tabs>
          <w:tab w:val="clear" w:pos="720"/>
          <w:tab w:val="num" w:pos="840"/>
        </w:tabs>
        <w:overflowPunct w:val="0"/>
        <w:autoSpaceDE w:val="0"/>
        <w:autoSpaceDN w:val="0"/>
        <w:adjustRightInd w:val="0"/>
        <w:spacing w:after="0" w:line="240" w:lineRule="auto"/>
        <w:ind w:left="840" w:hanging="76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ĎAĽŠIE INFORMÁCIE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6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39" w:lineRule="auto"/>
        <w:ind w:left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V poznámkach sú ďalej uvedené informácie o: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tabs>
          <w:tab w:val="left" w:pos="780"/>
        </w:tabs>
        <w:autoSpaceDE w:val="0"/>
        <w:autoSpaceDN w:val="0"/>
        <w:adjustRightInd w:val="0"/>
        <w:spacing w:after="0" w:line="239" w:lineRule="auto"/>
        <w:ind w:left="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a)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</w:rPr>
        <w:t>použitých účtovných zásadách a účtovných metódach,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FE4435">
          <w:pgSz w:w="11900" w:h="16838"/>
          <w:pgMar w:top="1408" w:right="1320" w:bottom="1440" w:left="1340" w:header="708" w:footer="708" w:gutter="0"/>
          <w:cols w:space="708" w:equalWidth="0">
            <w:col w:w="9240"/>
          </w:cols>
          <w:noEndnote/>
        </w:sectPr>
      </w:pPr>
    </w:p>
    <w:p w:rsidR="00FE4435" w:rsidRDefault="00FE4435" w:rsidP="00FE4435">
      <w:pPr>
        <w:widowControl w:val="0"/>
        <w:numPr>
          <w:ilvl w:val="0"/>
          <w:numId w:val="5"/>
        </w:numPr>
        <w:tabs>
          <w:tab w:val="clear" w:pos="720"/>
          <w:tab w:val="num" w:pos="724"/>
        </w:tabs>
        <w:overflowPunct w:val="0"/>
        <w:autoSpaceDE w:val="0"/>
        <w:autoSpaceDN w:val="0"/>
        <w:adjustRightInd w:val="0"/>
        <w:spacing w:after="0" w:line="240" w:lineRule="auto"/>
        <w:ind w:left="724" w:hanging="364"/>
        <w:jc w:val="both"/>
        <w:rPr>
          <w:rFonts w:ascii="Times New Roman" w:hAnsi="Times New Roman" w:cs="Times New Roman"/>
        </w:rPr>
      </w:pPr>
      <w:bookmarkStart w:id="1" w:name="page3"/>
      <w:bookmarkEnd w:id="1"/>
      <w:r>
        <w:rPr>
          <w:rFonts w:ascii="Times New Roman" w:hAnsi="Times New Roman" w:cs="Times New Roman"/>
        </w:rPr>
        <w:lastRenderedPageBreak/>
        <w:t xml:space="preserve">údajoch vykázaných na strane aktív súvahy,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0"/>
          <w:numId w:val="5"/>
        </w:numPr>
        <w:tabs>
          <w:tab w:val="clear" w:pos="720"/>
          <w:tab w:val="num" w:pos="724"/>
        </w:tabs>
        <w:overflowPunct w:val="0"/>
        <w:autoSpaceDE w:val="0"/>
        <w:autoSpaceDN w:val="0"/>
        <w:adjustRightInd w:val="0"/>
        <w:spacing w:after="0" w:line="240" w:lineRule="auto"/>
        <w:ind w:left="724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údajoch vykázaných na strane pasív súvahy, </w:t>
      </w:r>
    </w:p>
    <w:p w:rsidR="00FE4435" w:rsidRDefault="00FE4435" w:rsidP="00FE4435">
      <w:pPr>
        <w:widowControl w:val="0"/>
        <w:numPr>
          <w:ilvl w:val="0"/>
          <w:numId w:val="5"/>
        </w:numPr>
        <w:tabs>
          <w:tab w:val="clear" w:pos="720"/>
          <w:tab w:val="num" w:pos="724"/>
        </w:tabs>
        <w:overflowPunct w:val="0"/>
        <w:autoSpaceDE w:val="0"/>
        <w:autoSpaceDN w:val="0"/>
        <w:adjustRightInd w:val="0"/>
        <w:spacing w:after="0" w:line="239" w:lineRule="auto"/>
        <w:ind w:left="724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výnosoch,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0"/>
          <w:numId w:val="5"/>
        </w:numPr>
        <w:tabs>
          <w:tab w:val="clear" w:pos="720"/>
          <w:tab w:val="num" w:pos="724"/>
        </w:tabs>
        <w:overflowPunct w:val="0"/>
        <w:autoSpaceDE w:val="0"/>
        <w:autoSpaceDN w:val="0"/>
        <w:adjustRightInd w:val="0"/>
        <w:spacing w:after="0" w:line="240" w:lineRule="auto"/>
        <w:ind w:left="724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nákladoch, </w:t>
      </w:r>
    </w:p>
    <w:p w:rsidR="00FE4435" w:rsidRDefault="00FE4435" w:rsidP="00FE4435">
      <w:pPr>
        <w:widowControl w:val="0"/>
        <w:numPr>
          <w:ilvl w:val="0"/>
          <w:numId w:val="5"/>
        </w:numPr>
        <w:tabs>
          <w:tab w:val="clear" w:pos="720"/>
          <w:tab w:val="num" w:pos="724"/>
        </w:tabs>
        <w:overflowPunct w:val="0"/>
        <w:autoSpaceDE w:val="0"/>
        <w:autoSpaceDN w:val="0"/>
        <w:adjustRightInd w:val="0"/>
        <w:spacing w:after="0" w:line="239" w:lineRule="auto"/>
        <w:ind w:left="724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daniach z príjmov, </w:t>
      </w:r>
    </w:p>
    <w:p w:rsidR="00FE4435" w:rsidRDefault="00FE4435" w:rsidP="00FE4435">
      <w:pPr>
        <w:widowControl w:val="0"/>
        <w:numPr>
          <w:ilvl w:val="0"/>
          <w:numId w:val="5"/>
        </w:numPr>
        <w:tabs>
          <w:tab w:val="clear" w:pos="720"/>
          <w:tab w:val="num" w:pos="724"/>
        </w:tabs>
        <w:overflowPunct w:val="0"/>
        <w:autoSpaceDE w:val="0"/>
        <w:autoSpaceDN w:val="0"/>
        <w:adjustRightInd w:val="0"/>
        <w:spacing w:after="0" w:line="239" w:lineRule="auto"/>
        <w:ind w:left="724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údajoch na podsúvahových účtoch,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0"/>
          <w:numId w:val="5"/>
        </w:numPr>
        <w:tabs>
          <w:tab w:val="clear" w:pos="720"/>
          <w:tab w:val="num" w:pos="724"/>
        </w:tabs>
        <w:overflowPunct w:val="0"/>
        <w:autoSpaceDE w:val="0"/>
        <w:autoSpaceDN w:val="0"/>
        <w:adjustRightInd w:val="0"/>
        <w:spacing w:after="0" w:line="240" w:lineRule="auto"/>
        <w:ind w:left="724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iných aktívach a iných pasívach, </w:t>
      </w:r>
    </w:p>
    <w:p w:rsidR="00FE4435" w:rsidRDefault="00FE4435" w:rsidP="00FE4435">
      <w:pPr>
        <w:widowControl w:val="0"/>
        <w:numPr>
          <w:ilvl w:val="0"/>
          <w:numId w:val="5"/>
        </w:numPr>
        <w:tabs>
          <w:tab w:val="clear" w:pos="720"/>
          <w:tab w:val="num" w:pos="724"/>
        </w:tabs>
        <w:overflowPunct w:val="0"/>
        <w:autoSpaceDE w:val="0"/>
        <w:autoSpaceDN w:val="0"/>
        <w:adjustRightInd w:val="0"/>
        <w:spacing w:after="0" w:line="239" w:lineRule="auto"/>
        <w:ind w:left="724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spriaznených osobách,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55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0"/>
          <w:numId w:val="5"/>
        </w:numPr>
        <w:tabs>
          <w:tab w:val="clear" w:pos="720"/>
          <w:tab w:val="num" w:pos="724"/>
        </w:tabs>
        <w:overflowPunct w:val="0"/>
        <w:autoSpaceDE w:val="0"/>
        <w:autoSpaceDN w:val="0"/>
        <w:adjustRightInd w:val="0"/>
        <w:spacing w:after="0" w:line="214" w:lineRule="auto"/>
        <w:ind w:left="724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skutočnostiach, ktoré nastali medzi dňom, ku ktorému sa zostavuje účtovná závierka a dňom jej zostavenia, </w:t>
      </w:r>
    </w:p>
    <w:p w:rsidR="00FE4435" w:rsidRDefault="00FE4435" w:rsidP="00FE4435">
      <w:pPr>
        <w:widowControl w:val="0"/>
        <w:numPr>
          <w:ilvl w:val="0"/>
          <w:numId w:val="5"/>
        </w:numPr>
        <w:tabs>
          <w:tab w:val="clear" w:pos="720"/>
          <w:tab w:val="num" w:pos="724"/>
        </w:tabs>
        <w:overflowPunct w:val="0"/>
        <w:autoSpaceDE w:val="0"/>
        <w:autoSpaceDN w:val="0"/>
        <w:adjustRightInd w:val="0"/>
        <w:spacing w:after="0" w:line="239" w:lineRule="auto"/>
        <w:ind w:left="724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prehľade zmien vlastného imania,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0"/>
          <w:numId w:val="5"/>
        </w:numPr>
        <w:tabs>
          <w:tab w:val="clear" w:pos="720"/>
          <w:tab w:val="num" w:pos="724"/>
        </w:tabs>
        <w:overflowPunct w:val="0"/>
        <w:autoSpaceDE w:val="0"/>
        <w:autoSpaceDN w:val="0"/>
        <w:adjustRightInd w:val="0"/>
        <w:spacing w:after="0" w:line="240" w:lineRule="auto"/>
        <w:ind w:left="724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prehľade peňažných tokov.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311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numPr>
          <w:ilvl w:val="0"/>
          <w:numId w:val="6"/>
        </w:numPr>
        <w:tabs>
          <w:tab w:val="clear" w:pos="720"/>
          <w:tab w:val="num" w:pos="704"/>
        </w:tabs>
        <w:overflowPunct w:val="0"/>
        <w:autoSpaceDE w:val="0"/>
        <w:autoSpaceDN w:val="0"/>
        <w:adjustRightInd w:val="0"/>
        <w:spacing w:after="0" w:line="240" w:lineRule="auto"/>
        <w:ind w:left="704" w:hanging="70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POUŽITÉ ÚČTOVNÉ ZÁSADY A ÚČTOVNÉ METÓDY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22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numPr>
          <w:ilvl w:val="0"/>
          <w:numId w:val="7"/>
        </w:numPr>
        <w:tabs>
          <w:tab w:val="clear" w:pos="720"/>
          <w:tab w:val="num" w:pos="364"/>
        </w:tabs>
        <w:overflowPunct w:val="0"/>
        <w:autoSpaceDE w:val="0"/>
        <w:autoSpaceDN w:val="0"/>
        <w:adjustRightInd w:val="0"/>
        <w:spacing w:after="0" w:line="223" w:lineRule="auto"/>
        <w:ind w:left="364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uplatňuje účtovné princípy a postupy účtovania v súlade so zákonom o účtovníctve a s postupmi účtovania pre podnikateľov, ktoré platia v Slovenskej republike. Účtovníctvo sa vedie v peňažných jednotkách slovenskej meny, t. j. v eurách .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79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0"/>
          <w:numId w:val="7"/>
        </w:numPr>
        <w:tabs>
          <w:tab w:val="clear" w:pos="720"/>
          <w:tab w:val="num" w:pos="364"/>
        </w:tabs>
        <w:overflowPunct w:val="0"/>
        <w:autoSpaceDE w:val="0"/>
        <w:autoSpaceDN w:val="0"/>
        <w:adjustRightInd w:val="0"/>
        <w:spacing w:after="0" w:line="223" w:lineRule="auto"/>
        <w:ind w:left="364" w:right="20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308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0"/>
          <w:numId w:val="7"/>
        </w:numPr>
        <w:tabs>
          <w:tab w:val="clear" w:pos="720"/>
          <w:tab w:val="num" w:pos="364"/>
        </w:tabs>
        <w:overflowPunct w:val="0"/>
        <w:autoSpaceDE w:val="0"/>
        <w:autoSpaceDN w:val="0"/>
        <w:adjustRightInd w:val="0"/>
        <w:spacing w:after="0" w:line="222" w:lineRule="auto"/>
        <w:ind w:left="364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oceňovaní majetku a záväzkov sa uplatňuje zásada opatrnosti, t. j. berú sa za základ všetky riziká, straty a zníženia hodnoty, ktoré sa týkajú majetku a záväzkov a sú známe ku dňu, ku ktorému sa zostavuje účtovná závierka.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308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0"/>
          <w:numId w:val="7"/>
        </w:numPr>
        <w:tabs>
          <w:tab w:val="clear" w:pos="720"/>
          <w:tab w:val="num" w:pos="364"/>
        </w:tabs>
        <w:overflowPunct w:val="0"/>
        <w:autoSpaceDE w:val="0"/>
        <w:autoSpaceDN w:val="0"/>
        <w:adjustRightInd w:val="0"/>
        <w:spacing w:after="0" w:line="215" w:lineRule="auto"/>
        <w:ind w:left="364" w:right="20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Moment zaúčtovania výnosov – Výnosy sa účtujú pri splnení dodacích podmienok, nakoľko v tomto okamihu prechádzajú na odberateľa významné riziká a vlastnícke práva.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0"/>
        <w:gridCol w:w="8820"/>
      </w:tblGrid>
      <w:tr w:rsidR="00FE4435" w:rsidTr="00EC4A31">
        <w:trPr>
          <w:trHeight w:val="253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84"/>
              </w:rPr>
              <w:t>5.</w:t>
            </w:r>
          </w:p>
        </w:tc>
        <w:tc>
          <w:tcPr>
            <w:tcW w:w="8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Dlhodobé  a  krátkodobé  pohľadávky,  záväzky,  úvery  a  pôžičky  –  Pohľadávky  a  záväzky  sa</w:t>
            </w:r>
          </w:p>
        </w:tc>
      </w:tr>
      <w:tr w:rsidR="00FE4435" w:rsidTr="00EC4A31">
        <w:trPr>
          <w:trHeight w:val="254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v súvahe vykazujú ako dlhodobé alebo krátkodobé podľa zostatkovej doby ich splatnosti ku dňu,</w:t>
            </w:r>
          </w:p>
        </w:tc>
      </w:tr>
      <w:tr w:rsidR="00FE4435" w:rsidTr="00EC4A31">
        <w:trPr>
          <w:trHeight w:val="252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ku  ktorému  sa  zostavuje  účtovná  závierka.  Časť  dlhodobej  pohľadávky  a časť  dlhodobého</w:t>
            </w:r>
          </w:p>
        </w:tc>
      </w:tr>
      <w:tr w:rsidR="00FE4435" w:rsidTr="00EC4A31">
        <w:trPr>
          <w:trHeight w:val="254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záväzku, ktorých splatnosť nie je dlhšia ako jeden rok odo dňa, ku ktorému sa zostavuje účtovná</w:t>
            </w:r>
          </w:p>
        </w:tc>
      </w:tr>
      <w:tr w:rsidR="00FE4435" w:rsidTr="00EC4A31">
        <w:trPr>
          <w:trHeight w:val="253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závierka, sa vykazuje v súvahe ako krátkodobá pohľadávka alebo krátkodobý záväzok.</w:t>
            </w:r>
          </w:p>
        </w:tc>
      </w:tr>
      <w:tr w:rsidR="00FE4435" w:rsidTr="00EC4A31">
        <w:trPr>
          <w:trHeight w:val="758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w w:val="84"/>
              </w:rPr>
              <w:t>6.</w:t>
            </w:r>
          </w:p>
        </w:tc>
        <w:tc>
          <w:tcPr>
            <w:tcW w:w="8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Spôsob ocenenia jednotlivých zložiek majetku a záväzkov – prvé ocenenie</w:t>
            </w:r>
          </w:p>
        </w:tc>
      </w:tr>
    </w:tbl>
    <w:p w:rsidR="00FE4435" w:rsidRDefault="00FE4435" w:rsidP="00FE4435">
      <w:pPr>
        <w:widowControl w:val="0"/>
        <w:autoSpaceDE w:val="0"/>
        <w:autoSpaceDN w:val="0"/>
        <w:adjustRightInd w:val="0"/>
        <w:spacing w:after="0" w:line="307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4"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Pri obstaraní majetku sa uplatňuje princíp obstarávacích cien (t. j. historických cien). Ocenenie jednotlivých položiek majetku a záväzkov je takéto: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305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numPr>
          <w:ilvl w:val="0"/>
          <w:numId w:val="8"/>
        </w:numPr>
        <w:tabs>
          <w:tab w:val="clear" w:pos="720"/>
          <w:tab w:val="num" w:pos="724"/>
        </w:tabs>
        <w:overflowPunct w:val="0"/>
        <w:autoSpaceDE w:val="0"/>
        <w:autoSpaceDN w:val="0"/>
        <w:adjustRightInd w:val="0"/>
        <w:spacing w:after="0" w:line="223" w:lineRule="auto"/>
        <w:ind w:left="724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dlhodobý hmotný a nehmotný majetok obstaraný kúpou - obstarávacou cenou; obstarávacia cena je cena, za ktorú sa majetok obstaral a náklady súvisiace s jeho obstaraním (prepravné a clo), - </w:t>
      </w:r>
      <w:r>
        <w:rPr>
          <w:rFonts w:ascii="Times New Roman" w:hAnsi="Times New Roman" w:cs="Times New Roman"/>
          <w:i/>
          <w:iCs/>
        </w:rPr>
        <w:t>spoločnosť nemá</w:t>
      </w:r>
      <w:r>
        <w:rPr>
          <w:rFonts w:ascii="Times New Roman" w:hAnsi="Times New Roman" w:cs="Times New Roman"/>
        </w:rPr>
        <w:t xml:space="preserve">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0"/>
          <w:numId w:val="8"/>
        </w:numPr>
        <w:tabs>
          <w:tab w:val="clear" w:pos="720"/>
          <w:tab w:val="num" w:pos="724"/>
        </w:tabs>
        <w:overflowPunct w:val="0"/>
        <w:autoSpaceDE w:val="0"/>
        <w:autoSpaceDN w:val="0"/>
        <w:adjustRightInd w:val="0"/>
        <w:spacing w:after="0" w:line="239" w:lineRule="auto"/>
        <w:ind w:left="724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dlhodobý nehmotný majetok vytvorený vlastnou činnosťou – </w:t>
      </w:r>
      <w:r>
        <w:rPr>
          <w:rFonts w:ascii="Times New Roman" w:hAnsi="Times New Roman" w:cs="Times New Roman"/>
          <w:i/>
          <w:iCs/>
        </w:rPr>
        <w:t>spoločnosť nevytvára</w:t>
      </w:r>
      <w:r>
        <w:rPr>
          <w:rFonts w:ascii="Times New Roman" w:hAnsi="Times New Roman" w:cs="Times New Roman"/>
        </w:rPr>
        <w:t xml:space="preserve">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0"/>
          <w:numId w:val="8"/>
        </w:numPr>
        <w:tabs>
          <w:tab w:val="clear" w:pos="720"/>
          <w:tab w:val="num" w:pos="724"/>
        </w:tabs>
        <w:overflowPunct w:val="0"/>
        <w:autoSpaceDE w:val="0"/>
        <w:autoSpaceDN w:val="0"/>
        <w:adjustRightInd w:val="0"/>
        <w:spacing w:after="0" w:line="239" w:lineRule="auto"/>
        <w:ind w:left="724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dlhodobý hmotný majetok vytvorený vlastnou činnosťou – </w:t>
      </w:r>
      <w:r>
        <w:rPr>
          <w:rFonts w:ascii="Times New Roman" w:hAnsi="Times New Roman" w:cs="Times New Roman"/>
          <w:i/>
          <w:iCs/>
        </w:rPr>
        <w:t>spoločnosť nevytvára</w:t>
      </w:r>
      <w:r>
        <w:rPr>
          <w:rFonts w:ascii="Times New Roman" w:hAnsi="Times New Roman" w:cs="Times New Roman"/>
        </w:rPr>
        <w:t xml:space="preserve">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306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0"/>
          <w:numId w:val="8"/>
        </w:numPr>
        <w:tabs>
          <w:tab w:val="clear" w:pos="720"/>
          <w:tab w:val="num" w:pos="724"/>
        </w:tabs>
        <w:overflowPunct w:val="0"/>
        <w:autoSpaceDE w:val="0"/>
        <w:autoSpaceDN w:val="0"/>
        <w:adjustRightInd w:val="0"/>
        <w:spacing w:after="0" w:line="239" w:lineRule="auto"/>
        <w:ind w:left="724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dlhodobý nehmotný a hmotný majetok obstaraný iným spôsobom – </w:t>
      </w:r>
      <w:r>
        <w:rPr>
          <w:rFonts w:ascii="Times New Roman" w:hAnsi="Times New Roman" w:cs="Times New Roman"/>
          <w:i/>
          <w:iCs/>
        </w:rPr>
        <w:t>spoločnosť nemá</w:t>
      </w:r>
      <w:r>
        <w:rPr>
          <w:rFonts w:ascii="Times New Roman" w:hAnsi="Times New Roman" w:cs="Times New Roman"/>
        </w:rPr>
        <w:t xml:space="preserve">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FE4435">
          <w:pgSz w:w="11900" w:h="16838"/>
          <w:pgMar w:top="1408" w:right="1400" w:bottom="1440" w:left="1416" w:header="708" w:footer="708" w:gutter="0"/>
          <w:cols w:space="708" w:equalWidth="0">
            <w:col w:w="9084"/>
          </w:cols>
          <w:noEndnote/>
        </w:sect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sz w:val="24"/>
          <w:szCs w:val="24"/>
        </w:rPr>
      </w:pPr>
      <w:bookmarkStart w:id="2" w:name="page4"/>
      <w:bookmarkEnd w:id="2"/>
    </w:p>
    <w:p w:rsidR="00FE4435" w:rsidRDefault="00FE4435" w:rsidP="00FE4435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23" w:lineRule="auto"/>
        <w:ind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dlhodobý finančný majetok - obstarávacou cenou; obstarávacia cena je cena, za ktorú sa majetok obstaral a náklady súvisiace s jeho obstaraním (poplatky a provízie maklérom, poradcom, burzám) –spoločnosť nemá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306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40" w:lineRule="auto"/>
        <w:ind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zásoby obstarané kúpou: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172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1"/>
          <w:numId w:val="9"/>
        </w:numPr>
        <w:overflowPunct w:val="0"/>
        <w:autoSpaceDE w:val="0"/>
        <w:autoSpaceDN w:val="0"/>
        <w:adjustRightInd w:val="0"/>
        <w:spacing w:after="0" w:line="223" w:lineRule="auto"/>
        <w:ind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nakupovaný materiál - obstarávacou cenou; pri úbytku rovnakého druhu zásob sa používa metóda váženého aritmetické priemeru </w:t>
      </w:r>
      <w:r>
        <w:rPr>
          <w:rFonts w:ascii="Times New Roman" w:hAnsi="Times New Roman" w:cs="Times New Roman"/>
          <w:i/>
          <w:iCs/>
        </w:rPr>
        <w:t>;</w:t>
      </w:r>
      <w:r>
        <w:rPr>
          <w:rFonts w:ascii="Times New Roman" w:hAnsi="Times New Roman" w:cs="Times New Roman"/>
        </w:rPr>
        <w:t xml:space="preserve"> do vedľajších nákladov vstupuje prepravné ;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173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1"/>
          <w:numId w:val="9"/>
        </w:numPr>
        <w:overflowPunct w:val="0"/>
        <w:autoSpaceDE w:val="0"/>
        <w:autoSpaceDN w:val="0"/>
        <w:adjustRightInd w:val="0"/>
        <w:spacing w:after="0" w:line="215" w:lineRule="auto"/>
        <w:ind w:right="20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nakupovaný tovar - obstarávacou cenou; pri úbytku rovnakého druhu tovaru sa používa metóda pevnej ceny; do vedľajších nákladov patrí prepravné</w:t>
      </w:r>
      <w:r>
        <w:rPr>
          <w:rFonts w:ascii="Times New Roman" w:hAnsi="Times New Roman" w:cs="Times New Roman"/>
          <w:color w:val="FF0000"/>
        </w:rPr>
        <w:t>,</w:t>
      </w:r>
      <w:r>
        <w:rPr>
          <w:rFonts w:ascii="Times New Roman" w:hAnsi="Times New Roman" w:cs="Times New Roman"/>
        </w:rPr>
        <w:t xml:space="preserve">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374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40" w:lineRule="auto"/>
        <w:ind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zásoby vytvorené vlastnou činnosťou: - </w:t>
      </w:r>
      <w:r>
        <w:rPr>
          <w:rFonts w:ascii="Times New Roman" w:hAnsi="Times New Roman" w:cs="Times New Roman"/>
          <w:i/>
          <w:iCs/>
        </w:rPr>
        <w:t>spoločnosť nevytvára</w:t>
      </w:r>
      <w:r>
        <w:rPr>
          <w:rFonts w:ascii="Times New Roman" w:hAnsi="Times New Roman" w:cs="Times New Roman"/>
        </w:rPr>
        <w:t xml:space="preserve">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3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40" w:lineRule="auto"/>
        <w:ind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zásoby obstarané iným spôsobom – spoločnosť neeviduje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1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40" w:lineRule="auto"/>
        <w:ind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zákazková výroba - spoločnosť nemá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3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40" w:lineRule="auto"/>
        <w:ind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pohľadávky: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1"/>
          <w:numId w:val="9"/>
        </w:numPr>
        <w:overflowPunct w:val="0"/>
        <w:autoSpaceDE w:val="0"/>
        <w:autoSpaceDN w:val="0"/>
        <w:adjustRightInd w:val="0"/>
        <w:spacing w:after="0" w:line="239" w:lineRule="auto"/>
        <w:ind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ich vzniku alebo bezodplatnom nadobudnutí - menovitou hodnotou,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173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1"/>
          <w:numId w:val="9"/>
        </w:numPr>
        <w:overflowPunct w:val="0"/>
        <w:autoSpaceDE w:val="0"/>
        <w:autoSpaceDN w:val="0"/>
        <w:adjustRightInd w:val="0"/>
        <w:spacing w:after="0" w:line="214" w:lineRule="auto"/>
        <w:ind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odplatnom nadobudnutí (postúpení) alebo nadobudnutí vkladom do základného imania – obstarávacou cenou,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175" w:lineRule="exact"/>
        <w:rPr>
          <w:rFonts w:ascii="Times New Roman" w:hAnsi="Times New Roman" w:cs="Times New Roman"/>
        </w:rPr>
      </w:pPr>
    </w:p>
    <w:p w:rsidR="00FE4435" w:rsidRDefault="00FE4435" w:rsidP="00FE4435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14" w:lineRule="auto"/>
        <w:ind w:right="20" w:hanging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dlhodobých pohľadávkach sa uvádza opravná položka v stĺpci korekcia, čím sa vyjadruje ich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39" w:lineRule="auto"/>
        <w:ind w:left="3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l)časové rozlíšenie na strane aktív súvahy – očakávanou menovitou hodnotou,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39" w:lineRule="auto"/>
        <w:ind w:left="3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m)záväzky: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174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overflowPunct w:val="0"/>
        <w:autoSpaceDE w:val="0"/>
        <w:autoSpaceDN w:val="0"/>
        <w:adjustRightInd w:val="0"/>
        <w:spacing w:after="0" w:line="304" w:lineRule="auto"/>
        <w:ind w:left="920" w:right="49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pri ich vzniku - menovitou hodnotou pri prevzatí - obstarávacou cenou,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184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39" w:lineRule="auto"/>
        <w:ind w:left="3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n)rezervy - v očakávanej výške záväzku,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5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39" w:lineRule="auto"/>
        <w:ind w:left="3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o)dlhopisy, pôžičky, úvery: - spoločnosť nemá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ind w:left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p)deriváty – spoločnosť nemá,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307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q)prenajatý majetok a majetok obstaraný na základe zmluvy o kúpe prenajatej veci – spoločnosť nemá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374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39" w:lineRule="auto"/>
        <w:ind w:left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u w:val="single"/>
        </w:rPr>
        <w:t>Odpisový plán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56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Dlhodobý majetok sa odpisuje podľa odpisového plánu, ktorý bol stanovený s ohľadom na odhad reálnej ekonomickej životnosti.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39" w:lineRule="auto"/>
        <w:ind w:left="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Majetok sa začína odpisovať </w:t>
      </w:r>
      <w:r>
        <w:rPr>
          <w:rFonts w:ascii="Times New Roman" w:hAnsi="Times New Roman" w:cs="Times New Roman"/>
          <w:b/>
          <w:bCs/>
          <w:i/>
          <w:iCs/>
        </w:rPr>
        <w:t>dňom zaradenia do používania.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308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overflowPunct w:val="0"/>
        <w:autoSpaceDE w:val="0"/>
        <w:autoSpaceDN w:val="0"/>
        <w:adjustRightInd w:val="0"/>
        <w:spacing w:after="0" w:line="214" w:lineRule="auto"/>
        <w:ind w:righ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Majetok a záväzky vyjadrené v cudzej mene sa prepočítavajú na euro kurzom určeným v kurzovom lístku ECB/ referenčný kurz/:</w:t>
      </w:r>
    </w:p>
    <w:p w:rsidR="00FE4435" w:rsidRDefault="00FE4435" w:rsidP="00FE4435">
      <w:pPr>
        <w:widowControl w:val="0"/>
        <w:numPr>
          <w:ilvl w:val="0"/>
          <w:numId w:val="10"/>
        </w:numPr>
        <w:overflowPunct w:val="0"/>
        <w:autoSpaceDE w:val="0"/>
        <w:autoSpaceDN w:val="0"/>
        <w:adjustRightInd w:val="0"/>
        <w:spacing w:after="0" w:line="239" w:lineRule="auto"/>
        <w:ind w:hanging="364"/>
        <w:jc w:val="both"/>
        <w:rPr>
          <w:rFonts w:ascii="Symbol" w:hAnsi="Symbol" w:cs="Symbol"/>
        </w:rPr>
      </w:pPr>
      <w:r>
        <w:rPr>
          <w:rFonts w:ascii="Times New Roman" w:hAnsi="Times New Roman" w:cs="Times New Roman"/>
        </w:rPr>
        <w:t xml:space="preserve">v deň predchádzajúci dňu uskutočnenia účtovného prípadu, alebo </w:t>
      </w:r>
    </w:p>
    <w:p w:rsidR="00FE4435" w:rsidRDefault="00FE4435" w:rsidP="00FE4435">
      <w:pPr>
        <w:widowControl w:val="0"/>
        <w:numPr>
          <w:ilvl w:val="0"/>
          <w:numId w:val="10"/>
        </w:numPr>
        <w:overflowPunct w:val="0"/>
        <w:autoSpaceDE w:val="0"/>
        <w:autoSpaceDN w:val="0"/>
        <w:adjustRightInd w:val="0"/>
        <w:spacing w:after="0" w:line="239" w:lineRule="auto"/>
        <w:ind w:hanging="364"/>
        <w:jc w:val="both"/>
        <w:rPr>
          <w:rFonts w:ascii="Symbol" w:hAnsi="Symbol" w:cs="Symbol"/>
        </w:rPr>
      </w:pPr>
      <w:r>
        <w:rPr>
          <w:rFonts w:ascii="Times New Roman" w:hAnsi="Times New Roman" w:cs="Times New Roman"/>
        </w:rPr>
        <w:t xml:space="preserve">v deň , ku ktorému sa zostavuje účtovná závierka. 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FE4435">
          <w:pgSz w:w="11900" w:h="16838"/>
          <w:pgMar w:top="1440" w:right="1400" w:bottom="1440" w:left="1420" w:header="708" w:footer="708" w:gutter="0"/>
          <w:cols w:space="708" w:equalWidth="0">
            <w:col w:w="9080"/>
          </w:cols>
          <w:noEndnote/>
        </w:sect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2" w:lineRule="exact"/>
        <w:rPr>
          <w:rFonts w:ascii="Times New Roman" w:hAnsi="Times New Roman" w:cs="Times New Roman"/>
          <w:sz w:val="24"/>
          <w:szCs w:val="24"/>
        </w:rPr>
      </w:pPr>
      <w:bookmarkStart w:id="3" w:name="page5"/>
      <w:bookmarkEnd w:id="3"/>
    </w:p>
    <w:p w:rsidR="00FE4435" w:rsidRDefault="00FE4435" w:rsidP="00FE4435">
      <w:pPr>
        <w:widowControl w:val="0"/>
        <w:overflowPunct w:val="0"/>
        <w:autoSpaceDE w:val="0"/>
        <w:autoSpaceDN w:val="0"/>
        <w:adjustRightInd w:val="0"/>
        <w:spacing w:after="0" w:line="215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Pri kúpe a predaji cudzej meny za euro sa použil kurz, za ktorý boli tieto hodnoty nakúpené alebo predané.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306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E. INFORMÁCIE O ÚDAJOCH NA STRANE AKTÍV SUVAHY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8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tabs>
          <w:tab w:val="left" w:pos="70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</w:rPr>
        <w:t>Dlhodobý nehmotný a hmotný majetok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9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Dlhodobý hmotný majetok – neevidujeme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Dlhodobý nehmotný majetok - neevidujeme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8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tabs>
          <w:tab w:val="left" w:pos="70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</w:rPr>
        <w:t>Dlhodobý finančný majetok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9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Na účtoch dlhodobého finančného majetku spoločnosť neúčtuje.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58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tabs>
          <w:tab w:val="left" w:pos="70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</w:rPr>
        <w:t>Zásoby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6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FE4435">
          <w:pgSz w:w="11900" w:h="16838"/>
          <w:pgMar w:top="1440" w:right="1420" w:bottom="1440" w:left="1420" w:header="708" w:footer="708" w:gutter="0"/>
          <w:cols w:space="708" w:equalWidth="0">
            <w:col w:w="9060"/>
          </w:cols>
          <w:noEndnote/>
        </w:sectPr>
      </w:pPr>
      <w:r>
        <w:rPr>
          <w:rFonts w:ascii="Times New Roman" w:hAnsi="Times New Roman" w:cs="Times New Roman"/>
        </w:rPr>
        <w:t>Zásoby spoločnosť nemá.</w:t>
      </w:r>
    </w:p>
    <w:p w:rsidR="00FE4435" w:rsidRDefault="00FE4435" w:rsidP="00FE4435">
      <w:pPr>
        <w:widowControl w:val="0"/>
        <w:tabs>
          <w:tab w:val="left" w:pos="4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4" w:name="page6"/>
      <w:bookmarkEnd w:id="4"/>
      <w:r>
        <w:rPr>
          <w:rFonts w:ascii="Times New Roman" w:hAnsi="Times New Roman" w:cs="Times New Roman"/>
          <w:b/>
          <w:bCs/>
        </w:rPr>
        <w:lastRenderedPageBreak/>
        <w:t>4.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</w:rPr>
        <w:t>Pohľadávky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36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80"/>
        <w:gridCol w:w="2040"/>
        <w:gridCol w:w="2040"/>
        <w:gridCol w:w="2060"/>
        <w:gridCol w:w="30"/>
      </w:tblGrid>
      <w:tr w:rsidR="00FE4435" w:rsidTr="00EC4A31">
        <w:trPr>
          <w:trHeight w:val="262"/>
        </w:trPr>
        <w:tc>
          <w:tcPr>
            <w:tcW w:w="3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 lehote splatnosti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</w:rPr>
              <w:t>Po lehote splatnosti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5"/>
        </w:trPr>
        <w:tc>
          <w:tcPr>
            <w:tcW w:w="31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36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68"/>
        </w:trPr>
        <w:tc>
          <w:tcPr>
            <w:tcW w:w="3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Pohľadávky z obchodného styku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11 013,74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11 013,74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11 013,74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0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35"/>
        </w:trPr>
        <w:tc>
          <w:tcPr>
            <w:tcW w:w="3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4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Pohľadávky voči spoločníkom,</w:t>
            </w:r>
          </w:p>
        </w:tc>
        <w:tc>
          <w:tcPr>
            <w:tcW w:w="204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204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206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318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členom a združeniu</w:t>
            </w:r>
          </w:p>
        </w:tc>
        <w:tc>
          <w:tcPr>
            <w:tcW w:w="204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04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0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31"/>
        </w:trPr>
        <w:tc>
          <w:tcPr>
            <w:tcW w:w="318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2"/>
        </w:trPr>
        <w:tc>
          <w:tcPr>
            <w:tcW w:w="3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0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3"/>
        </w:trPr>
        <w:tc>
          <w:tcPr>
            <w:tcW w:w="3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0"/>
              </w:rPr>
              <w:t>11 013,74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0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0"/>
              </w:rPr>
              <w:t>11 013,74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36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3"/>
        </w:trPr>
        <w:tc>
          <w:tcPr>
            <w:tcW w:w="318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36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307"/>
        </w:trPr>
        <w:tc>
          <w:tcPr>
            <w:tcW w:w="3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Pohľadávky z obchodného styku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82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35"/>
        </w:trPr>
        <w:tc>
          <w:tcPr>
            <w:tcW w:w="3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4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Pohľadávky voči spoločníkom,</w:t>
            </w:r>
          </w:p>
        </w:tc>
        <w:tc>
          <w:tcPr>
            <w:tcW w:w="204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204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206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318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členom a združeniu</w:t>
            </w:r>
          </w:p>
        </w:tc>
        <w:tc>
          <w:tcPr>
            <w:tcW w:w="204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04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0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9"/>
        </w:trPr>
        <w:tc>
          <w:tcPr>
            <w:tcW w:w="318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3"/>
        </w:trPr>
        <w:tc>
          <w:tcPr>
            <w:tcW w:w="3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0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68"/>
        </w:trPr>
        <w:tc>
          <w:tcPr>
            <w:tcW w:w="3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Daňové pohľadávky a dotácie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0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68"/>
        </w:trPr>
        <w:tc>
          <w:tcPr>
            <w:tcW w:w="3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0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3"/>
        </w:trPr>
        <w:tc>
          <w:tcPr>
            <w:tcW w:w="3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0"/>
              </w:rPr>
              <w:t>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0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0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36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FE4435" w:rsidRDefault="00FE4435" w:rsidP="00FE443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325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39" w:lineRule="auto"/>
        <w:ind w:left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Bežná lehota splatnosti pohľadávok z obchodného styku je 30 dní.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09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00"/>
        <w:gridCol w:w="2760"/>
        <w:gridCol w:w="2780"/>
        <w:gridCol w:w="30"/>
      </w:tblGrid>
      <w:tr w:rsidR="00FE4435" w:rsidTr="00EC4A31">
        <w:trPr>
          <w:trHeight w:val="262"/>
        </w:trPr>
        <w:tc>
          <w:tcPr>
            <w:tcW w:w="37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4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Pohľadávky podľa zostatkovej</w:t>
            </w:r>
          </w:p>
        </w:tc>
        <w:tc>
          <w:tcPr>
            <w:tcW w:w="27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7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5"/>
        </w:trPr>
        <w:tc>
          <w:tcPr>
            <w:tcW w:w="370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276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78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predchádzajúce účtovné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370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doby splatnosti</w:t>
            </w:r>
          </w:p>
        </w:tc>
        <w:tc>
          <w:tcPr>
            <w:tcW w:w="27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78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370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78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obdobie 31.12.2014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780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37"/>
        </w:trPr>
        <w:tc>
          <w:tcPr>
            <w:tcW w:w="370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Pohľadávky po lehote splatnosti</w:t>
            </w: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62"/>
        </w:trPr>
        <w:tc>
          <w:tcPr>
            <w:tcW w:w="370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72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6"/>
                <w:szCs w:val="6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6"/>
                <w:szCs w:val="6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6"/>
                <w:szCs w:val="6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35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4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Pohľadávky so zostatkovou dobou</w:t>
            </w:r>
          </w:p>
        </w:tc>
        <w:tc>
          <w:tcPr>
            <w:tcW w:w="276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65"/>
        </w:trPr>
        <w:tc>
          <w:tcPr>
            <w:tcW w:w="370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splatnosti do jedného roka</w:t>
            </w:r>
          </w:p>
        </w:tc>
        <w:tc>
          <w:tcPr>
            <w:tcW w:w="27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278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93"/>
        </w:trPr>
        <w:tc>
          <w:tcPr>
            <w:tcW w:w="370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38"/>
        </w:trPr>
        <w:tc>
          <w:tcPr>
            <w:tcW w:w="370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7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7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70"/>
        </w:trPr>
        <w:tc>
          <w:tcPr>
            <w:tcW w:w="370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6"/>
                <w:szCs w:val="6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6"/>
                <w:szCs w:val="6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6"/>
                <w:szCs w:val="6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64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37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7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Pohľadávky so zostatkovou dobou</w:t>
            </w:r>
          </w:p>
        </w:tc>
        <w:tc>
          <w:tcPr>
            <w:tcW w:w="276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0"/>
              </w:rPr>
              <w:t>11 013,74</w:t>
            </w:r>
          </w:p>
        </w:tc>
        <w:tc>
          <w:tcPr>
            <w:tcW w:w="278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0"/>
              </w:rPr>
              <w:t>11 013,74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62"/>
        </w:trPr>
        <w:tc>
          <w:tcPr>
            <w:tcW w:w="370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splatnosti jeden rok až päť rokov</w:t>
            </w:r>
          </w:p>
        </w:tc>
        <w:tc>
          <w:tcPr>
            <w:tcW w:w="27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278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93"/>
        </w:trPr>
        <w:tc>
          <w:tcPr>
            <w:tcW w:w="370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38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7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Pohľadávky so zostatkovou dobou</w:t>
            </w:r>
          </w:p>
        </w:tc>
        <w:tc>
          <w:tcPr>
            <w:tcW w:w="276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65"/>
        </w:trPr>
        <w:tc>
          <w:tcPr>
            <w:tcW w:w="370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splatnosti dlhšou ako päť rokov</w:t>
            </w:r>
          </w:p>
        </w:tc>
        <w:tc>
          <w:tcPr>
            <w:tcW w:w="27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278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93"/>
        </w:trPr>
        <w:tc>
          <w:tcPr>
            <w:tcW w:w="370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43"/>
        </w:trPr>
        <w:tc>
          <w:tcPr>
            <w:tcW w:w="370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0"/>
              </w:rPr>
              <w:t>11 013,74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0"/>
              </w:rPr>
              <w:t>11 013,74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65"/>
        </w:trPr>
        <w:tc>
          <w:tcPr>
            <w:tcW w:w="370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67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FE4435" w:rsidRDefault="002D290C" w:rsidP="00FE443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rect id="_x0000_s1026" style="position:absolute;margin-left:462.45pt;margin-top:-.7pt;width:1pt;height:.95pt;z-index:-251656192;mso-position-horizontal-relative:text;mso-position-vertical-relative:text" o:allowincell="f" fillcolor="black" stroked="f"/>
        </w:pic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355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39" w:lineRule="auto"/>
        <w:ind w:left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</w:rPr>
        <w:t>Finančné účty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37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47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0"/>
        <w:gridCol w:w="2680"/>
        <w:gridCol w:w="2360"/>
        <w:gridCol w:w="30"/>
      </w:tblGrid>
      <w:tr w:rsidR="00FE4435" w:rsidTr="00EC4A31">
        <w:trPr>
          <w:trHeight w:val="260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52"/>
        </w:trPr>
        <w:tc>
          <w:tcPr>
            <w:tcW w:w="334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68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2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predchádzajúce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334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68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36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účtovné obdobie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3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54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 31.12.2014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80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13 872,09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7"/>
              </w:rPr>
              <w:t>9 698,06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5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80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Bežné bankové účty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-67,57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-67,57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5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81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Bankové účty termínované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5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8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Peniaze na ceste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52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33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13 804,52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9 630,49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FE4435" w:rsidRDefault="002D290C" w:rsidP="00FE443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FE4435">
          <w:pgSz w:w="11900" w:h="16838"/>
          <w:pgMar w:top="1413" w:right="1300" w:bottom="1440" w:left="1300" w:header="708" w:footer="708" w:gutter="0"/>
          <w:cols w:space="708" w:equalWidth="0">
            <w:col w:w="9300"/>
          </w:cols>
          <w:noEndnote/>
        </w:sectPr>
      </w:pPr>
      <w:r>
        <w:rPr>
          <w:noProof/>
        </w:rPr>
        <w:pict>
          <v:rect id="_x0000_s1027" style="position:absolute;margin-left:441.1pt;margin-top:-.7pt;width:1pt;height:.95pt;z-index:-251655168;mso-position-horizontal-relative:text;mso-position-vertical-relative:text" o:allowincell="f" fillcolor="black" stroked="f"/>
        </w:pic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Times New Roman" w:hAnsi="Times New Roman" w:cs="Times New Roman"/>
          <w:sz w:val="24"/>
          <w:szCs w:val="24"/>
        </w:rPr>
      </w:pPr>
      <w:bookmarkStart w:id="5" w:name="page7"/>
      <w:bookmarkEnd w:id="5"/>
      <w:r>
        <w:rPr>
          <w:rFonts w:ascii="Times New Roman" w:hAnsi="Times New Roman" w:cs="Times New Roman"/>
          <w:b/>
          <w:bCs/>
        </w:rPr>
        <w:lastRenderedPageBreak/>
        <w:t>ÚDAJE VYKÁZANÉ NA STRANE PASÍV SÚVAHY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80"/>
        <w:gridCol w:w="2940"/>
        <w:gridCol w:w="2600"/>
        <w:gridCol w:w="30"/>
      </w:tblGrid>
      <w:tr w:rsidR="00FE4435" w:rsidTr="00EC4A31">
        <w:trPr>
          <w:trHeight w:val="345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52"/>
        </w:trPr>
        <w:tc>
          <w:tcPr>
            <w:tcW w:w="3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predchádzajúce účtovné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54"/>
        </w:trPr>
        <w:tc>
          <w:tcPr>
            <w:tcW w:w="3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</w:rPr>
              <w:t>obdobie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92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84"/>
        </w:trPr>
        <w:tc>
          <w:tcPr>
            <w:tcW w:w="3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8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326"/>
        </w:trPr>
        <w:tc>
          <w:tcPr>
            <w:tcW w:w="3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Záväzky so zostatkovou dobou</w:t>
            </w:r>
          </w:p>
        </w:tc>
        <w:tc>
          <w:tcPr>
            <w:tcW w:w="294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1 428,40</w:t>
            </w:r>
          </w:p>
        </w:tc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208,20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378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splatnosti do jedného roka vrátane</w:t>
            </w:r>
          </w:p>
        </w:tc>
        <w:tc>
          <w:tcPr>
            <w:tcW w:w="294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60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378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98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80"/>
        </w:trPr>
        <w:tc>
          <w:tcPr>
            <w:tcW w:w="3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1 428,40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208,20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312"/>
        </w:trPr>
        <w:tc>
          <w:tcPr>
            <w:tcW w:w="3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Záväzky so zostatkovou dobou</w:t>
            </w:r>
          </w:p>
        </w:tc>
        <w:tc>
          <w:tcPr>
            <w:tcW w:w="294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42 790,69</w:t>
            </w:r>
          </w:p>
        </w:tc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42582,49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378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splatnosti jeden rok až päť rokov</w:t>
            </w:r>
          </w:p>
        </w:tc>
        <w:tc>
          <w:tcPr>
            <w:tcW w:w="294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60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378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84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312"/>
        </w:trPr>
        <w:tc>
          <w:tcPr>
            <w:tcW w:w="3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Záväzky so zostatkovou dobou</w:t>
            </w:r>
          </w:p>
        </w:tc>
        <w:tc>
          <w:tcPr>
            <w:tcW w:w="294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378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splatnosti nad päť rokov</w:t>
            </w:r>
          </w:p>
        </w:tc>
        <w:tc>
          <w:tcPr>
            <w:tcW w:w="294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60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378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84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88"/>
        </w:trPr>
        <w:tc>
          <w:tcPr>
            <w:tcW w:w="3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42 790,69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42582,49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59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FE4435" w:rsidRDefault="00FE4435" w:rsidP="00FE4435">
      <w:pPr>
        <w:widowControl w:val="0"/>
        <w:autoSpaceDE w:val="0"/>
        <w:autoSpaceDN w:val="0"/>
        <w:adjustRightInd w:val="0"/>
        <w:spacing w:after="0" w:line="232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80"/>
        <w:gridCol w:w="2340"/>
        <w:gridCol w:w="30"/>
      </w:tblGrid>
      <w:tr w:rsidR="00FE4435" w:rsidTr="00EC4A31">
        <w:trPr>
          <w:trHeight w:val="284"/>
        </w:trPr>
        <w:tc>
          <w:tcPr>
            <w:tcW w:w="69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52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28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predchádzajúce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68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účtovné obdobie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91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Účtovný zisk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9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52"/>
        </w:trPr>
        <w:tc>
          <w:tcPr>
            <w:tcW w:w="698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698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34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obdobie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38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340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84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8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3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Prídel do štatutárnych a ostatných fondov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5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6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5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8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Prídel na zvýšenie základného imania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8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3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Úhrada straty minulých období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5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80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Prevod do nerozdeleného zisku minulých rokov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5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80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Rozdelenie podielu na zisku spoločníkom, členom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5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3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8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83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9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64"/>
        </w:trPr>
        <w:tc>
          <w:tcPr>
            <w:tcW w:w="69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52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52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28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Názov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poloţky</w:t>
            </w:r>
            <w:proofErr w:type="spellEnd"/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predchádzajúce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65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účtovné obdobie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91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2D290C" w:rsidP="002D29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4 872,16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9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52"/>
        </w:trPr>
        <w:tc>
          <w:tcPr>
            <w:tcW w:w="698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Vysporiadanie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účtovnej straty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5"/>
        </w:trPr>
        <w:tc>
          <w:tcPr>
            <w:tcW w:w="698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234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obdobie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38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340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86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5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80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Zo štatutárnych a ostatných fondov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5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3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Z nerozdeleného zisku minulých rokov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8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8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Úhrada straty spoločníkmi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6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6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Prevod do neuhradenej straty minulých rokov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2D290C" w:rsidP="002D29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4872,16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5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8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8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85"/>
        </w:trPr>
        <w:tc>
          <w:tcPr>
            <w:tcW w:w="6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2D29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="002D290C">
              <w:rPr>
                <w:rFonts w:ascii="Times New Roman" w:hAnsi="Times New Roman" w:cs="Times New Roman"/>
                <w:sz w:val="24"/>
                <w:szCs w:val="24"/>
              </w:rPr>
              <w:t>4 872,16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59"/>
        </w:trPr>
        <w:tc>
          <w:tcPr>
            <w:tcW w:w="6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FE4435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FE4435">
          <w:pgSz w:w="11900" w:h="16838"/>
          <w:pgMar w:top="1413" w:right="1280" w:bottom="1440" w:left="1300" w:header="708" w:footer="708" w:gutter="0"/>
          <w:cols w:space="708" w:equalWidth="0">
            <w:col w:w="9320"/>
          </w:cols>
          <w:noEndnote/>
        </w:sect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28" w:lineRule="exact"/>
        <w:rPr>
          <w:rFonts w:ascii="Times New Roman" w:hAnsi="Times New Roman" w:cs="Times New Roman"/>
          <w:sz w:val="24"/>
          <w:szCs w:val="24"/>
        </w:rPr>
      </w:pPr>
      <w:bookmarkStart w:id="6" w:name="page8"/>
      <w:bookmarkEnd w:id="6"/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</w:rPr>
        <w:t>Výnosy</w:t>
      </w: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288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00"/>
        <w:gridCol w:w="1460"/>
        <w:gridCol w:w="1440"/>
        <w:gridCol w:w="1460"/>
        <w:gridCol w:w="1880"/>
      </w:tblGrid>
      <w:tr w:rsidR="00FE4435" w:rsidTr="00EC4A31">
        <w:trPr>
          <w:trHeight w:val="260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Tržby</w:t>
            </w:r>
          </w:p>
        </w:tc>
        <w:tc>
          <w:tcPr>
            <w:tcW w:w="290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34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 predchádzajúce</w:t>
            </w:r>
          </w:p>
        </w:tc>
      </w:tr>
      <w:tr w:rsidR="00FE4435" w:rsidTr="00EC4A31">
        <w:trPr>
          <w:trHeight w:val="254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účtovné obdobie</w:t>
            </w:r>
          </w:p>
        </w:tc>
      </w:tr>
      <w:tr w:rsidR="00FE4435" w:rsidTr="00EC4A31">
        <w:trPr>
          <w:trHeight w:val="86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</w:tr>
      <w:tr w:rsidR="00FE4435" w:rsidTr="00EC4A31">
        <w:trPr>
          <w:trHeight w:val="242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9" w:lineRule="exact"/>
              <w:ind w:left="4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 Eur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</w:rPr>
              <w:t>%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9" w:lineRule="exact"/>
              <w:ind w:left="4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 Eur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</w:rPr>
              <w:t>%</w:t>
            </w:r>
          </w:p>
        </w:tc>
      </w:tr>
      <w:tr w:rsidR="00FE4435" w:rsidTr="00EC4A31">
        <w:trPr>
          <w:trHeight w:val="24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Tržby za vlastné výrobky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81"/>
              </w:rPr>
              <w:t>-</w:t>
            </w:r>
          </w:p>
        </w:tc>
      </w:tr>
      <w:tr w:rsidR="00FE4435" w:rsidTr="00EC4A31">
        <w:trPr>
          <w:trHeight w:val="243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7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Tržby za tovar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37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22 076,06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7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37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12 464,74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7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81"/>
              </w:rPr>
              <w:t>-</w:t>
            </w:r>
          </w:p>
        </w:tc>
      </w:tr>
      <w:tr w:rsidR="00FE4435" w:rsidTr="00EC4A31">
        <w:trPr>
          <w:trHeight w:val="243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9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Tržby za služby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</w:tr>
      <w:tr w:rsidR="00FE4435" w:rsidTr="00EC4A31">
        <w:trPr>
          <w:trHeight w:val="246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5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</w:rPr>
              <w:t>22 076,06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12 464,74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</w:tr>
      <w:tr w:rsidR="00FE4435" w:rsidTr="00EC4A31">
        <w:trPr>
          <w:trHeight w:val="493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u w:val="single"/>
              </w:rPr>
              <w:t>čistý obrat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E4435" w:rsidRDefault="00FE4435" w:rsidP="00FE4435">
      <w:pPr>
        <w:widowControl w:val="0"/>
        <w:autoSpaceDE w:val="0"/>
        <w:autoSpaceDN w:val="0"/>
        <w:adjustRightInd w:val="0"/>
        <w:spacing w:after="0" w:line="236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4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"/>
        <w:gridCol w:w="5787"/>
        <w:gridCol w:w="53"/>
        <w:gridCol w:w="1033"/>
        <w:gridCol w:w="457"/>
        <w:gridCol w:w="726"/>
        <w:gridCol w:w="1403"/>
        <w:gridCol w:w="31"/>
        <w:gridCol w:w="16"/>
      </w:tblGrid>
      <w:tr w:rsidR="00FE4435" w:rsidTr="00EC4A31">
        <w:trPr>
          <w:trHeight w:val="509"/>
        </w:trPr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gridSpan w:val="3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</w:rPr>
              <w:t>obdobie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52"/>
        </w:trPr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3"/>
        </w:trPr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Tržby za vlastné výrobky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5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8"/>
        </w:trPr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3"/>
        </w:trPr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Tržby z predaja služieb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8"/>
        </w:trPr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3"/>
        </w:trPr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Tržby za tovar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right="65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22 076,06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5"/>
        </w:trPr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3"/>
        </w:trPr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Výnosy z nehnuteľnosti na predaj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right="65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8"/>
        </w:trPr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3"/>
        </w:trPr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Úroky účet 662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right="3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8"/>
        </w:trPr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85"/>
        </w:trPr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right="3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22 076,06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50"/>
        </w:trPr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998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Náklady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56"/>
        </w:trPr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4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9" w:lineRule="exact"/>
              <w:ind w:right="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52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4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right="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predchádzajúc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3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obdobie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gridSpan w:val="2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right="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e účtovné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5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right="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</w:rPr>
              <w:t>obdobie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81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významné položky nákladov z hospodárskej činnosti, z toho: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0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35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5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Spotreba materiálu, energie a ostatných neskladovateľných</w:t>
            </w:r>
          </w:p>
        </w:tc>
        <w:tc>
          <w:tcPr>
            <w:tcW w:w="0" w:type="auto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3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gridSpan w:val="2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right="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0" w:type="auto"/>
            <w:gridSpan w:val="2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dodávok, z toho: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31"/>
        </w:trPr>
        <w:tc>
          <w:tcPr>
            <w:tcW w:w="0" w:type="auto"/>
            <w:gridSpan w:val="2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7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Spotreba materiálu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</w:rPr>
              <w:t>2 926,53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right="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4 504,39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8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3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Spotreba energie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5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6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Sluţby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: </w:t>
            </w:r>
            <w:r>
              <w:rPr>
                <w:rFonts w:ascii="Times New Roman" w:hAnsi="Times New Roman" w:cs="Times New Roman"/>
              </w:rPr>
              <w:t>z toho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5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3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Ostatné služby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2D290C" w:rsidP="002D290C">
            <w:pPr>
              <w:widowControl w:val="0"/>
              <w:autoSpaceDE w:val="0"/>
              <w:autoSpaceDN w:val="0"/>
              <w:adjustRightInd w:val="0"/>
              <w:spacing w:after="0" w:line="25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</w:rPr>
              <w:t>20,42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2D290C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right="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1 500,93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8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3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Nájomné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3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right="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5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6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Náklady na propagáciu a reklamu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3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right="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5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35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34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Odpisy a oprávky k dlhodobému hmotnému a nehmotnému</w:t>
            </w:r>
          </w:p>
        </w:tc>
        <w:tc>
          <w:tcPr>
            <w:tcW w:w="0" w:type="auto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3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gridSpan w:val="2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right="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27"/>
        </w:trPr>
        <w:tc>
          <w:tcPr>
            <w:tcW w:w="0" w:type="auto"/>
            <w:gridSpan w:val="2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majetku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131"/>
        </w:trPr>
        <w:tc>
          <w:tcPr>
            <w:tcW w:w="0" w:type="auto"/>
            <w:gridSpan w:val="2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7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Zostatková cena predaného dlhodobého majetku a materiálu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3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right="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8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8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Finančné náklady, z toho: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0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6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Kurzové straty: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3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right="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5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273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Ostatné významné položky finančných nákladov, z toho: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FE4435" w:rsidTr="00EC4A31">
        <w:trPr>
          <w:trHeight w:val="4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FE4435" w:rsidRDefault="00FE4435" w:rsidP="00FE443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FE4435">
          <w:pgSz w:w="11900" w:h="16838"/>
          <w:pgMar w:top="1440" w:right="900" w:bottom="1440" w:left="1060" w:header="708" w:footer="708" w:gutter="0"/>
          <w:cols w:space="708" w:equalWidth="0">
            <w:col w:w="9940"/>
          </w:cols>
          <w:noEndnote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20"/>
        <w:gridCol w:w="1700"/>
        <w:gridCol w:w="1700"/>
      </w:tblGrid>
      <w:tr w:rsidR="00FE4435" w:rsidTr="00EC4A31">
        <w:trPr>
          <w:trHeight w:val="296"/>
        </w:trPr>
        <w:tc>
          <w:tcPr>
            <w:tcW w:w="59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7" w:name="page9"/>
            <w:bookmarkEnd w:id="7"/>
            <w:r>
              <w:rPr>
                <w:rFonts w:ascii="Times New Roman" w:hAnsi="Times New Roman" w:cs="Times New Roman"/>
              </w:rPr>
              <w:lastRenderedPageBreak/>
              <w:t>Úroky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E4435" w:rsidTr="00EC4A31">
        <w:trPr>
          <w:trHeight w:val="45"/>
        </w:trPr>
        <w:tc>
          <w:tcPr>
            <w:tcW w:w="5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</w:tr>
      <w:tr w:rsidR="00FE4435" w:rsidTr="00EC4A31">
        <w:trPr>
          <w:trHeight w:val="300"/>
        </w:trPr>
        <w:tc>
          <w:tcPr>
            <w:tcW w:w="59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Ostatné finančné náklady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E4435" w:rsidTr="00EC4A31">
        <w:trPr>
          <w:trHeight w:val="74"/>
        </w:trPr>
        <w:tc>
          <w:tcPr>
            <w:tcW w:w="5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6"/>
                <w:szCs w:val="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6"/>
                <w:szCs w:val="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6"/>
                <w:szCs w:val="6"/>
              </w:rPr>
            </w:pPr>
          </w:p>
        </w:tc>
      </w:tr>
      <w:tr w:rsidR="00FE4435" w:rsidTr="00EC4A31">
        <w:trPr>
          <w:trHeight w:val="278"/>
        </w:trPr>
        <w:tc>
          <w:tcPr>
            <w:tcW w:w="59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Mimoriadne náklady, z toho: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E4435" w:rsidTr="00EC4A31">
        <w:trPr>
          <w:trHeight w:val="43"/>
        </w:trPr>
        <w:tc>
          <w:tcPr>
            <w:tcW w:w="5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4435" w:rsidRDefault="00FE4435" w:rsidP="00EC4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</w:tr>
    </w:tbl>
    <w:p w:rsidR="00FE4435" w:rsidRDefault="00FE4435" w:rsidP="00FE443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autoSpaceDE w:val="0"/>
        <w:autoSpaceDN w:val="0"/>
        <w:adjustRightInd w:val="0"/>
        <w:spacing w:after="0" w:line="350" w:lineRule="exact"/>
        <w:rPr>
          <w:rFonts w:ascii="Times New Roman" w:hAnsi="Times New Roman" w:cs="Times New Roman"/>
          <w:sz w:val="24"/>
          <w:szCs w:val="24"/>
        </w:rPr>
      </w:pPr>
    </w:p>
    <w:p w:rsidR="00FE4435" w:rsidRDefault="00FE4435" w:rsidP="00FE4435">
      <w:pPr>
        <w:widowControl w:val="0"/>
        <w:overflowPunct w:val="0"/>
        <w:autoSpaceDE w:val="0"/>
        <w:autoSpaceDN w:val="0"/>
        <w:adjustRightInd w:val="0"/>
        <w:spacing w:after="0" w:line="215" w:lineRule="auto"/>
        <w:ind w:left="120" w:right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Spoločnosť LUMAR LA s. r. o.  dosiahla v bežnom účtovnom období hospodársky výsledok – stratu  vo výške </w:t>
      </w:r>
      <w:r w:rsidR="002D290C">
        <w:rPr>
          <w:rFonts w:ascii="Times New Roman" w:hAnsi="Times New Roman" w:cs="Times New Roman"/>
        </w:rPr>
        <w:t>318,38</w:t>
      </w:r>
      <w:bookmarkStart w:id="8" w:name="_GoBack"/>
      <w:bookmarkEnd w:id="8"/>
      <w:r>
        <w:rPr>
          <w:rFonts w:ascii="Times New Roman" w:hAnsi="Times New Roman" w:cs="Times New Roman"/>
        </w:rPr>
        <w:t xml:space="preserve"> Eur.</w:t>
      </w:r>
    </w:p>
    <w:p w:rsidR="00842744" w:rsidRDefault="00842744"/>
    <w:sectPr w:rsidR="00842744">
      <w:pgSz w:w="11900" w:h="16838"/>
      <w:pgMar w:top="1395" w:right="1300" w:bottom="1440" w:left="1300" w:header="708" w:footer="708" w:gutter="0"/>
      <w:cols w:space="708" w:equalWidth="0">
        <w:col w:w="930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491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1EB"/>
    <w:multiLevelType w:val="hybridMultilevel"/>
    <w:tmpl w:val="00000BB3"/>
    <w:lvl w:ilvl="0" w:tplc="00002EA6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2DB"/>
    <w:multiLevelType w:val="hybridMultilevel"/>
    <w:tmpl w:val="0000153C"/>
    <w:lvl w:ilvl="0" w:tplc="00007E87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2CD6"/>
    <w:multiLevelType w:val="hybridMultilevel"/>
    <w:tmpl w:val="000072AE"/>
    <w:lvl w:ilvl="0" w:tplc="00006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90C"/>
    <w:multiLevelType w:val="hybridMultilevel"/>
    <w:tmpl w:val="00000F3E"/>
    <w:lvl w:ilvl="0" w:tplc="00000099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D06"/>
    <w:multiLevelType w:val="hybridMultilevel"/>
    <w:tmpl w:val="00004DB7"/>
    <w:lvl w:ilvl="0" w:tplc="00001547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5AF1"/>
    <w:multiLevelType w:val="hybridMultilevel"/>
    <w:tmpl w:val="000041BB"/>
    <w:lvl w:ilvl="0" w:tplc="000026E9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F90"/>
    <w:multiLevelType w:val="hybridMultilevel"/>
    <w:tmpl w:val="00001649"/>
    <w:lvl w:ilvl="0" w:tplc="00006DF1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19591F56"/>
    <w:multiLevelType w:val="hybridMultilevel"/>
    <w:tmpl w:val="D50852DC"/>
    <w:lvl w:ilvl="0" w:tplc="ED1605B2">
      <w:start w:val="980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8"/>
  </w:num>
  <w:num w:numId="5">
    <w:abstractNumId w:val="7"/>
  </w:num>
  <w:num w:numId="6">
    <w:abstractNumId w:val="2"/>
  </w:num>
  <w:num w:numId="7">
    <w:abstractNumId w:val="3"/>
  </w:num>
  <w:num w:numId="8">
    <w:abstractNumId w:val="5"/>
  </w:num>
  <w:num w:numId="9">
    <w:abstractNumId w:val="1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E4435"/>
    <w:rsid w:val="002D290C"/>
    <w:rsid w:val="00842744"/>
    <w:rsid w:val="00FB727E"/>
    <w:rsid w:val="00FE4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4435"/>
    <w:rPr>
      <w:rFonts w:eastAsiaTheme="minorEastAsia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FE4435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FE4435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ra">
    <w:name w:val="ra"/>
    <w:basedOn w:val="Predvolenpsmoodseku"/>
    <w:rsid w:val="00FE4435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950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1578</Words>
  <Characters>9000</Characters>
  <Application>Microsoft Office Word</Application>
  <DocSecurity>0</DocSecurity>
  <Lines>75</Lines>
  <Paragraphs>21</Paragraphs>
  <ScaleCrop>false</ScaleCrop>
  <Company/>
  <LinksUpToDate>false</LinksUpToDate>
  <CharactersWithSpaces>10557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Lucia</cp:lastModifiedBy>
  <cp:revision>3</cp:revision>
  <dcterms:created xsi:type="dcterms:W3CDTF">2015-06-26T17:26:00Z</dcterms:created>
  <dcterms:modified xsi:type="dcterms:W3CDTF">2016-06-03T11:58:00Z</dcterms:modified>
</cp:coreProperties>
</file>