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4AC8" w:rsidRDefault="00FB7EE1">
      <w:pPr>
        <w:spacing w:after="71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p w:rsidR="00CC4AC8" w:rsidRDefault="00FB7EE1">
      <w:pPr>
        <w:spacing w:after="0" w:line="241" w:lineRule="auto"/>
        <w:ind w:left="2838" w:right="0" w:hanging="2000"/>
        <w:jc w:val="left"/>
      </w:pPr>
      <w:r>
        <w:rPr>
          <w:b/>
          <w:sz w:val="28"/>
        </w:rPr>
        <w:t xml:space="preserve">Poznámky konsolidovanej účtovnej závierky obce Dolná Súča zostavenej k 31. decembru </w:t>
      </w:r>
      <w:r w:rsidR="0024246E">
        <w:rPr>
          <w:b/>
          <w:sz w:val="28"/>
        </w:rPr>
        <w:t>2015</w:t>
      </w:r>
      <w:r w:rsidR="00C76D26">
        <w:rPr>
          <w:sz w:val="28"/>
        </w:rP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54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1"/>
      </w:pPr>
      <w:r>
        <w:t xml:space="preserve">Čl. I Všeobecné údaje </w:t>
      </w:r>
    </w:p>
    <w:p w:rsidR="00CC4AC8" w:rsidRDefault="00FB7EE1">
      <w:pPr>
        <w:spacing w:after="114" w:line="259" w:lineRule="auto"/>
        <w:ind w:left="0" w:right="15" w:firstLine="0"/>
        <w:jc w:val="center"/>
      </w:pPr>
      <w:r>
        <w:rPr>
          <w:b/>
          <w:sz w:val="24"/>
        </w:rPr>
        <w:t xml:space="preserve"> </w:t>
      </w:r>
    </w:p>
    <w:p w:rsidR="00CC4AC8" w:rsidRDefault="00FB7EE1">
      <w:pPr>
        <w:pStyle w:val="Nadpis2"/>
        <w:ind w:left="-3" w:right="54"/>
      </w:pPr>
      <w:r>
        <w:t xml:space="preserve">1. Identifikačné údaje o konsolidujúcej účtovnej jednotke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  <w:i/>
          <w:sz w:val="18"/>
        </w:rPr>
        <w:t xml:space="preserve"> </w:t>
      </w:r>
    </w:p>
    <w:tbl>
      <w:tblPr>
        <w:tblStyle w:val="TableGrid"/>
        <w:tblW w:w="10082" w:type="dxa"/>
        <w:tblInd w:w="0" w:type="dxa"/>
        <w:tblCellMar>
          <w:top w:w="8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300"/>
      </w:tblGrid>
      <w:tr w:rsidR="00CC4AC8">
        <w:trPr>
          <w:trHeight w:val="3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Obec Dolná Súča </w:t>
            </w:r>
          </w:p>
        </w:tc>
      </w:tr>
      <w:tr w:rsidR="00CC4AC8">
        <w:trPr>
          <w:trHeight w:val="3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00311502 </w:t>
            </w:r>
          </w:p>
        </w:tc>
      </w:tr>
      <w:tr w:rsidR="00CC4AC8">
        <w:trPr>
          <w:trHeight w:val="3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Dolná Súča č.2 </w:t>
            </w:r>
          </w:p>
        </w:tc>
      </w:tr>
      <w:tr w:rsidR="00CC4AC8">
        <w:trPr>
          <w:trHeight w:val="59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01.01.1991 </w:t>
            </w:r>
          </w:p>
        </w:tc>
      </w:tr>
    </w:tbl>
    <w:p w:rsidR="00CC4AC8" w:rsidRDefault="00FB7EE1">
      <w:pPr>
        <w:spacing w:after="94"/>
        <w:ind w:left="-3"/>
      </w:pPr>
      <w:r>
        <w:t xml:space="preserve">Konsolidovaná účtovná závierka konsolidovaného celku obce Dolná Súča  bola zostavená v súlade so zákonom 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CC4AC8" w:rsidRDefault="00FB7EE1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2"/>
        <w:ind w:left="-3" w:right="54"/>
      </w:pPr>
      <w:r>
        <w:rPr>
          <w:i/>
        </w:rPr>
        <w:t xml:space="preserve">2. </w:t>
      </w:r>
      <w:r>
        <w:t xml:space="preserve">Informácie o hlavných predstaviteľoch konsolidujúcej účtovnej jednotky </w:t>
      </w:r>
      <w:r>
        <w:rPr>
          <w:i/>
        </w:rPr>
        <w:t xml:space="preserve"> </w:t>
      </w:r>
    </w:p>
    <w:tbl>
      <w:tblPr>
        <w:tblStyle w:val="TableGrid"/>
        <w:tblW w:w="10068" w:type="dxa"/>
        <w:tblInd w:w="0" w:type="dxa"/>
        <w:tblCellMar>
          <w:top w:w="7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286"/>
      </w:tblGrid>
      <w:tr w:rsidR="00CC4AC8">
        <w:trPr>
          <w:trHeight w:val="3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Starosta obce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Rudolf Pleva </w:t>
            </w:r>
          </w:p>
        </w:tc>
      </w:tr>
      <w:tr w:rsidR="00CC4AC8">
        <w:trPr>
          <w:trHeight w:val="33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Zástupca starostu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C4AC8">
        <w:trPr>
          <w:trHeight w:val="33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Prednosta obecného úradu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proofErr w:type="spellStart"/>
            <w:r>
              <w:rPr>
                <w:sz w:val="18"/>
              </w:rPr>
              <w:t>Ing.Viliam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Cagala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CC4AC8">
        <w:trPr>
          <w:trHeight w:val="36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Hlavný kontrolór obce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proofErr w:type="spellStart"/>
            <w:r>
              <w:rPr>
                <w:sz w:val="18"/>
              </w:rPr>
              <w:t>Mgr.Lenka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Vojtášová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</w:tbl>
    <w:p w:rsidR="00CC4AC8" w:rsidRDefault="00FB7EE1">
      <w:pPr>
        <w:pStyle w:val="Nadpis2"/>
        <w:spacing w:after="234"/>
        <w:ind w:left="-3" w:right="54"/>
      </w:pPr>
      <w:r>
        <w:t xml:space="preserve">3. Informácie o konsolidovanom celku </w:t>
      </w:r>
    </w:p>
    <w:p w:rsidR="00CC4AC8" w:rsidRDefault="00FB7EE1">
      <w:pPr>
        <w:spacing w:after="90"/>
        <w:ind w:left="-3" w:right="789"/>
      </w:pPr>
      <w:r>
        <w:t xml:space="preserve">Identifikačné údaje všetkých účtovných jednotiek konsolidovaného celku obce Dolná Súča sú uvedené v tabuľkovej časti </w:t>
      </w:r>
      <w:r>
        <w:rPr>
          <w:color w:val="0000CC"/>
        </w:rPr>
        <w:t>(tabuľka  č. 1)</w:t>
      </w:r>
      <w:r>
        <w:t xml:space="preserve"> poznámok konsolidovanej účtovnej závierky. </w:t>
      </w:r>
    </w:p>
    <w:p w:rsidR="00CC4AC8" w:rsidRDefault="00FB7EE1">
      <w:pPr>
        <w:spacing w:after="136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-5" w:right="590"/>
        <w:jc w:val="left"/>
      </w:pPr>
      <w:r>
        <w:rPr>
          <w:b/>
          <w:i/>
        </w:rPr>
        <w:t xml:space="preserve">3. 1. Identifikačné údaje o konsolidovaných účtovných jednotkách – rozpočtových organizáciách          v zriaďovateľskej pôsobnosti konsolidujúcej účtovnej jednotky </w:t>
      </w:r>
    </w:p>
    <w:tbl>
      <w:tblPr>
        <w:tblStyle w:val="TableGrid"/>
        <w:tblW w:w="10097" w:type="dxa"/>
        <w:tblInd w:w="-14" w:type="dxa"/>
        <w:tblCellMar>
          <w:top w:w="31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2033"/>
        <w:gridCol w:w="2468"/>
        <w:gridCol w:w="1042"/>
        <w:gridCol w:w="1839"/>
      </w:tblGrid>
      <w:tr w:rsidR="00CC4AC8">
        <w:trPr>
          <w:trHeight w:val="518"/>
        </w:trPr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18"/>
              </w:rPr>
              <w:t xml:space="preserve">Názov konsolidovanej účtovnej jednotky </w:t>
            </w:r>
          </w:p>
        </w:tc>
        <w:tc>
          <w:tcPr>
            <w:tcW w:w="2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Sídlo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74" w:right="0" w:firstLine="0"/>
              <w:jc w:val="center"/>
            </w:pPr>
            <w:r>
              <w:rPr>
                <w:b/>
                <w:sz w:val="18"/>
              </w:rPr>
              <w:t xml:space="preserve">IČO 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72" w:right="0" w:firstLine="0"/>
              <w:jc w:val="center"/>
            </w:pPr>
            <w:r>
              <w:rPr>
                <w:b/>
                <w:sz w:val="18"/>
              </w:rPr>
              <w:t xml:space="preserve">Dátum založenia </w:t>
            </w:r>
          </w:p>
        </w:tc>
      </w:tr>
      <w:tr w:rsidR="00CC4AC8">
        <w:trPr>
          <w:trHeight w:val="425"/>
        </w:trPr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Základná škola s materskou školou Rudolfa Hečku </w:t>
            </w:r>
          </w:p>
        </w:tc>
        <w:tc>
          <w:tcPr>
            <w:tcW w:w="2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C4AC8" w:rsidRDefault="00FB7EE1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18"/>
              </w:rPr>
              <w:t xml:space="preserve">Dolná Súča 252 </w:t>
            </w:r>
          </w:p>
        </w:tc>
        <w:tc>
          <w:tcPr>
            <w:tcW w:w="2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121" w:right="0" w:firstLine="0"/>
              <w:jc w:val="left"/>
            </w:pPr>
            <w:r>
              <w:rPr>
                <w:sz w:val="18"/>
              </w:rPr>
              <w:t xml:space="preserve">36125873 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68" w:right="0" w:firstLine="0"/>
              <w:jc w:val="center"/>
            </w:pPr>
            <w:r>
              <w:rPr>
                <w:sz w:val="18"/>
              </w:rPr>
              <w:t xml:space="preserve">01.07.2002 </w:t>
            </w:r>
          </w:p>
        </w:tc>
      </w:tr>
      <w:tr w:rsidR="00CC4AC8">
        <w:trPr>
          <w:trHeight w:val="310"/>
        </w:trPr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C4AC8" w:rsidRDefault="00FB7EE1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12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12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</w:tbl>
    <w:p w:rsidR="00FF2712" w:rsidRDefault="00FF2712">
      <w:pPr>
        <w:pStyle w:val="Nadpis2"/>
        <w:ind w:left="-3" w:right="54"/>
      </w:pPr>
    </w:p>
    <w:p w:rsidR="00FF2712" w:rsidRDefault="00FF2712">
      <w:pPr>
        <w:pStyle w:val="Nadpis2"/>
        <w:ind w:left="-3" w:right="54"/>
      </w:pPr>
    </w:p>
    <w:p w:rsidR="00FF2712" w:rsidRDefault="00FF2712">
      <w:pPr>
        <w:pStyle w:val="Nadpis2"/>
        <w:ind w:left="-3" w:right="54"/>
      </w:pPr>
    </w:p>
    <w:p w:rsidR="00CC4AC8" w:rsidRDefault="00FB7EE1">
      <w:pPr>
        <w:pStyle w:val="Nadpis2"/>
        <w:ind w:left="-3" w:right="54"/>
      </w:pPr>
      <w:r>
        <w:t xml:space="preserve">4. Informácie o zamestnancoch konsolidovaného celku 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  <w:i/>
          <w:sz w:val="22"/>
        </w:rPr>
        <w:t xml:space="preserve"> </w:t>
      </w:r>
    </w:p>
    <w:tbl>
      <w:tblPr>
        <w:tblStyle w:val="TableGrid"/>
        <w:tblW w:w="9994" w:type="dxa"/>
        <w:tblInd w:w="0" w:type="dxa"/>
        <w:tblCellMar>
          <w:top w:w="9" w:type="dxa"/>
          <w:left w:w="72" w:type="dxa"/>
        </w:tblCellMar>
        <w:tblLook w:val="04A0" w:firstRow="1" w:lastRow="0" w:firstColumn="1" w:lastColumn="0" w:noHBand="0" w:noVBand="1"/>
      </w:tblPr>
      <w:tblGrid>
        <w:gridCol w:w="5577"/>
        <w:gridCol w:w="2209"/>
        <w:gridCol w:w="2208"/>
      </w:tblGrid>
      <w:tr w:rsidR="00CC4AC8">
        <w:trPr>
          <w:trHeight w:val="278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Názov položky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0A2EA8">
            <w:pPr>
              <w:spacing w:after="0" w:line="259" w:lineRule="auto"/>
              <w:ind w:left="0" w:right="0" w:firstLine="0"/>
              <w:jc w:val="left"/>
            </w:pPr>
            <w:r>
              <w:t>2015</w:t>
            </w:r>
            <w:r w:rsidR="00FB7EE1"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24246E">
            <w:pPr>
              <w:spacing w:after="0" w:line="259" w:lineRule="auto"/>
              <w:ind w:left="0" w:right="0" w:firstLine="0"/>
              <w:jc w:val="left"/>
            </w:pPr>
            <w:r>
              <w:t>2014</w:t>
            </w:r>
            <w:r w:rsidR="00FB7EE1">
              <w:t xml:space="preserve"> </w:t>
            </w:r>
          </w:p>
        </w:tc>
      </w:tr>
      <w:tr w:rsidR="00CC4AC8">
        <w:trPr>
          <w:trHeight w:val="470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-6" w:firstLine="0"/>
            </w:pPr>
            <w:r>
              <w:t xml:space="preserve">Priemerný počet zamestnancov konsolidovaného celku počas účtovného obdobia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1453E7" w:rsidP="001453E7">
            <w:pPr>
              <w:spacing w:after="0" w:line="259" w:lineRule="auto"/>
              <w:ind w:left="0" w:right="0" w:firstLine="0"/>
              <w:jc w:val="left"/>
            </w:pPr>
            <w:r>
              <w:t>92</w:t>
            </w:r>
            <w:r w:rsidR="00FB7EE1"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 w:rsidP="00EC0DC9">
            <w:pPr>
              <w:spacing w:after="0" w:line="259" w:lineRule="auto"/>
              <w:ind w:left="0" w:right="0" w:firstLine="0"/>
              <w:jc w:val="left"/>
            </w:pPr>
            <w:r>
              <w:t>8</w:t>
            </w:r>
            <w:r w:rsidR="00EC0DC9">
              <w:t>2</w:t>
            </w:r>
          </w:p>
        </w:tc>
      </w:tr>
      <w:tr w:rsidR="00CC4AC8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z toho počet vedúcich zamestnancov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1453E7">
            <w:pPr>
              <w:spacing w:after="0" w:line="259" w:lineRule="auto"/>
              <w:ind w:left="0" w:right="0" w:firstLine="0"/>
              <w:jc w:val="left"/>
            </w:pPr>
            <w:r>
              <w:t>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t xml:space="preserve">4 </w:t>
            </w:r>
          </w:p>
        </w:tc>
      </w:tr>
    </w:tbl>
    <w:p w:rsidR="00CC4AC8" w:rsidRDefault="00FB7EE1">
      <w:pPr>
        <w:pStyle w:val="Nadpis2"/>
        <w:spacing w:after="223"/>
        <w:ind w:left="-3" w:right="54"/>
      </w:pPr>
      <w:r>
        <w:t xml:space="preserve">5.Informácie o výsledku hospodárenia z dôvodu predaja majetku medzi účtovnými   jednotkami konsolidovaného celku  </w:t>
      </w:r>
    </w:p>
    <w:p w:rsidR="00CC4AC8" w:rsidRDefault="00FB7EE1">
      <w:pPr>
        <w:spacing w:after="90"/>
        <w:ind w:left="438" w:right="0"/>
      </w:pPr>
      <w:r>
        <w:t xml:space="preserve">V priebehu účtovného obdobia roku 2014 sa medzi účtovnými jednotkami konsolidovaného celku obce neuskutočnil nákup resp. predaj majetku. </w:t>
      </w:r>
    </w:p>
    <w:p w:rsidR="00CC4AC8" w:rsidRDefault="00FB7EE1">
      <w:pPr>
        <w:spacing w:after="95" w:line="259" w:lineRule="auto"/>
        <w:ind w:left="428" w:right="0" w:firstLine="0"/>
        <w:jc w:val="left"/>
      </w:pPr>
      <w:r>
        <w:t xml:space="preserve"> </w:t>
      </w:r>
    </w:p>
    <w:p w:rsidR="00CC4AC8" w:rsidRDefault="00FB7EE1">
      <w:pPr>
        <w:pStyle w:val="Nadpis2"/>
        <w:spacing w:after="204"/>
        <w:ind w:left="-3" w:right="54"/>
      </w:pPr>
      <w:r>
        <w:t xml:space="preserve">6. Informácie o účtovných zásadách a účtovných metódach </w:t>
      </w:r>
    </w:p>
    <w:p w:rsidR="00CC4AC8" w:rsidRDefault="00FB7EE1">
      <w:pPr>
        <w:pStyle w:val="Nadpis3"/>
        <w:spacing w:after="124"/>
        <w:ind w:left="-5"/>
      </w:pPr>
      <w:r>
        <w:t xml:space="preserve">a) Dlhodobý nehmotný a dlhodobý hmotný majetok </w:t>
      </w:r>
    </w:p>
    <w:p w:rsidR="00CC4AC8" w:rsidRDefault="00FB7EE1">
      <w:pPr>
        <w:ind w:left="-3" w:right="0"/>
      </w:pPr>
      <w: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 nie sú/sú  úroky z úverov (podľa rozhodnutia účtovnej jednotky). Zľava z ceny, ktorú poskytol dodávateľ k majetku sa účtuje ako zníženie nákladov na predaný alebo spotrebovaný majetok. </w:t>
      </w:r>
    </w:p>
    <w:p w:rsidR="00CC4AC8" w:rsidRDefault="00FB7EE1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ind w:left="-3" w:right="0"/>
      </w:pPr>
      <w:r>
        <w:t xml:space="preserve">Hodnota obstarávaného dlhodobého hmotného majetku, ktorý sa používa, sa trvalo zníži o oprávky, ktoré zodpovedajú výške opotrebenia majetku.  </w:t>
      </w:r>
    </w:p>
    <w:p w:rsidR="00CC4AC8" w:rsidRDefault="00FB7EE1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ind w:left="-3" w:right="0"/>
      </w:pPr>
      <w:r>
        <w:t xml:space="preserve">O opravných položkách sa účtuje v prípade prechodného zníženia hodnoty majetku ku dňu, ku ktorému sa zostavuje účtovná závierka.  </w:t>
      </w:r>
    </w:p>
    <w:p w:rsidR="00CC4AC8" w:rsidRDefault="00FB7EE1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ind w:left="-3" w:right="0"/>
      </w:pPr>
      <w: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ind w:left="-3" w:right="0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  reprodukčnou obstarávacou cenou. 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 xml:space="preserve">. cenou, za ktorú by sa majetok obstaral v čase, keď sa o ňom účtuje. </w:t>
      </w:r>
    </w:p>
    <w:p w:rsidR="00CC4AC8" w:rsidRDefault="00FB7EE1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ind w:left="-3" w:right="0"/>
      </w:pPr>
      <w: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 </w:t>
      </w:r>
    </w:p>
    <w:p w:rsidR="00CC4AC8" w:rsidRDefault="00FB7EE1">
      <w:pPr>
        <w:spacing w:after="54" w:line="259" w:lineRule="auto"/>
        <w:ind w:left="0" w:righ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CC4AC8" w:rsidRDefault="00FB7EE1">
      <w:pPr>
        <w:pStyle w:val="Nadpis3"/>
        <w:spacing w:after="127"/>
        <w:ind w:left="-5"/>
      </w:pPr>
      <w:r>
        <w:t xml:space="preserve">b) Dlhodobý finančný majetok </w:t>
      </w:r>
    </w:p>
    <w:p w:rsidR="00CC4AC8" w:rsidRDefault="00FB7EE1">
      <w:pPr>
        <w:ind w:left="-3" w:right="0"/>
      </w:pPr>
      <w:r>
        <w:t xml:space="preserve">Finančné investície, cenné papiere a majetkové účasti sa oceňujú obstarávacou cenou, vrátane nákladov súvisiacich s obstaraním (provízie maklérom, poplatky burze).  </w:t>
      </w:r>
    </w:p>
    <w:p w:rsidR="00CC4AC8" w:rsidRDefault="00FB7EE1">
      <w:pPr>
        <w:spacing w:after="44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3"/>
        <w:spacing w:after="108"/>
        <w:ind w:left="-5"/>
      </w:pPr>
      <w:r>
        <w:lastRenderedPageBreak/>
        <w:t xml:space="preserve">c) Zásoby </w:t>
      </w:r>
    </w:p>
    <w:p w:rsidR="00CC4AC8" w:rsidRDefault="00FB7EE1">
      <w:pPr>
        <w:spacing w:after="124" w:line="270" w:lineRule="auto"/>
        <w:ind w:left="-5" w:right="79"/>
      </w:pPr>
      <w:r>
        <w:rPr>
          <w:sz w:val="18"/>
        </w:rPr>
        <w:t xml:space="preserve"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 </w:t>
      </w:r>
    </w:p>
    <w:p w:rsidR="00CC4AC8" w:rsidRDefault="00FB7EE1">
      <w:pPr>
        <w:spacing w:after="121" w:line="270" w:lineRule="auto"/>
        <w:ind w:left="-5" w:right="79"/>
      </w:pPr>
      <w:r>
        <w:rPr>
          <w:sz w:val="18"/>
        </w:rPr>
        <w:t xml:space="preserve">Zásoby vytvorené vlastnou činnosťou sa oceňujú vlastnými nákladmi.  </w:t>
      </w:r>
    </w:p>
    <w:p w:rsidR="00CC4AC8" w:rsidRDefault="00FB7EE1">
      <w:pPr>
        <w:spacing w:after="4" w:line="411" w:lineRule="auto"/>
        <w:ind w:left="-5" w:right="5421"/>
      </w:pPr>
      <w:r>
        <w:rPr>
          <w:sz w:val="18"/>
        </w:rPr>
        <w:t>Toto ocenenie sa upravuje o zníženie</w:t>
      </w:r>
      <w:r>
        <w:rPr>
          <w:b/>
          <w:sz w:val="18"/>
        </w:rPr>
        <w:t xml:space="preserve"> hodnoty zásob. d) Pohľadávky </w:t>
      </w:r>
    </w:p>
    <w:p w:rsidR="00CC4AC8" w:rsidRDefault="00FB7EE1">
      <w:pPr>
        <w:ind w:left="-3" w:right="0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 obstaraním. </w:t>
      </w:r>
    </w:p>
    <w:p w:rsidR="00CC4AC8" w:rsidRDefault="00FB7EE1">
      <w:pPr>
        <w:ind w:left="-3" w:right="0"/>
      </w:pPr>
      <w:r>
        <w:t xml:space="preserve">Opravná položka sa vytvára napr. k pohľadávkam po splatnosti a nedobytným pohľadávkam, kde existuje riziko nevymožiteľnosti pohľadávok. </w:t>
      </w:r>
      <w:r>
        <w:rPr>
          <w:color w:val="00B050"/>
        </w:rPr>
        <w:t xml:space="preserve"> </w:t>
      </w:r>
    </w:p>
    <w:p w:rsidR="00CC4AC8" w:rsidRDefault="00FB7EE1">
      <w:pPr>
        <w:spacing w:after="48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157" w:line="259" w:lineRule="auto"/>
        <w:ind w:left="-5" w:right="0"/>
        <w:jc w:val="left"/>
      </w:pPr>
      <w:r>
        <w:rPr>
          <w:b/>
          <w:sz w:val="18"/>
        </w:rPr>
        <w:t xml:space="preserve">e) Finančné účty </w:t>
      </w:r>
    </w:p>
    <w:p w:rsidR="00CC4AC8" w:rsidRDefault="00FB7EE1">
      <w:pPr>
        <w:ind w:left="-3" w:right="0"/>
      </w:pPr>
      <w:r>
        <w:t xml:space="preserve">Peňažné prostriedky a ceniny sa oceňujú menovitou hodnotou.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3"/>
        <w:tabs>
          <w:tab w:val="center" w:pos="2576"/>
        </w:tabs>
        <w:ind w:left="-15" w:firstLine="0"/>
      </w:pPr>
      <w:r>
        <w:t xml:space="preserve">f) </w:t>
      </w:r>
      <w:r>
        <w:tab/>
        <w:t xml:space="preserve">Náklady budúcich období a príjmy budúcich období </w:t>
      </w:r>
    </w:p>
    <w:p w:rsidR="00CC4AC8" w:rsidRDefault="00FB7EE1">
      <w:pPr>
        <w:ind w:left="-3" w:right="0"/>
      </w:pPr>
      <w:r>
        <w:t xml:space="preserve">Náklady budúcich období a príjmy budúcich období sa </w:t>
      </w:r>
      <w:proofErr w:type="spellStart"/>
      <w:r>
        <w:t>oceńujú</w:t>
      </w:r>
      <w:proofErr w:type="spellEnd"/>
      <w:r>
        <w:t xml:space="preserve"> menovitou hodnotou a vykazujú vo výške, ktorá je potrebná na dodržanie zásady vecnej a časovej súvislosti s účtovným obdobím. </w:t>
      </w:r>
    </w:p>
    <w:p w:rsidR="00CC4AC8" w:rsidRDefault="00FB7EE1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3"/>
        <w:ind w:left="-5"/>
      </w:pPr>
      <w:r>
        <w:t xml:space="preserve">g) Rezervy </w:t>
      </w:r>
    </w:p>
    <w:p w:rsidR="00CC4AC8" w:rsidRDefault="00FB7EE1">
      <w:pPr>
        <w:spacing w:after="32"/>
        <w:ind w:left="-3" w:right="0"/>
      </w:pPr>
      <w:r>
        <w:t xml:space="preserve">Rezervy sú záväzky s neurčitým časovým vymedzením alebo výškou a oceňujú sa menovitou hodnotou a vykazujú vo výške, ktorá je potrebná na dodržanie zásady vecnej a časovej súvislosti s účtovným obdobím. V účtovnej závierke sa tvorili rezervy najmä na nevyfakturované dodávky a </w:t>
      </w:r>
      <w:proofErr w:type="spellStart"/>
      <w:r>
        <w:t>služby,rezerva</w:t>
      </w:r>
      <w:proofErr w:type="spellEnd"/>
      <w:r>
        <w:t xml:space="preserve"> na audit. </w:t>
      </w:r>
      <w:r>
        <w:rPr>
          <w:b/>
          <w:sz w:val="18"/>
        </w:rPr>
        <w:t xml:space="preserve">h) Záväzky </w:t>
      </w:r>
      <w:proofErr w:type="spellStart"/>
      <w:r>
        <w:t>Záväzky</w:t>
      </w:r>
      <w:proofErr w:type="spellEnd"/>
      <w:r>
        <w:t xml:space="preserve"> sa pri ich vzniku oceňujú menovitou hodnotou a pri ich prevzatí sa oceňujú obstarávacou cenou.  Ak sa pri inventarizácii zistí, že suma záväzkov je iná ako ich výška v účtovníctve, uvedú sa záväzky v účtovníctve a v účtovnej závierke v tomto zistenom ocenení. </w:t>
      </w:r>
    </w:p>
    <w:p w:rsidR="00CC4AC8" w:rsidRDefault="00FB7EE1">
      <w:pPr>
        <w:spacing w:after="52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3"/>
        <w:tabs>
          <w:tab w:val="center" w:pos="2636"/>
        </w:tabs>
        <w:ind w:left="-15" w:firstLine="0"/>
      </w:pPr>
      <w:r>
        <w:t xml:space="preserve">i) </w:t>
      </w:r>
      <w:r>
        <w:tab/>
        <w:t xml:space="preserve">Výdavky budúcich období a výnosy budúcich období </w:t>
      </w:r>
    </w:p>
    <w:p w:rsidR="00CC4AC8" w:rsidRDefault="00FB7EE1">
      <w:pPr>
        <w:ind w:left="-3" w:right="0"/>
      </w:pPr>
      <w:r>
        <w:t xml:space="preserve">Výdavky budúcich období a výnosy budúcich období sa oceňujú menovitou hodnotou a vykazujú vo výške, ktorá je potrebná na dodržanie zásady vecnej a časovej súvislosti s účtovným obdobím. </w:t>
      </w:r>
    </w:p>
    <w:p w:rsidR="00CC4AC8" w:rsidRDefault="00FB7EE1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3"/>
        <w:tabs>
          <w:tab w:val="center" w:pos="916"/>
        </w:tabs>
        <w:ind w:left="-15" w:firstLine="0"/>
      </w:pPr>
      <w:r>
        <w:t xml:space="preserve">j) </w:t>
      </w:r>
      <w:r>
        <w:tab/>
        <w:t xml:space="preserve">Cudzia mena </w:t>
      </w:r>
    </w:p>
    <w:p w:rsidR="00CC4AC8" w:rsidRDefault="00FB7EE1">
      <w:pPr>
        <w:ind w:left="-3" w:right="0"/>
      </w:pPr>
      <w:r>
        <w:t xml:space="preserve"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tabs>
          <w:tab w:val="center" w:pos="1939"/>
        </w:tabs>
        <w:spacing w:after="24" w:line="259" w:lineRule="auto"/>
        <w:ind w:left="-15" w:right="0" w:firstLine="0"/>
        <w:jc w:val="left"/>
      </w:pPr>
      <w:r>
        <w:rPr>
          <w:b/>
          <w:sz w:val="18"/>
        </w:rPr>
        <w:t xml:space="preserve">j) </w:t>
      </w:r>
      <w:r>
        <w:rPr>
          <w:b/>
          <w:sz w:val="18"/>
        </w:rPr>
        <w:tab/>
        <w:t xml:space="preserve">Zásady pre vykazovanie transferov. </w:t>
      </w:r>
    </w:p>
    <w:p w:rsidR="00CC4AC8" w:rsidRDefault="00FB7EE1">
      <w:pPr>
        <w:spacing w:after="4" w:line="270" w:lineRule="auto"/>
        <w:ind w:left="-5" w:right="79"/>
      </w:pPr>
      <w:r>
        <w:rPr>
          <w:sz w:val="18"/>
        </w:rPr>
        <w:t xml:space="preserve">O nároku na dotácie zo štátneho rozpočtu sa účtuje, ak je takmer isté, že sa splnia všetky podmienky súvisiace s dotáciou a súčasne, že sa dotácia poskytne.  </w:t>
      </w:r>
    </w:p>
    <w:p w:rsidR="00CC4AC8" w:rsidRDefault="00FB7EE1">
      <w:pPr>
        <w:spacing w:after="4" w:line="270" w:lineRule="auto"/>
        <w:ind w:left="-5" w:right="79"/>
      </w:pPr>
      <w:r>
        <w:rPr>
          <w:b/>
          <w:sz w:val="18"/>
        </w:rPr>
        <w:t>Bežný transfer</w:t>
      </w:r>
      <w:r>
        <w:rPr>
          <w:sz w:val="18"/>
        </w:rPr>
        <w:t xml:space="preserve"> od </w:t>
      </w:r>
      <w:r>
        <w:rPr>
          <w:sz w:val="18"/>
          <w:u w:val="single" w:color="000000"/>
        </w:rPr>
        <w:t>cudzích subjektov</w:t>
      </w:r>
      <w:r>
        <w:rPr>
          <w:sz w:val="18"/>
        </w:rPr>
        <w:t xml:space="preserve"> - sa  zúčtuje do výnosov  vo vecnej a časovej súvislosti s nákladmi.  </w:t>
      </w:r>
    </w:p>
    <w:p w:rsidR="00CC4AC8" w:rsidRDefault="00FB7EE1">
      <w:pPr>
        <w:spacing w:after="4" w:line="270" w:lineRule="auto"/>
        <w:ind w:left="-5" w:right="79"/>
      </w:pPr>
      <w:r>
        <w:rPr>
          <w:b/>
          <w:sz w:val="18"/>
        </w:rPr>
        <w:t>Bežný transfer</w:t>
      </w:r>
      <w:r>
        <w:rPr>
          <w:sz w:val="18"/>
        </w:rPr>
        <w:t xml:space="preserve"> od </w:t>
      </w:r>
      <w:r>
        <w:rPr>
          <w:sz w:val="18"/>
          <w:u w:val="single" w:color="000000"/>
        </w:rPr>
        <w:t>zriaďovateľa</w:t>
      </w:r>
      <w:r>
        <w:rPr>
          <w:sz w:val="18"/>
        </w:rPr>
        <w:t xml:space="preserve"> - sa  zúčtuje do výnosov  vo vecnej a časovej súvislosti s výdavkami.  </w:t>
      </w:r>
    </w:p>
    <w:p w:rsidR="00CC4AC8" w:rsidRDefault="00FB7EE1">
      <w:pPr>
        <w:spacing w:after="4" w:line="270" w:lineRule="auto"/>
        <w:ind w:left="-5" w:right="79"/>
      </w:pPr>
      <w:r>
        <w:rPr>
          <w:b/>
          <w:sz w:val="18"/>
        </w:rPr>
        <w:t>Kapitálový transfer</w:t>
      </w:r>
      <w:r>
        <w:rPr>
          <w:sz w:val="18"/>
        </w:rPr>
        <w:t xml:space="preserve"> od </w:t>
      </w:r>
      <w:r>
        <w:rPr>
          <w:sz w:val="18"/>
          <w:u w:val="single" w:color="000000"/>
        </w:rPr>
        <w:t>cudzích subjektov</w:t>
      </w:r>
      <w:r>
        <w:rPr>
          <w:sz w:val="18"/>
        </w:rPr>
        <w:t xml:space="preserve"> - sa  zúčtuje do výnosov  vo vecnej a časovej súvislosti s nákladmi (napr. s odpismi, s opravnou položkou, so zostatkovou hodnotou vyradeného dlhodobého majetku).  </w:t>
      </w:r>
    </w:p>
    <w:p w:rsidR="00CC4AC8" w:rsidRDefault="00FB7EE1">
      <w:pPr>
        <w:spacing w:after="4" w:line="270" w:lineRule="auto"/>
        <w:ind w:left="-5" w:right="79"/>
      </w:pPr>
      <w:r>
        <w:rPr>
          <w:b/>
          <w:sz w:val="18"/>
        </w:rPr>
        <w:t>Kapitálový transfer</w:t>
      </w:r>
      <w:r>
        <w:rPr>
          <w:sz w:val="18"/>
        </w:rPr>
        <w:t xml:space="preserve"> od </w:t>
      </w:r>
      <w:r>
        <w:rPr>
          <w:sz w:val="18"/>
          <w:u w:val="single" w:color="000000"/>
        </w:rPr>
        <w:t>zriaďovateľa</w:t>
      </w:r>
      <w:r>
        <w:rPr>
          <w:sz w:val="18"/>
        </w:rPr>
        <w:t xml:space="preserve"> - sa  zúčtuje do výnosov  vo vecnej a časovej súvislosti s nákladmi (napr. s odpismi, s opravnou položkou, so zostatkovou hodnotou vyradeného dlhodobého majetku).  </w:t>
      </w:r>
    </w:p>
    <w:p w:rsidR="00CC4AC8" w:rsidRDefault="00FB7EE1">
      <w:pPr>
        <w:spacing w:after="45" w:line="259" w:lineRule="auto"/>
        <w:ind w:left="0" w:right="0" w:firstLine="0"/>
        <w:jc w:val="left"/>
      </w:pPr>
      <w:r>
        <w:lastRenderedPageBreak/>
        <w:t xml:space="preserve"> </w:t>
      </w:r>
    </w:p>
    <w:p w:rsidR="00CC4AC8" w:rsidRDefault="00FB7EE1">
      <w:pPr>
        <w:pStyle w:val="Nadpis3"/>
        <w:ind w:left="-5"/>
      </w:pPr>
      <w:r>
        <w:t xml:space="preserve">k) Výnosy  </w:t>
      </w:r>
    </w:p>
    <w:p w:rsidR="00CC4AC8" w:rsidRDefault="00FB7EE1">
      <w:pPr>
        <w:ind w:left="-3" w:right="0"/>
      </w:pPr>
      <w:r>
        <w:t xml:space="preserve"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 </w:t>
      </w:r>
    </w:p>
    <w:p w:rsidR="00CC4AC8" w:rsidRDefault="00FB7EE1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46"/>
        <w:ind w:left="-3" w:right="0"/>
      </w:pPr>
      <w:r>
        <w:t xml:space="preserve">O výnosoch z  poplatkov sa účtuje v časovej a vecnej súvislosti s vyrubením poplatkov (ak je účtovná jednotka výbercom poplatkov). </w:t>
      </w:r>
    </w:p>
    <w:p w:rsidR="00CC4AC8" w:rsidRDefault="00FB7EE1">
      <w:pPr>
        <w:pStyle w:val="Nadpis1"/>
      </w:pPr>
      <w:r>
        <w:t xml:space="preserve">Čl. II Informácie o metódach a postupoch konsolidácie </w:t>
      </w:r>
    </w:p>
    <w:p w:rsidR="00CC4AC8" w:rsidRDefault="00FB7EE1">
      <w:pPr>
        <w:spacing w:after="39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  <w:i/>
          <w:sz w:val="22"/>
        </w:rPr>
        <w:t xml:space="preserve">1. Informácie o použitých metódach konsolidácie </w:t>
      </w:r>
    </w:p>
    <w:p w:rsidR="00CC4AC8" w:rsidRDefault="00FB7EE1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ind w:left="-3" w:right="0"/>
      </w:pPr>
      <w:r>
        <w:t xml:space="preserve">Účtovné jednotky konsolidovaného celku obce Dolná Súča boli zahrnuté do konsolidovanej účtovnej závierky metódou konsolidácie uvedenou v nasledujúcom prehľade:. 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929" w:type="dxa"/>
        <w:tblInd w:w="-70" w:type="dxa"/>
        <w:tblCellMar>
          <w:top w:w="10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5440"/>
        <w:gridCol w:w="1301"/>
        <w:gridCol w:w="1558"/>
        <w:gridCol w:w="1630"/>
      </w:tblGrid>
      <w:tr w:rsidR="00CC4AC8">
        <w:trPr>
          <w:trHeight w:val="631"/>
        </w:trPr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864" w:right="835" w:firstLine="0"/>
              <w:jc w:val="center"/>
            </w:pPr>
            <w:r>
              <w:rPr>
                <w:i/>
                <w:sz w:val="18"/>
              </w:rPr>
              <w:t xml:space="preserve">Názov resp. obchodné meno konsolidovanej účtovnej jednotky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center"/>
            </w:pPr>
            <w:r>
              <w:rPr>
                <w:i/>
                <w:sz w:val="18"/>
              </w:rPr>
              <w:t xml:space="preserve">Metóda  úplnej konsolidácie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3"/>
              <w:jc w:val="center"/>
            </w:pPr>
            <w:r>
              <w:rPr>
                <w:i/>
                <w:sz w:val="18"/>
              </w:rPr>
              <w:t xml:space="preserve">Metóda  podielovej konsolidácie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2" w:right="0" w:firstLine="0"/>
              <w:jc w:val="center"/>
            </w:pPr>
            <w:r>
              <w:rPr>
                <w:i/>
                <w:sz w:val="18"/>
              </w:rPr>
              <w:t xml:space="preserve">Metóda  vlastného imania </w:t>
            </w:r>
          </w:p>
        </w:tc>
      </w:tr>
      <w:tr w:rsidR="00CC4AC8">
        <w:trPr>
          <w:trHeight w:val="319"/>
        </w:trPr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Základná škola s materskou školou Rudolfa Hečku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18"/>
              </w:rP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C00000"/>
                <w:sz w:val="18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C00000"/>
                <w:sz w:val="18"/>
              </w:rPr>
              <w:t xml:space="preserve"> </w:t>
            </w:r>
          </w:p>
        </w:tc>
      </w:tr>
    </w:tbl>
    <w:p w:rsidR="00CC4AC8" w:rsidRDefault="00FB7EE1">
      <w:pPr>
        <w:spacing w:after="75" w:line="259" w:lineRule="auto"/>
        <w:ind w:left="-5" w:right="590"/>
        <w:jc w:val="left"/>
      </w:pPr>
      <w:r>
        <w:rPr>
          <w:b/>
          <w:i/>
        </w:rPr>
        <w:t xml:space="preserve">Moment prvej konsolidácie kapitálu : </w:t>
      </w:r>
    </w:p>
    <w:p w:rsidR="00CC4AC8" w:rsidRDefault="00FB7EE1">
      <w:pPr>
        <w:numPr>
          <w:ilvl w:val="0"/>
          <w:numId w:val="1"/>
        </w:numPr>
        <w:ind w:right="0" w:hanging="283"/>
      </w:pPr>
      <w:r>
        <w:t xml:space="preserve">Pri rozpočtových organizáciách je to deň ich zriadenia.  </w:t>
      </w:r>
    </w:p>
    <w:p w:rsidR="00CC4AC8" w:rsidRDefault="00FB7EE1">
      <w:pPr>
        <w:numPr>
          <w:ilvl w:val="0"/>
          <w:numId w:val="1"/>
        </w:numPr>
        <w:ind w:right="0" w:hanging="283"/>
      </w:pPr>
      <w:r>
        <w:t xml:space="preserve">Pri príspevkových  organizáciách je to deň ich zriadenia.  </w:t>
      </w:r>
    </w:p>
    <w:p w:rsidR="00CC4AC8" w:rsidRDefault="00FB7EE1">
      <w:pPr>
        <w:numPr>
          <w:ilvl w:val="0"/>
          <w:numId w:val="1"/>
        </w:numPr>
        <w:ind w:right="0" w:hanging="283"/>
      </w:pPr>
      <w:r>
        <w:t xml:space="preserve">Pri obchodných spoločnostiach je to deň obstarania podielov. </w:t>
      </w:r>
    </w:p>
    <w:p w:rsidR="00CC4AC8" w:rsidRDefault="00FB7EE1">
      <w:pPr>
        <w:spacing w:after="95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2"/>
        <w:spacing w:after="175"/>
        <w:ind w:left="-3" w:right="54"/>
      </w:pPr>
      <w:r>
        <w:t xml:space="preserve">2. Konsolidácia medzivýsledku </w:t>
      </w:r>
    </w:p>
    <w:p w:rsidR="00CC4AC8" w:rsidRDefault="00FB7EE1">
      <w:pPr>
        <w:ind w:left="-3" w:right="0"/>
      </w:pPr>
      <w:r>
        <w:t xml:space="preserve">Konsolidácia medzivýsledku na úrovni obce nebola vykonaná, nakoľko nebol realizovaný žiadny predaj majetku a zásob medzi účtovnými jednotkami KC.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C4AC8" w:rsidRDefault="00FB7EE1">
      <w:pPr>
        <w:spacing w:after="0" w:line="259" w:lineRule="auto"/>
        <w:ind w:left="0" w:right="26" w:firstLine="0"/>
        <w:jc w:val="center"/>
      </w:pPr>
      <w:r>
        <w:rPr>
          <w:b/>
        </w:rP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33" w:line="259" w:lineRule="auto"/>
        <w:ind w:left="0" w:right="26" w:firstLine="0"/>
        <w:jc w:val="center"/>
      </w:pPr>
      <w:r>
        <w:rPr>
          <w:b/>
        </w:rPr>
        <w:t xml:space="preserve"> </w:t>
      </w:r>
    </w:p>
    <w:p w:rsidR="00CC4AC8" w:rsidRDefault="00FB7EE1">
      <w:pPr>
        <w:pStyle w:val="Nadpis1"/>
        <w:spacing w:after="103"/>
      </w:pPr>
      <w:r>
        <w:t xml:space="preserve">Čl. III Informácie o údajoch aktív a pasív </w:t>
      </w:r>
    </w:p>
    <w:p w:rsidR="00CC4AC8" w:rsidRDefault="00DD5C7C">
      <w:pPr>
        <w:pStyle w:val="Nadpis2"/>
        <w:spacing w:after="107"/>
        <w:ind w:left="-3" w:right="54"/>
      </w:pPr>
      <w:r>
        <w:t xml:space="preserve">1. Údaje </w:t>
      </w:r>
      <w:r w:rsidR="00FB7EE1">
        <w:t xml:space="preserve">o konsolidovanom celku  </w:t>
      </w:r>
    </w:p>
    <w:p w:rsidR="00CC4AC8" w:rsidRDefault="00FB7EE1">
      <w:pPr>
        <w:spacing w:after="136"/>
        <w:ind w:left="-3" w:right="0"/>
      </w:pPr>
      <w:r>
        <w:t>Konsolidovaný celok obce Dolná Súča .zahŕňa 1</w:t>
      </w:r>
      <w:r>
        <w:rPr>
          <w:color w:val="C00000"/>
        </w:rPr>
        <w:t xml:space="preserve"> </w:t>
      </w:r>
      <w:r>
        <w:t xml:space="preserve">rozpočtovú  organizáciu. Identifikačné údaje o účtovných jednotkách konsolidovaného celku sú uvedené v tabuľkovej časti </w:t>
      </w:r>
      <w:r>
        <w:rPr>
          <w:color w:val="0000CC"/>
        </w:rPr>
        <w:t>(tabuľka č. 1).</w:t>
      </w:r>
      <w:r>
        <w:t xml:space="preserve"> </w:t>
      </w:r>
    </w:p>
    <w:p w:rsidR="00CC4AC8" w:rsidRDefault="00FB7EE1">
      <w:pPr>
        <w:pStyle w:val="Nadpis2"/>
        <w:spacing w:after="104"/>
        <w:ind w:left="-3" w:right="54"/>
      </w:pPr>
      <w:r>
        <w:t xml:space="preserve">2. Prehľad o pohybe dlhodobého majetku </w:t>
      </w:r>
    </w:p>
    <w:p w:rsidR="00CC4AC8" w:rsidRDefault="00FB7EE1">
      <w:pPr>
        <w:numPr>
          <w:ilvl w:val="0"/>
          <w:numId w:val="2"/>
        </w:numPr>
        <w:ind w:right="0" w:hanging="245"/>
        <w:jc w:val="left"/>
      </w:pPr>
      <w:r>
        <w:rPr>
          <w:b/>
          <w:u w:val="single" w:color="000000"/>
        </w:rPr>
        <w:t>Prehľad o pohybe dlhodobého nehmotného a dlhodobého hmotného majetku</w:t>
      </w:r>
      <w:r w:rsidR="0024246E">
        <w:t xml:space="preserve"> od 1. januára 2015 do 31. decembra 2015</w:t>
      </w:r>
      <w:r>
        <w:t xml:space="preserve"> je uvedený  v tabuľkovej časti  konsolidovaných poznámok </w:t>
      </w:r>
      <w:r>
        <w:rPr>
          <w:color w:val="0000CC"/>
        </w:rPr>
        <w:t>(tabuľka č. 2).</w:t>
      </w:r>
      <w:r>
        <w:t xml:space="preserve">  </w:t>
      </w:r>
    </w:p>
    <w:p w:rsidR="00CC4AC8" w:rsidRDefault="00FB7EE1">
      <w:pPr>
        <w:ind w:left="-3" w:right="0"/>
      </w:pPr>
      <w:r>
        <w:rPr>
          <w:b/>
        </w:rPr>
        <w:t>Najvýznamnejší prírastok</w:t>
      </w:r>
      <w:r>
        <w:t xml:space="preserve"> dlhodobého majetku  sú: modernizácia a rekonštrukcia verejného osvetlenia</w:t>
      </w:r>
      <w:r w:rsidR="0024246E">
        <w:t>-</w:t>
      </w:r>
      <w:proofErr w:type="spellStart"/>
      <w:r w:rsidR="0024246E">
        <w:t>II.etapa</w:t>
      </w:r>
      <w:proofErr w:type="spellEnd"/>
      <w:r>
        <w:t>,</w:t>
      </w:r>
      <w:r w:rsidR="0024246E">
        <w:t xml:space="preserve"> </w:t>
      </w:r>
      <w:r>
        <w:t xml:space="preserve">rekonštrukcia </w:t>
      </w:r>
      <w:r w:rsidR="0024246E">
        <w:t>plynofikácie Telovýchovná jednota..</w:t>
      </w:r>
    </w:p>
    <w:p w:rsidR="00CC4AC8" w:rsidRDefault="00FB7EE1">
      <w:pPr>
        <w:spacing w:after="75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numPr>
          <w:ilvl w:val="0"/>
          <w:numId w:val="2"/>
        </w:numPr>
        <w:spacing w:after="45" w:line="259" w:lineRule="auto"/>
        <w:ind w:right="0" w:hanging="245"/>
        <w:jc w:val="left"/>
      </w:pPr>
      <w:r>
        <w:rPr>
          <w:b/>
          <w:u w:val="single" w:color="000000"/>
        </w:rPr>
        <w:t>spôsob a výška poistenia dlhodobého nehmotného a hmotného majetku</w:t>
      </w:r>
      <w:r>
        <w:rPr>
          <w:b/>
        </w:rPr>
        <w:t xml:space="preserve"> </w:t>
      </w:r>
    </w:p>
    <w:p w:rsidR="00CC4AC8" w:rsidRDefault="00FB7EE1">
      <w:pPr>
        <w:spacing w:after="43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41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43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43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tbl>
      <w:tblPr>
        <w:tblStyle w:val="TableGrid"/>
        <w:tblW w:w="10140" w:type="dxa"/>
        <w:tblInd w:w="-108" w:type="dxa"/>
        <w:tblCellMar>
          <w:top w:w="8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4619"/>
        <w:gridCol w:w="3524"/>
        <w:gridCol w:w="1997"/>
      </w:tblGrid>
      <w:tr w:rsidR="00CC4AC8">
        <w:trPr>
          <w:trHeight w:val="470"/>
        </w:trPr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Pr="00C8703B" w:rsidRDefault="00FB7EE1">
            <w:pPr>
              <w:spacing w:after="0" w:line="259" w:lineRule="auto"/>
              <w:ind w:left="0" w:right="0" w:firstLine="0"/>
              <w:jc w:val="left"/>
            </w:pPr>
            <w:r w:rsidRPr="00C8703B">
              <w:rPr>
                <w:b/>
                <w:color w:val="262626"/>
              </w:rPr>
              <w:t xml:space="preserve">Druh poisteného majetku 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Pr="00C8703B" w:rsidRDefault="00FB7EE1">
            <w:pPr>
              <w:spacing w:after="0" w:line="259" w:lineRule="auto"/>
              <w:ind w:left="2" w:right="0" w:firstLine="0"/>
              <w:jc w:val="left"/>
            </w:pPr>
            <w:r w:rsidRPr="00C8703B">
              <w:rPr>
                <w:b/>
                <w:color w:val="262626"/>
              </w:rPr>
              <w:t xml:space="preserve">Spôsob poistenia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FB7EE1">
            <w:pPr>
              <w:tabs>
                <w:tab w:val="right" w:pos="1834"/>
              </w:tabs>
              <w:spacing w:after="22" w:line="259" w:lineRule="auto"/>
              <w:ind w:left="0" w:right="0" w:firstLine="0"/>
              <w:jc w:val="left"/>
            </w:pPr>
            <w:r w:rsidRPr="00C8703B">
              <w:rPr>
                <w:b/>
                <w:color w:val="262626"/>
              </w:rPr>
              <w:t xml:space="preserve">Výška </w:t>
            </w:r>
            <w:r w:rsidRPr="00C8703B">
              <w:rPr>
                <w:b/>
                <w:color w:val="262626"/>
              </w:rPr>
              <w:tab/>
              <w:t xml:space="preserve">poistenia </w:t>
            </w:r>
          </w:p>
          <w:p w:rsidR="00CC4AC8" w:rsidRPr="00C8703B" w:rsidRDefault="00FB7EE1">
            <w:pPr>
              <w:spacing w:after="0" w:line="259" w:lineRule="auto"/>
              <w:ind w:left="0" w:right="0" w:firstLine="0"/>
              <w:jc w:val="left"/>
            </w:pPr>
            <w:r w:rsidRPr="00C8703B">
              <w:rPr>
                <w:b/>
                <w:color w:val="262626"/>
              </w:rPr>
              <w:t xml:space="preserve">(ročné)  </w:t>
            </w:r>
          </w:p>
        </w:tc>
      </w:tr>
      <w:tr w:rsidR="00CC4AC8">
        <w:trPr>
          <w:trHeight w:val="216"/>
        </w:trPr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F472F5">
            <w:pPr>
              <w:spacing w:after="0" w:line="259" w:lineRule="auto"/>
              <w:ind w:left="0" w:right="0" w:firstLine="0"/>
              <w:jc w:val="left"/>
            </w:pPr>
            <w:proofErr w:type="spellStart"/>
            <w:r w:rsidRPr="00C8703B">
              <w:rPr>
                <w:rFonts w:ascii="Times New Roman" w:eastAsia="Times New Roman" w:hAnsi="Times New Roman" w:cs="Times New Roman"/>
                <w:color w:val="262626"/>
                <w:sz w:val="18"/>
              </w:rPr>
              <w:t>Budovy,stavby,hnuteľný</w:t>
            </w:r>
            <w:proofErr w:type="spellEnd"/>
            <w:r w:rsidRPr="00C8703B">
              <w:rPr>
                <w:rFonts w:ascii="Times New Roman" w:eastAsia="Times New Roman" w:hAnsi="Times New Roman" w:cs="Times New Roman"/>
                <w:color w:val="262626"/>
                <w:sz w:val="18"/>
              </w:rPr>
              <w:t xml:space="preserve"> majetok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FB7EE1">
            <w:pPr>
              <w:spacing w:after="0" w:line="259" w:lineRule="auto"/>
              <w:ind w:left="2" w:right="0" w:firstLine="0"/>
              <w:jc w:val="left"/>
            </w:pPr>
            <w:r w:rsidRPr="00C8703B">
              <w:rPr>
                <w:rFonts w:ascii="Times New Roman" w:eastAsia="Times New Roman" w:hAnsi="Times New Roman" w:cs="Times New Roman"/>
                <w:color w:val="262626"/>
                <w:sz w:val="18"/>
              </w:rPr>
              <w:t xml:space="preserve">komerčné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F472F5">
            <w:pPr>
              <w:spacing w:after="0" w:line="259" w:lineRule="auto"/>
              <w:ind w:left="0" w:right="0" w:firstLine="0"/>
              <w:jc w:val="left"/>
            </w:pPr>
            <w:r w:rsidRPr="00C8703B">
              <w:rPr>
                <w:rFonts w:ascii="Times New Roman" w:eastAsia="Times New Roman" w:hAnsi="Times New Roman" w:cs="Times New Roman"/>
                <w:color w:val="262626"/>
                <w:sz w:val="18"/>
              </w:rPr>
              <w:t>2</w:t>
            </w:r>
            <w:r w:rsidR="008F72CE">
              <w:rPr>
                <w:rFonts w:ascii="Times New Roman" w:eastAsia="Times New Roman" w:hAnsi="Times New Roman" w:cs="Times New Roman"/>
                <w:color w:val="262626"/>
                <w:sz w:val="18"/>
              </w:rPr>
              <w:t xml:space="preserve"> </w:t>
            </w:r>
            <w:r w:rsidRPr="00C8703B">
              <w:rPr>
                <w:rFonts w:ascii="Times New Roman" w:eastAsia="Times New Roman" w:hAnsi="Times New Roman" w:cs="Times New Roman"/>
                <w:color w:val="262626"/>
                <w:sz w:val="18"/>
              </w:rPr>
              <w:t>523</w:t>
            </w:r>
            <w:r w:rsidR="00FB7EE1" w:rsidRPr="00C8703B">
              <w:rPr>
                <w:rFonts w:ascii="Times New Roman" w:eastAsia="Times New Roman" w:hAnsi="Times New Roman" w:cs="Times New Roman"/>
                <w:color w:val="262626"/>
                <w:sz w:val="18"/>
              </w:rPr>
              <w:t xml:space="preserve"> </w:t>
            </w:r>
          </w:p>
        </w:tc>
      </w:tr>
      <w:tr w:rsidR="00CC4AC8" w:rsidRPr="004C6E2F">
        <w:trPr>
          <w:trHeight w:val="216"/>
        </w:trPr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FB7EE1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7F29AE"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>Dopravné prostriedky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4C6E2F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>k</w:t>
            </w:r>
            <w:r w:rsidR="007F29AE"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omerčné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Pr="00C8703B" w:rsidRDefault="00FB7EE1" w:rsidP="00F472F5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7F29AE"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>1</w:t>
            </w:r>
            <w:r w:rsidR="008F72CE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bookmarkStart w:id="0" w:name="_GoBack"/>
            <w:bookmarkEnd w:id="0"/>
            <w:r w:rsidR="007F29AE" w:rsidRPr="00C8703B">
              <w:rPr>
                <w:rFonts w:ascii="Times New Roman" w:eastAsia="Times New Roman" w:hAnsi="Times New Roman" w:cs="Times New Roman"/>
                <w:color w:val="auto"/>
                <w:sz w:val="18"/>
              </w:rPr>
              <w:t>093</w:t>
            </w:r>
          </w:p>
        </w:tc>
      </w:tr>
    </w:tbl>
    <w:p w:rsidR="00CC4AC8" w:rsidRPr="004C6E2F" w:rsidRDefault="00FB7EE1">
      <w:pPr>
        <w:spacing w:after="320" w:line="259" w:lineRule="auto"/>
        <w:ind w:left="0" w:right="0" w:firstLine="0"/>
        <w:jc w:val="left"/>
        <w:rPr>
          <w:color w:val="auto"/>
        </w:rPr>
      </w:pPr>
      <w:r w:rsidRPr="004C6E2F">
        <w:rPr>
          <w:b/>
          <w:color w:val="auto"/>
          <w:sz w:val="2"/>
        </w:rPr>
        <w:t xml:space="preserve"> </w:t>
      </w:r>
    </w:p>
    <w:p w:rsidR="00CC4AC8" w:rsidRDefault="00FB7EE1">
      <w:pPr>
        <w:numPr>
          <w:ilvl w:val="0"/>
          <w:numId w:val="2"/>
        </w:numPr>
        <w:spacing w:after="78" w:line="259" w:lineRule="auto"/>
        <w:ind w:right="0" w:hanging="245"/>
        <w:jc w:val="left"/>
      </w:pPr>
      <w:r>
        <w:rPr>
          <w:b/>
          <w:u w:val="single" w:color="000000"/>
        </w:rPr>
        <w:t>zriadenie záložného práva na dlhodobý nehmotný majetok a dlhodobý hmotný majetok</w:t>
      </w:r>
      <w:r>
        <w:rPr>
          <w:b/>
        </w:rPr>
        <w:t xml:space="preserve">  </w:t>
      </w:r>
    </w:p>
    <w:p w:rsidR="00CC4AC8" w:rsidRDefault="00FB7EE1">
      <w:pPr>
        <w:ind w:left="-3" w:right="0"/>
      </w:pPr>
      <w:r>
        <w:t xml:space="preserve">Záložné právo je zriadené na tieto nehnuteľnosti: </w:t>
      </w:r>
    </w:p>
    <w:p w:rsidR="00CC4AC8" w:rsidRDefault="00FB7EE1">
      <w:pPr>
        <w:tabs>
          <w:tab w:val="center" w:pos="6065"/>
        </w:tabs>
        <w:spacing w:after="21" w:line="259" w:lineRule="auto"/>
        <w:ind w:left="-1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Novostavba nájomných bytov, </w:t>
      </w:r>
      <w:proofErr w:type="spellStart"/>
      <w:r>
        <w:rPr>
          <w:rFonts w:ascii="Times New Roman" w:eastAsia="Times New Roman" w:hAnsi="Times New Roman" w:cs="Times New Roman"/>
        </w:rPr>
        <w:t>s.č</w:t>
      </w:r>
      <w:proofErr w:type="spellEnd"/>
      <w:r>
        <w:rPr>
          <w:rFonts w:ascii="Times New Roman" w:eastAsia="Times New Roman" w:hAnsi="Times New Roman" w:cs="Times New Roman"/>
        </w:rPr>
        <w:t xml:space="preserve">. 921, 922, 923 v </w:t>
      </w:r>
      <w:proofErr w:type="spellStart"/>
      <w:r>
        <w:rPr>
          <w:rFonts w:ascii="Times New Roman" w:eastAsia="Times New Roman" w:hAnsi="Times New Roman" w:cs="Times New Roman"/>
        </w:rPr>
        <w:t>k.ú</w:t>
      </w:r>
      <w:proofErr w:type="spellEnd"/>
      <w:r>
        <w:rPr>
          <w:rFonts w:ascii="Times New Roman" w:eastAsia="Times New Roman" w:hAnsi="Times New Roman" w:cs="Times New Roman"/>
        </w:rPr>
        <w:t xml:space="preserve">. Dolná Súča  </w:t>
      </w:r>
      <w:r>
        <w:rPr>
          <w:rFonts w:ascii="Times New Roman" w:eastAsia="Times New Roman" w:hAnsi="Times New Roman" w:cs="Times New Roman"/>
        </w:rPr>
        <w:tab/>
        <w:t xml:space="preserve">604 826 € </w:t>
      </w:r>
    </w:p>
    <w:p w:rsidR="00CC4AC8" w:rsidRDefault="00FB7EE1">
      <w:pPr>
        <w:spacing w:after="21" w:line="259" w:lineRule="auto"/>
        <w:ind w:left="-5" w:right="2838"/>
        <w:jc w:val="left"/>
      </w:pPr>
      <w:r>
        <w:rPr>
          <w:rFonts w:ascii="Times New Roman" w:eastAsia="Times New Roman" w:hAnsi="Times New Roman" w:cs="Times New Roman"/>
        </w:rPr>
        <w:t xml:space="preserve">Záložný veriteľ: ŠFRB </w:t>
      </w:r>
    </w:p>
    <w:p w:rsidR="00CC4AC8" w:rsidRDefault="00FB7EE1">
      <w:pPr>
        <w:spacing w:after="43" w:line="259" w:lineRule="auto"/>
        <w:ind w:left="-5" w:right="2838"/>
        <w:jc w:val="left"/>
      </w:pPr>
      <w:r>
        <w:rPr>
          <w:rFonts w:ascii="Times New Roman" w:eastAsia="Times New Roman" w:hAnsi="Times New Roman" w:cs="Times New Roman"/>
        </w:rPr>
        <w:t xml:space="preserve">Materská škola, nadstavba, </w:t>
      </w:r>
      <w:proofErr w:type="spellStart"/>
      <w:r>
        <w:rPr>
          <w:rFonts w:ascii="Times New Roman" w:eastAsia="Times New Roman" w:hAnsi="Times New Roman" w:cs="Times New Roman"/>
        </w:rPr>
        <w:t>s.č</w:t>
      </w:r>
      <w:proofErr w:type="spellEnd"/>
      <w:r>
        <w:rPr>
          <w:rFonts w:ascii="Times New Roman" w:eastAsia="Times New Roman" w:hAnsi="Times New Roman" w:cs="Times New Roman"/>
        </w:rPr>
        <w:t xml:space="preserve">. 253 v </w:t>
      </w:r>
      <w:proofErr w:type="spellStart"/>
      <w:r>
        <w:rPr>
          <w:rFonts w:ascii="Times New Roman" w:eastAsia="Times New Roman" w:hAnsi="Times New Roman" w:cs="Times New Roman"/>
        </w:rPr>
        <w:t>k.ú</w:t>
      </w:r>
      <w:proofErr w:type="spellEnd"/>
      <w:r>
        <w:rPr>
          <w:rFonts w:ascii="Times New Roman" w:eastAsia="Times New Roman" w:hAnsi="Times New Roman" w:cs="Times New Roman"/>
        </w:rPr>
        <w:t xml:space="preserve">. Dolná Súča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432 484 € Záložný veriteľ: ŠFRB </w:t>
      </w:r>
    </w:p>
    <w:p w:rsidR="00CC4AC8" w:rsidRDefault="00FB7EE1">
      <w:pPr>
        <w:spacing w:after="154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2"/>
        <w:spacing w:after="103"/>
        <w:ind w:left="-3" w:right="54"/>
      </w:pPr>
      <w:r>
        <w:t xml:space="preserve">3. Prehľad o pohybe dlhodobého finančného majetku </w:t>
      </w:r>
    </w:p>
    <w:p w:rsidR="00CC4AC8" w:rsidRDefault="00FB7EE1">
      <w:pPr>
        <w:spacing w:after="129"/>
        <w:ind w:left="-3" w:right="0"/>
      </w:pPr>
      <w:r>
        <w:t>Detailnejšie informácie o dlhodobom finanč</w:t>
      </w:r>
      <w:r w:rsidR="00FF5E16">
        <w:t>nom majetku  k 31. decembru 2015</w:t>
      </w:r>
      <w:r>
        <w:t xml:space="preserve"> sú uvedené v tabuľkovej časti  </w:t>
      </w:r>
    </w:p>
    <w:p w:rsidR="00CC4AC8" w:rsidRDefault="00FB7EE1">
      <w:pPr>
        <w:spacing w:after="135" w:line="259" w:lineRule="auto"/>
        <w:ind w:left="0" w:right="0" w:firstLine="0"/>
        <w:jc w:val="left"/>
      </w:pPr>
      <w:r>
        <w:rPr>
          <w:color w:val="0000CC"/>
        </w:rPr>
        <w:t xml:space="preserve">(tabuľky č. 2 až č. 6) </w:t>
      </w:r>
    </w:p>
    <w:p w:rsidR="00CC4AC8" w:rsidRDefault="00FB7EE1">
      <w:pPr>
        <w:spacing w:after="123"/>
        <w:ind w:left="-3" w:right="0"/>
      </w:pPr>
      <w:r>
        <w:t xml:space="preserve">Realizovateľné cenné papiere v € - tabuľka č. 4 </w:t>
      </w:r>
    </w:p>
    <w:p w:rsidR="00CC4AC8" w:rsidRDefault="00FB7EE1">
      <w:pPr>
        <w:numPr>
          <w:ilvl w:val="0"/>
          <w:numId w:val="3"/>
        </w:numPr>
        <w:spacing w:after="130" w:line="259" w:lineRule="auto"/>
        <w:ind w:right="0" w:hanging="360"/>
        <w:jc w:val="left"/>
      </w:pPr>
      <w:r>
        <w:rPr>
          <w:b/>
        </w:rPr>
        <w:t xml:space="preserve">Vývoj opravnej položky k zásobám </w:t>
      </w:r>
    </w:p>
    <w:p w:rsidR="00CC4AC8" w:rsidRDefault="00825EAF">
      <w:pPr>
        <w:spacing w:after="92"/>
        <w:ind w:left="-3" w:right="0"/>
      </w:pPr>
      <w:r>
        <w:t>Konsolidovaný celok v roku 2015</w:t>
      </w:r>
      <w:r w:rsidR="00FB7EE1">
        <w:t xml:space="preserve"> netvoril opravné položky, nebol dôvod.</w:t>
      </w:r>
      <w:r w:rsidR="00FB7EE1">
        <w:rPr>
          <w:b/>
        </w:rPr>
        <w:t xml:space="preserve"> </w:t>
      </w:r>
    </w:p>
    <w:p w:rsidR="00CC4AC8" w:rsidRDefault="00FB7EE1">
      <w:pPr>
        <w:numPr>
          <w:ilvl w:val="0"/>
          <w:numId w:val="3"/>
        </w:numPr>
        <w:spacing w:after="134" w:line="259" w:lineRule="auto"/>
        <w:ind w:right="0" w:hanging="360"/>
        <w:jc w:val="left"/>
      </w:pPr>
      <w:r>
        <w:rPr>
          <w:b/>
        </w:rPr>
        <w:t xml:space="preserve">Transfery   </w:t>
      </w:r>
    </w:p>
    <w:p w:rsidR="00CC4AC8" w:rsidRDefault="00FB7EE1">
      <w:pPr>
        <w:numPr>
          <w:ilvl w:val="0"/>
          <w:numId w:val="3"/>
        </w:numPr>
        <w:spacing w:after="138" w:line="259" w:lineRule="auto"/>
        <w:ind w:right="0" w:hanging="360"/>
        <w:jc w:val="left"/>
      </w:pPr>
      <w:r>
        <w:rPr>
          <w:b/>
        </w:rPr>
        <w:t xml:space="preserve">Pohľadávky konsolidovaného celku v € </w:t>
      </w:r>
    </w:p>
    <w:p w:rsidR="00CC4AC8" w:rsidRDefault="00FB7EE1">
      <w:pPr>
        <w:tabs>
          <w:tab w:val="center" w:pos="8354"/>
        </w:tabs>
        <w:spacing w:after="0" w:line="259" w:lineRule="auto"/>
        <w:ind w:left="-13" w:right="0" w:firstLine="0"/>
        <w:jc w:val="left"/>
      </w:pPr>
      <w:r>
        <w:rPr>
          <w:b/>
        </w:rPr>
        <w:t xml:space="preserve">a) významné pohľadávky podľa jednotlivých položiek súvahy v €: </w:t>
      </w:r>
      <w:r>
        <w:rPr>
          <w:b/>
        </w:rPr>
        <w:tab/>
      </w:r>
      <w:r>
        <w:t xml:space="preserve"> </w:t>
      </w:r>
    </w:p>
    <w:tbl>
      <w:tblPr>
        <w:tblStyle w:val="TableGrid"/>
        <w:tblW w:w="10063" w:type="dxa"/>
        <w:tblInd w:w="-70" w:type="dxa"/>
        <w:tblLook w:val="04A0" w:firstRow="1" w:lastRow="0" w:firstColumn="1" w:lastColumn="0" w:noHBand="0" w:noVBand="1"/>
      </w:tblPr>
      <w:tblGrid>
        <w:gridCol w:w="3525"/>
        <w:gridCol w:w="650"/>
        <w:gridCol w:w="754"/>
        <w:gridCol w:w="1855"/>
        <w:gridCol w:w="3279"/>
      </w:tblGrid>
      <w:tr w:rsidR="00CC4AC8">
        <w:trPr>
          <w:trHeight w:val="478"/>
        </w:trPr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Pohľadávka </w:t>
            </w:r>
          </w:p>
        </w:tc>
        <w:tc>
          <w:tcPr>
            <w:tcW w:w="1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41" w:right="0" w:firstLine="0"/>
              <w:jc w:val="left"/>
            </w:pPr>
            <w:r>
              <w:rPr>
                <w:sz w:val="18"/>
              </w:rPr>
              <w:t xml:space="preserve">Riadok súvahy 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27" w:right="0" w:firstLine="0"/>
              <w:jc w:val="left"/>
            </w:pPr>
            <w:r>
              <w:rPr>
                <w:sz w:val="18"/>
              </w:rPr>
              <w:t xml:space="preserve">Hodnota pohľadávok  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18"/>
              </w:rPr>
              <w:t xml:space="preserve">Opis  </w:t>
            </w:r>
          </w:p>
        </w:tc>
      </w:tr>
      <w:tr w:rsidR="00CC4AC8">
        <w:trPr>
          <w:trHeight w:val="212"/>
        </w:trPr>
        <w:tc>
          <w:tcPr>
            <w:tcW w:w="35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33" w:right="0" w:firstLine="0"/>
              <w:jc w:val="center"/>
            </w:pPr>
            <w:r>
              <w:rPr>
                <w:sz w:val="18"/>
              </w:rPr>
              <w:t xml:space="preserve">a </w:t>
            </w:r>
          </w:p>
        </w:tc>
        <w:tc>
          <w:tcPr>
            <w:tcW w:w="6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8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36" w:right="0" w:firstLine="0"/>
              <w:jc w:val="center"/>
            </w:pPr>
            <w:r>
              <w:rPr>
                <w:sz w:val="18"/>
              </w:rPr>
              <w:t xml:space="preserve">2 </w:t>
            </w:r>
          </w:p>
        </w:tc>
        <w:tc>
          <w:tcPr>
            <w:tcW w:w="32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34" w:right="0" w:firstLine="0"/>
              <w:jc w:val="center"/>
            </w:pPr>
            <w:r>
              <w:rPr>
                <w:sz w:val="18"/>
              </w:rPr>
              <w:t xml:space="preserve">3 </w:t>
            </w:r>
          </w:p>
        </w:tc>
      </w:tr>
      <w:tr w:rsidR="00CC4AC8">
        <w:trPr>
          <w:trHeight w:val="463"/>
        </w:trPr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C4AC8" w:rsidRPr="00A73515" w:rsidRDefault="00FB7EE1">
            <w:pPr>
              <w:spacing w:after="0" w:line="259" w:lineRule="auto"/>
              <w:ind w:left="70" w:right="0" w:firstLine="0"/>
              <w:jc w:val="left"/>
            </w:pPr>
            <w:r w:rsidRPr="00A73515">
              <w:rPr>
                <w:rFonts w:ascii="Times New Roman" w:eastAsia="Times New Roman" w:hAnsi="Times New Roman" w:cs="Times New Roman"/>
              </w:rPr>
              <w:t>Krátkodobá-</w:t>
            </w:r>
            <w:proofErr w:type="spellStart"/>
            <w:r w:rsidRPr="00A73515">
              <w:rPr>
                <w:rFonts w:ascii="Times New Roman" w:eastAsia="Times New Roman" w:hAnsi="Times New Roman" w:cs="Times New Roman"/>
              </w:rPr>
              <w:t>nedanové</w:t>
            </w:r>
            <w:proofErr w:type="spellEnd"/>
            <w:r w:rsidRPr="00A73515">
              <w:rPr>
                <w:rFonts w:ascii="Times New Roman" w:eastAsia="Times New Roman" w:hAnsi="Times New Roman" w:cs="Times New Roman"/>
              </w:rPr>
              <w:t xml:space="preserve"> príjmy obce  </w:t>
            </w: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C4AC8" w:rsidRPr="00A73515" w:rsidRDefault="00FB7EE1">
            <w:pPr>
              <w:spacing w:after="0" w:line="259" w:lineRule="auto"/>
              <w:ind w:left="70" w:right="0" w:firstLine="0"/>
              <w:jc w:val="left"/>
            </w:pPr>
            <w:r w:rsidRPr="00A73515">
              <w:rPr>
                <w:rFonts w:ascii="Times New Roman" w:eastAsia="Times New Roman" w:hAnsi="Times New Roman" w:cs="Times New Roman"/>
              </w:rPr>
              <w:t xml:space="preserve">071 </w:t>
            </w:r>
          </w:p>
        </w:tc>
        <w:tc>
          <w:tcPr>
            <w:tcW w:w="75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C4AC8" w:rsidRDefault="005236BC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9870,51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neuhradený poplatok za komunálny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odpad,nájom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nebytové priestory a pod. </w:t>
            </w:r>
          </w:p>
        </w:tc>
      </w:tr>
      <w:tr w:rsidR="00CC4AC8">
        <w:trPr>
          <w:trHeight w:val="623"/>
        </w:trPr>
        <w:tc>
          <w:tcPr>
            <w:tcW w:w="352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Krátkodobá-ostatné pohľadávky </w:t>
            </w:r>
          </w:p>
        </w:tc>
        <w:tc>
          <w:tcPr>
            <w:tcW w:w="65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CC4AC8" w:rsidRDefault="005236BC">
            <w:pPr>
              <w:spacing w:after="0" w:line="259" w:lineRule="auto"/>
              <w:ind w:left="7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068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5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C4AC8" w:rsidRDefault="005236BC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4508,66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refundácia za elektrickú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energiu,odber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druhotných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surovín,preplatok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elektrická energia </w:t>
            </w:r>
          </w:p>
        </w:tc>
      </w:tr>
      <w:tr w:rsidR="00CC4AC8">
        <w:trPr>
          <w:trHeight w:val="339"/>
        </w:trPr>
        <w:tc>
          <w:tcPr>
            <w:tcW w:w="35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Krátkodobá-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danové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príjmy obce </w:t>
            </w:r>
          </w:p>
        </w:tc>
        <w:tc>
          <w:tcPr>
            <w:tcW w:w="6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072 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5236BC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1658,13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2" w:right="0" w:firstLine="0"/>
              <w:jc w:val="left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dan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za psa,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 nehnuteľností </w:t>
            </w:r>
          </w:p>
        </w:tc>
      </w:tr>
      <w:tr w:rsidR="00CC4AC8">
        <w:trPr>
          <w:trHeight w:val="240"/>
        </w:trPr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Krátkodobá-iné pohľadávky </w:t>
            </w: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C4AC8" w:rsidRDefault="00FB7EE1">
            <w:pPr>
              <w:spacing w:after="0" w:line="259" w:lineRule="auto"/>
              <w:ind w:left="7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084 </w:t>
            </w:r>
          </w:p>
        </w:tc>
        <w:tc>
          <w:tcPr>
            <w:tcW w:w="7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C4AC8" w:rsidRDefault="00CC4AC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1351D0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5783,65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Iné pohľadávky-nájom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byty,stravné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C4AC8" w:rsidRDefault="00FB7EE1">
      <w:pPr>
        <w:spacing w:after="132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C4AC8" w:rsidRDefault="00FB7EE1">
      <w:pPr>
        <w:spacing w:after="128"/>
        <w:ind w:left="-3" w:right="0"/>
      </w:pPr>
      <w:r>
        <w:t xml:space="preserve">Konsolidovaný celok vykazuje krátkodobé pohľadávky vo výške </w:t>
      </w:r>
      <w:r w:rsidR="001351D0">
        <w:t>21 820,95</w:t>
      </w:r>
      <w:r>
        <w:t xml:space="preserve"> €  </w:t>
      </w:r>
    </w:p>
    <w:p w:rsidR="00CC4AC8" w:rsidRDefault="00FB7EE1">
      <w:pPr>
        <w:ind w:left="-3" w:right="0"/>
      </w:pPr>
      <w:r>
        <w:t xml:space="preserve">Najväčší podiel na vykázaných krátkodobých pohľadávkach má materská účtovná jednotka – obec Dolná Súča a to hlavne: </w:t>
      </w:r>
    </w:p>
    <w:p w:rsidR="00FF5E16" w:rsidRDefault="00FB7EE1" w:rsidP="00FF5E16">
      <w:pPr>
        <w:numPr>
          <w:ilvl w:val="0"/>
          <w:numId w:val="4"/>
        </w:numPr>
        <w:ind w:right="0" w:hanging="360"/>
      </w:pPr>
      <w:r>
        <w:t xml:space="preserve">pohľadávky z nedaňových príjmov obcí  </w:t>
      </w:r>
      <w:r w:rsidR="001351D0">
        <w:t>9 870,51</w:t>
      </w:r>
      <w:r>
        <w:t xml:space="preserve"> € ( </w:t>
      </w:r>
      <w:proofErr w:type="spellStart"/>
      <w:r w:rsidR="00DD5C7C">
        <w:t>najvyší</w:t>
      </w:r>
      <w:proofErr w:type="spellEnd"/>
      <w:r w:rsidR="00DD5C7C">
        <w:t xml:space="preserve"> podiel na </w:t>
      </w:r>
      <w:proofErr w:type="spellStart"/>
      <w:r w:rsidR="00DD5C7C">
        <w:t>nedań</w:t>
      </w:r>
      <w:r w:rsidR="001351D0">
        <w:t>ových</w:t>
      </w:r>
      <w:proofErr w:type="spellEnd"/>
      <w:r w:rsidR="001351D0">
        <w:t xml:space="preserve"> pohľadávkach má </w:t>
      </w:r>
      <w:r>
        <w:t xml:space="preserve">poplatok za vývoz komunálneho odpadu) </w:t>
      </w:r>
    </w:p>
    <w:p w:rsidR="00CC4AC8" w:rsidRDefault="00FF5E16" w:rsidP="00FF5E16">
      <w:pPr>
        <w:pStyle w:val="Odsekzoznamu"/>
        <w:numPr>
          <w:ilvl w:val="0"/>
          <w:numId w:val="8"/>
        </w:numPr>
        <w:ind w:right="0"/>
      </w:pPr>
      <w:r>
        <w:t xml:space="preserve"> </w:t>
      </w:r>
      <w:r w:rsidR="00FB7EE1">
        <w:t xml:space="preserve">pohľadávky z daňových príjmov obcí  </w:t>
      </w:r>
      <w:r w:rsidR="001351D0">
        <w:t>1 658,13</w:t>
      </w:r>
      <w:r w:rsidR="00FB7EE1">
        <w:t xml:space="preserve"> € (najvyšší podiel na daňových pohľadávkach majú </w:t>
      </w:r>
    </w:p>
    <w:p w:rsidR="00CC4AC8" w:rsidRDefault="00FB7EE1">
      <w:pPr>
        <w:ind w:left="370" w:right="0"/>
      </w:pPr>
      <w:r>
        <w:t xml:space="preserve">pohľadávky za daň z nehnuteľností) </w:t>
      </w:r>
    </w:p>
    <w:p w:rsidR="00CC4AC8" w:rsidRDefault="00FB7EE1">
      <w:pPr>
        <w:spacing w:after="13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C4AC8" w:rsidRDefault="00FB7EE1">
      <w:pPr>
        <w:spacing w:after="45" w:line="259" w:lineRule="auto"/>
        <w:ind w:left="-3" w:right="0"/>
        <w:jc w:val="left"/>
      </w:pPr>
      <w:r>
        <w:rPr>
          <w:b/>
        </w:rPr>
        <w:t>b) vývoj opravnej položky k pohľadávkam</w:t>
      </w:r>
      <w:r>
        <w:t xml:space="preserve"> </w:t>
      </w:r>
      <w:r>
        <w:rPr>
          <w:color w:val="0000FF"/>
        </w:rPr>
        <w:t xml:space="preserve">(tabuľka č. 8) </w:t>
      </w:r>
    </w:p>
    <w:p w:rsidR="00CC4AC8" w:rsidRDefault="00FB7EE1">
      <w:pPr>
        <w:spacing w:after="67"/>
        <w:ind w:left="-3" w:right="0"/>
      </w:pPr>
      <w:r>
        <w:lastRenderedPageBreak/>
        <w:t xml:space="preserve">K pochybným a nedobytným pohľadávkam, kde existuje riziko nevymožiteľnosti, bola vytvorená opravná položka. </w:t>
      </w:r>
    </w:p>
    <w:p w:rsidR="00CC4AC8" w:rsidRDefault="00FB7EE1">
      <w:pPr>
        <w:ind w:left="-3" w:right="0"/>
      </w:pPr>
      <w:r>
        <w:t xml:space="preserve">Opis dôvodov tvorby, zníženia a zrušenia opravných položiek k pohľadávkam 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140" w:type="dxa"/>
        <w:tblInd w:w="-108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67"/>
        <w:gridCol w:w="2069"/>
        <w:gridCol w:w="4904"/>
      </w:tblGrid>
      <w:tr w:rsidR="00CC4AC8">
        <w:trPr>
          <w:trHeight w:val="240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Pohľadávka 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Suma OP  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Dôvod tvorby, zníženia a zrušenia OP </w:t>
            </w:r>
          </w:p>
        </w:tc>
      </w:tr>
      <w:tr w:rsidR="00CC4AC8">
        <w:trPr>
          <w:trHeight w:val="240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Krátkodobá-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dańové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príjmy obce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F5E16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2 156,45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Dlhodobí neplatiči daní </w:t>
            </w:r>
          </w:p>
        </w:tc>
      </w:tr>
      <w:tr w:rsidR="00CC4AC8">
        <w:trPr>
          <w:trHeight w:val="240"/>
        </w:trPr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Krátkodobá-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nedanové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príjmy obce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F5E16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1 323,29</w:t>
            </w:r>
            <w:r w:rsidR="00FB7EE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Dlhodobí neplatiči poplatkov </w:t>
            </w:r>
          </w:p>
        </w:tc>
      </w:tr>
    </w:tbl>
    <w:p w:rsidR="00CC4AC8" w:rsidRDefault="00FB7EE1">
      <w:pPr>
        <w:spacing w:after="195" w:line="259" w:lineRule="auto"/>
        <w:ind w:left="0" w:right="0" w:firstLine="0"/>
        <w:jc w:val="left"/>
      </w:pPr>
      <w:r>
        <w:rPr>
          <w:sz w:val="14"/>
        </w:rPr>
        <w:t xml:space="preserve"> </w:t>
      </w:r>
    </w:p>
    <w:p w:rsidR="00CC4AC8" w:rsidRDefault="00FB7EE1">
      <w:pPr>
        <w:spacing w:after="139" w:line="259" w:lineRule="auto"/>
        <w:ind w:left="-3" w:right="0"/>
        <w:jc w:val="left"/>
      </w:pPr>
      <w:r>
        <w:rPr>
          <w:b/>
        </w:rPr>
        <w:t>c) pohľadávky podľa doby splatnosti a podľa zostatkovej doby splatnosti</w:t>
      </w:r>
      <w:r>
        <w:t xml:space="preserve">  </w:t>
      </w:r>
    </w:p>
    <w:p w:rsidR="00CC4AC8" w:rsidRDefault="00FB7EE1">
      <w:pPr>
        <w:spacing w:after="94"/>
        <w:ind w:left="-3" w:right="0"/>
      </w:pPr>
      <w:r>
        <w:t xml:space="preserve"> Prehľad pohľadávok z hľadiska ich vekovej štruktúry a z hľadiska splatnosti je uvedený v tabuľkovej prílohe  konsolidovaných poznámok </w:t>
      </w:r>
      <w:r>
        <w:rPr>
          <w:color w:val="0000CC"/>
        </w:rPr>
        <w:t xml:space="preserve">(tabuľka č. 9) </w:t>
      </w:r>
    </w:p>
    <w:p w:rsidR="00CC4AC8" w:rsidRDefault="00FB7EE1">
      <w:pPr>
        <w:spacing w:after="103" w:line="259" w:lineRule="auto"/>
        <w:ind w:left="0" w:right="0" w:firstLine="0"/>
        <w:jc w:val="left"/>
      </w:pPr>
      <w:r>
        <w:rPr>
          <w:color w:val="0000CC"/>
        </w:rPr>
        <w:t xml:space="preserve"> </w:t>
      </w:r>
    </w:p>
    <w:p w:rsidR="00CC4AC8" w:rsidRDefault="00FB7EE1">
      <w:pPr>
        <w:spacing w:after="103" w:line="259" w:lineRule="auto"/>
        <w:ind w:left="0" w:right="0" w:firstLine="0"/>
        <w:jc w:val="left"/>
      </w:pPr>
      <w:r>
        <w:rPr>
          <w:color w:val="0000CC"/>
        </w:rP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color w:val="0000CC"/>
        </w:rPr>
        <w:t xml:space="preserve"> </w:t>
      </w:r>
    </w:p>
    <w:tbl>
      <w:tblPr>
        <w:tblStyle w:val="TableGrid"/>
        <w:tblW w:w="9693" w:type="dxa"/>
        <w:tblInd w:w="-70" w:type="dxa"/>
        <w:tblCellMar>
          <w:top w:w="11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282"/>
        <w:gridCol w:w="1587"/>
        <w:gridCol w:w="1824"/>
      </w:tblGrid>
      <w:tr w:rsidR="00CC4AC8">
        <w:trPr>
          <w:trHeight w:val="1092"/>
        </w:trPr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18"/>
              </w:rPr>
              <w:t xml:space="preserve">Pohľadávky podľa doby splatnosti brutto 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8"/>
              </w:rPr>
              <w:t xml:space="preserve">Zostatok k </w:t>
            </w:r>
          </w:p>
          <w:p w:rsidR="00CC4AC8" w:rsidRDefault="00FB7EE1">
            <w:pPr>
              <w:spacing w:after="0" w:line="259" w:lineRule="auto"/>
              <w:ind w:left="11" w:right="0" w:hanging="11"/>
              <w:jc w:val="center"/>
            </w:pPr>
            <w:r>
              <w:rPr>
                <w:b/>
                <w:sz w:val="18"/>
              </w:rPr>
              <w:t xml:space="preserve">31.12. bežného účtovného obdobia  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2" w:line="23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Zostatok ku 31.12. bezprostredne </w:t>
            </w:r>
          </w:p>
          <w:p w:rsidR="00CC4AC8" w:rsidRDefault="00FB7EE1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predchádzajúceho účtovného obdobia </w:t>
            </w:r>
          </w:p>
        </w:tc>
      </w:tr>
      <w:tr w:rsidR="00CC4AC8">
        <w:trPr>
          <w:trHeight w:val="173"/>
        </w:trPr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4"/>
              </w:rPr>
              <w:t xml:space="preserve">a 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4"/>
              </w:rPr>
              <w:t xml:space="preserve">1 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4"/>
              </w:rPr>
              <w:t xml:space="preserve">2 </w:t>
            </w:r>
          </w:p>
        </w:tc>
      </w:tr>
      <w:tr w:rsidR="00CA1918">
        <w:trPr>
          <w:trHeight w:val="1061"/>
        </w:trPr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203" w:line="244" w:lineRule="auto"/>
              <w:ind w:left="0" w:right="3332" w:firstLine="0"/>
              <w:jc w:val="left"/>
            </w:pPr>
            <w:r>
              <w:t>Pohľadávky v lehote splatnosti z toho:</w:t>
            </w:r>
            <w:r>
              <w:rPr>
                <w:sz w:val="16"/>
              </w:rPr>
              <w:t xml:space="preserve"> </w:t>
            </w:r>
          </w:p>
          <w:p w:rsidR="00CA1918" w:rsidRDefault="00CA1918" w:rsidP="00CA191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splatnosti do jedného roka vrátane 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A1918" w:rsidRDefault="00CA1918" w:rsidP="00CA1918">
            <w:pPr>
              <w:spacing w:after="302" w:line="259" w:lineRule="auto"/>
              <w:ind w:left="0" w:right="50" w:firstLine="0"/>
              <w:jc w:val="right"/>
            </w:pPr>
            <w:r>
              <w:rPr>
                <w:sz w:val="18"/>
              </w:rPr>
              <w:t>1 613,55</w:t>
            </w:r>
          </w:p>
          <w:p w:rsidR="00CA1918" w:rsidRDefault="00CA1918" w:rsidP="00CA191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A1918" w:rsidRDefault="00CA1918" w:rsidP="00CA1918">
            <w:pPr>
              <w:spacing w:after="302" w:line="259" w:lineRule="auto"/>
              <w:ind w:left="0" w:right="50" w:firstLine="0"/>
              <w:jc w:val="right"/>
            </w:pPr>
            <w:r>
              <w:rPr>
                <w:sz w:val="18"/>
              </w:rPr>
              <w:t xml:space="preserve">1 113,55 </w:t>
            </w:r>
          </w:p>
          <w:p w:rsidR="00CA1918" w:rsidRDefault="00CA1918" w:rsidP="00CA191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CA1918">
        <w:trPr>
          <w:trHeight w:val="382"/>
        </w:trPr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po lehote splatnosti 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 xml:space="preserve">20 207,40 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 xml:space="preserve">26 414,18 </w:t>
            </w:r>
          </w:p>
        </w:tc>
      </w:tr>
      <w:tr w:rsidR="00CA1918">
        <w:trPr>
          <w:trHeight w:val="320"/>
        </w:trPr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 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18"/>
              </w:rPr>
              <w:t xml:space="preserve">21 820,95 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18"/>
              </w:rPr>
              <w:t xml:space="preserve">27 527,73 </w:t>
            </w:r>
          </w:p>
        </w:tc>
      </w:tr>
    </w:tbl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155" w:line="259" w:lineRule="auto"/>
        <w:ind w:left="0" w:right="0" w:firstLine="0"/>
        <w:jc w:val="left"/>
      </w:pPr>
      <w:r>
        <w:rPr>
          <w:b/>
        </w:rPr>
        <w:t xml:space="preserve">  </w:t>
      </w:r>
    </w:p>
    <w:p w:rsidR="00CC4AC8" w:rsidRDefault="00FB7EE1">
      <w:pPr>
        <w:pStyle w:val="Nadpis2"/>
        <w:ind w:left="-3" w:right="54"/>
      </w:pPr>
      <w:r>
        <w:t xml:space="preserve">7. Časové rozlíšenie aktív  </w:t>
      </w:r>
    </w:p>
    <w:p w:rsidR="00CC4AC8" w:rsidRDefault="00FB7EE1">
      <w:pPr>
        <w:spacing w:after="0" w:line="259" w:lineRule="auto"/>
        <w:ind w:left="-3" w:right="0"/>
        <w:jc w:val="left"/>
      </w:pPr>
      <w:r>
        <w:rPr>
          <w:b/>
        </w:rPr>
        <w:t xml:space="preserve">a) Náklady budúcich období </w:t>
      </w:r>
      <w:r>
        <w:rPr>
          <w:color w:val="0000CC"/>
        </w:rPr>
        <w:t xml:space="preserve"> </w:t>
      </w:r>
    </w:p>
    <w:tbl>
      <w:tblPr>
        <w:tblStyle w:val="TableGrid"/>
        <w:tblW w:w="7036" w:type="dxa"/>
        <w:tblInd w:w="-14" w:type="dxa"/>
        <w:tblCellMar>
          <w:top w:w="5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4240"/>
        <w:gridCol w:w="1361"/>
        <w:gridCol w:w="1435"/>
      </w:tblGrid>
      <w:tr w:rsidR="00CC4AC8" w:rsidTr="00CA1918">
        <w:trPr>
          <w:trHeight w:val="526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Názov časového rozlíšenia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CA1918">
            <w:pPr>
              <w:spacing w:after="0" w:line="259" w:lineRule="auto"/>
              <w:ind w:left="12" w:right="0" w:firstLine="0"/>
              <w:jc w:val="left"/>
            </w:pPr>
            <w:r>
              <w:rPr>
                <w:b/>
                <w:sz w:val="18"/>
              </w:rPr>
              <w:t xml:space="preserve">  k 31.12. 2015</w:t>
            </w:r>
            <w:r w:rsidR="00FB7EE1">
              <w:rPr>
                <w:b/>
                <w:sz w:val="18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74" w:right="0" w:firstLine="0"/>
              <w:jc w:val="left"/>
            </w:pPr>
            <w:r>
              <w:rPr>
                <w:b/>
                <w:sz w:val="18"/>
              </w:rPr>
              <w:t xml:space="preserve"> k 31.12. </w:t>
            </w:r>
            <w:r w:rsidR="00C06BF1">
              <w:rPr>
                <w:b/>
                <w:sz w:val="18"/>
              </w:rPr>
              <w:t>2014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CC4AC8" w:rsidTr="00CA1918">
        <w:trPr>
          <w:trHeight w:val="312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Náklady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8"/>
              </w:rPr>
              <w:t xml:space="preserve">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 xml:space="preserve">  </w:t>
            </w:r>
          </w:p>
        </w:tc>
      </w:tr>
      <w:tr w:rsidR="00CC4AC8" w:rsidTr="00CA1918">
        <w:trPr>
          <w:trHeight w:val="310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CC4AC8" w:rsidTr="00CA1918">
        <w:trPr>
          <w:trHeight w:val="310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predplatné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CA1918" w:rsidTr="00CA1918">
        <w:trPr>
          <w:trHeight w:val="310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poistné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844864" w:rsidP="00CA1918">
            <w:pPr>
              <w:spacing w:after="0" w:line="259" w:lineRule="auto"/>
              <w:ind w:left="0" w:right="52" w:firstLine="0"/>
              <w:jc w:val="right"/>
            </w:pPr>
            <w:r>
              <w:t>96,23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1088,31 </w:t>
            </w:r>
          </w:p>
        </w:tc>
      </w:tr>
      <w:tr w:rsidR="00CA1918" w:rsidTr="00CA1918">
        <w:trPr>
          <w:trHeight w:val="310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ostatné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844864" w:rsidP="00CA191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912,71</w:t>
            </w:r>
            <w:r w:rsidR="00CA1918">
              <w:rPr>
                <w:sz w:val="18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575,02 </w:t>
            </w:r>
          </w:p>
        </w:tc>
      </w:tr>
      <w:tr w:rsidR="00CA1918" w:rsidTr="00CA1918">
        <w:trPr>
          <w:trHeight w:val="312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844864" w:rsidP="00CA1918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18"/>
              </w:rPr>
              <w:t>1008,94</w:t>
            </w:r>
            <w:r w:rsidR="00CA1918">
              <w:rPr>
                <w:b/>
                <w:sz w:val="18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1918" w:rsidRDefault="00CA1918" w:rsidP="00CA1918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18"/>
              </w:rPr>
              <w:t xml:space="preserve">1663,33 </w:t>
            </w:r>
          </w:p>
        </w:tc>
      </w:tr>
    </w:tbl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35" w:line="259" w:lineRule="auto"/>
        <w:ind w:left="2" w:right="0" w:firstLine="0"/>
        <w:jc w:val="left"/>
      </w:pPr>
      <w:r>
        <w:rPr>
          <w:b/>
        </w:rPr>
        <w:lastRenderedPageBreak/>
        <w:t xml:space="preserve"> </w:t>
      </w:r>
    </w:p>
    <w:p w:rsidR="00CC4AC8" w:rsidRDefault="00FB7EE1">
      <w:pPr>
        <w:pStyle w:val="Nadpis2"/>
        <w:ind w:left="-3" w:right="54"/>
      </w:pPr>
      <w:r>
        <w:t xml:space="preserve">8. Vlastné imanie 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:rsidR="00CC4AC8" w:rsidRDefault="00FB7EE1">
      <w:pPr>
        <w:ind w:left="-3" w:right="0"/>
      </w:pPr>
      <w:r>
        <w:t xml:space="preserve">Prehľad o pohybe vlastného imania konsolidovaného celku </w:t>
      </w:r>
      <w:r>
        <w:rPr>
          <w:i/>
        </w:rPr>
        <w:t>obce Dolná Súča</w:t>
      </w:r>
      <w:r>
        <w:t xml:space="preserve"> od 1. j</w:t>
      </w:r>
      <w:r w:rsidR="00CA1918">
        <w:t>anuára 2014 do 31. decembra 2015</w:t>
      </w:r>
      <w:r>
        <w:t xml:space="preserve"> je uvedený v tabuľkovej prílohe konsolidovaných poznámok – </w:t>
      </w:r>
      <w:r>
        <w:rPr>
          <w:color w:val="0000CC"/>
        </w:rPr>
        <w:t xml:space="preserve">tabuľka č. 12.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2" w:line="259" w:lineRule="auto"/>
        <w:ind w:left="0" w:right="0" w:firstLine="0"/>
        <w:jc w:val="left"/>
      </w:pPr>
      <w:r>
        <w:rPr>
          <w:i/>
          <w:color w:val="C00000"/>
        </w:rPr>
        <w:t xml:space="preserve">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097" w:type="dxa"/>
        <w:tblInd w:w="-14" w:type="dxa"/>
        <w:tblCellMar>
          <w:top w:w="42" w:type="dxa"/>
          <w:left w:w="72" w:type="dxa"/>
          <w:right w:w="77" w:type="dxa"/>
        </w:tblCellMar>
        <w:tblLook w:val="04A0" w:firstRow="1" w:lastRow="0" w:firstColumn="1" w:lastColumn="0" w:noHBand="0" w:noVBand="1"/>
      </w:tblPr>
      <w:tblGrid>
        <w:gridCol w:w="3760"/>
        <w:gridCol w:w="1361"/>
        <w:gridCol w:w="1140"/>
        <w:gridCol w:w="1220"/>
        <w:gridCol w:w="1176"/>
        <w:gridCol w:w="1440"/>
      </w:tblGrid>
      <w:tr w:rsidR="00CC4AC8" w:rsidTr="006C18D5">
        <w:trPr>
          <w:trHeight w:val="432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Názov položky  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18"/>
              </w:rPr>
              <w:t xml:space="preserve">k 31.12. </w:t>
            </w:r>
            <w:r w:rsidR="0024246E">
              <w:rPr>
                <w:b/>
                <w:sz w:val="18"/>
              </w:rPr>
              <w:t>2014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18"/>
              </w:rPr>
              <w:t xml:space="preserve"> Zvýšenie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18"/>
              </w:rPr>
              <w:t xml:space="preserve">  Zníženie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18"/>
              </w:rPr>
              <w:t xml:space="preserve">Presun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6C18D5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k 31.12. 2015</w:t>
            </w:r>
            <w:r w:rsidR="00FB7EE1">
              <w:rPr>
                <w:b/>
                <w:sz w:val="18"/>
              </w:rPr>
              <w:t xml:space="preserve"> </w:t>
            </w:r>
          </w:p>
        </w:tc>
      </w:tr>
      <w:tr w:rsidR="00CC4AC8" w:rsidTr="006C18D5">
        <w:trPr>
          <w:trHeight w:val="425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CC4AC8" w:rsidTr="006C18D5">
        <w:trPr>
          <w:trHeight w:val="310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CC4AC8" w:rsidTr="006C18D5">
        <w:trPr>
          <w:trHeight w:val="310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CC4AC8" w:rsidTr="006C18D5">
        <w:trPr>
          <w:trHeight w:val="312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Ostatné fondy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6C18D5" w:rsidTr="006C18D5">
        <w:trPr>
          <w:trHeight w:val="422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18"/>
              </w:rPr>
              <w:t>Nevysporiadaný</w:t>
            </w:r>
            <w:proofErr w:type="spellEnd"/>
            <w:r>
              <w:rPr>
                <w:sz w:val="18"/>
              </w:rPr>
              <w:t xml:space="preserve"> výsledok hospodárenia minulých rokov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t xml:space="preserve">1069932,59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4533AA" w:rsidP="006C18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FC0C88">
              <w:t>15699,99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FC0C88" w:rsidP="006C18D5">
            <w:pPr>
              <w:spacing w:after="0" w:line="259" w:lineRule="auto"/>
              <w:ind w:left="2" w:right="0" w:firstLine="0"/>
              <w:jc w:val="left"/>
            </w:pPr>
            <w:r>
              <w:t>8737,63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C13B03" w:rsidP="006C18D5">
            <w:pPr>
              <w:spacing w:after="0" w:line="259" w:lineRule="auto"/>
              <w:ind w:left="2" w:right="0" w:firstLine="0"/>
              <w:jc w:val="left"/>
            </w:pPr>
            <w:r>
              <w:t>78961,55</w:t>
            </w:r>
            <w:r w:rsidR="006C18D5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t xml:space="preserve">1 155856,5 </w:t>
            </w:r>
          </w:p>
        </w:tc>
      </w:tr>
      <w:tr w:rsidR="006C18D5" w:rsidTr="006C18D5">
        <w:trPr>
          <w:trHeight w:val="310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Výsledok hospodárenia za účtovné obdobie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t xml:space="preserve">78961,55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t xml:space="preserve">307520,88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C13B03">
            <w:pPr>
              <w:spacing w:after="0" w:line="259" w:lineRule="auto"/>
              <w:ind w:left="2" w:right="0" w:firstLine="0"/>
              <w:jc w:val="left"/>
            </w:pPr>
            <w:r>
              <w:t>-</w:t>
            </w:r>
            <w:r w:rsidR="00C13B03">
              <w:t>78961,55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t>307</w:t>
            </w:r>
            <w:r w:rsidR="00C13B03">
              <w:t xml:space="preserve"> </w:t>
            </w:r>
            <w:r>
              <w:t xml:space="preserve">520,88 </w:t>
            </w:r>
          </w:p>
        </w:tc>
      </w:tr>
      <w:tr w:rsidR="006C18D5" w:rsidTr="006C18D5">
        <w:trPr>
          <w:trHeight w:val="312"/>
        </w:trPr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vlastné imanie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1</w:t>
            </w:r>
            <w:r w:rsidR="00DC24AE">
              <w:rPr>
                <w:b/>
              </w:rPr>
              <w:t xml:space="preserve"> </w:t>
            </w:r>
            <w:r>
              <w:rPr>
                <w:b/>
              </w:rPr>
              <w:t>148</w:t>
            </w:r>
            <w:r w:rsidR="00DC24AE">
              <w:rPr>
                <w:b/>
              </w:rPr>
              <w:t xml:space="preserve"> </w:t>
            </w:r>
            <w:r>
              <w:rPr>
                <w:b/>
              </w:rPr>
              <w:t xml:space="preserve">894,14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319799,23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18D5" w:rsidRDefault="006C18D5" w:rsidP="006C18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1 463 377,38 </w:t>
            </w:r>
          </w:p>
        </w:tc>
      </w:tr>
    </w:tbl>
    <w:p w:rsidR="00CC4AC8" w:rsidRDefault="00FB7EE1">
      <w:pPr>
        <w:spacing w:after="0" w:line="259" w:lineRule="auto"/>
        <w:ind w:left="2" w:right="0" w:firstLine="0"/>
        <w:jc w:val="left"/>
      </w:pPr>
      <w:r>
        <w:t xml:space="preserve"> </w:t>
      </w:r>
    </w:p>
    <w:p w:rsidR="00CC4AC8" w:rsidRDefault="00FB7EE1">
      <w:pPr>
        <w:pStyle w:val="Nadpis2"/>
        <w:ind w:left="-3" w:right="54"/>
      </w:pPr>
      <w:r>
        <w:t xml:space="preserve">9. Rezervy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29"/>
        <w:ind w:left="-3" w:right="0"/>
      </w:pPr>
      <w:r>
        <w:t>Prehľad rezerv konsolidovaného celku v členení na zákonné a ostatné, dlhodobé</w:t>
      </w:r>
      <w:r w:rsidR="008755CE">
        <w:t xml:space="preserve"> a krátkodobé od 1. januára 2015 do 31. decembra 2015</w:t>
      </w:r>
      <w:r>
        <w:t xml:space="preserve"> je uvedený v tabuľkovej prílohe konsolidovaných poznámok – </w:t>
      </w:r>
      <w:r>
        <w:rPr>
          <w:color w:val="0000CC"/>
        </w:rPr>
        <w:t xml:space="preserve">tabuľky č.13 a 14 </w:t>
      </w:r>
    </w:p>
    <w:p w:rsidR="00CC4AC8" w:rsidRDefault="00FB7EE1">
      <w:pPr>
        <w:spacing w:after="71" w:line="259" w:lineRule="auto"/>
        <w:ind w:left="0" w:right="0" w:firstLine="0"/>
        <w:jc w:val="left"/>
      </w:pPr>
      <w:r>
        <w:rPr>
          <w:i/>
          <w:color w:val="C00000"/>
        </w:rPr>
        <w:t xml:space="preserve"> </w:t>
      </w:r>
    </w:p>
    <w:p w:rsidR="00CC4AC8" w:rsidRDefault="00FB7EE1">
      <w:pPr>
        <w:spacing w:after="0" w:line="259" w:lineRule="auto"/>
        <w:ind w:left="-5" w:right="0"/>
        <w:jc w:val="left"/>
      </w:pPr>
      <w:r>
        <w:rPr>
          <w:i/>
        </w:rPr>
        <w:t xml:space="preserve">Obec tvorila ostatné krátkodobé rezervy  na audit, rezervy na nevyfakturované dodávky a služby. </w:t>
      </w:r>
    </w:p>
    <w:p w:rsidR="00CC4AC8" w:rsidRDefault="00FB7EE1">
      <w:pPr>
        <w:spacing w:after="73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2"/>
        <w:ind w:left="-3" w:right="54"/>
      </w:pPr>
      <w:r>
        <w:rPr>
          <w:sz w:val="20"/>
        </w:rPr>
        <w:t xml:space="preserve">10. </w:t>
      </w:r>
      <w:r>
        <w:t>Záväzky</w:t>
      </w:r>
      <w:r>
        <w:rPr>
          <w:b w:val="0"/>
          <w:sz w:val="20"/>
        </w:rPr>
        <w:t xml:space="preserve">  </w:t>
      </w:r>
    </w:p>
    <w:p w:rsidR="00CC4AC8" w:rsidRDefault="00FB7EE1">
      <w:pPr>
        <w:spacing w:after="138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spacing w:after="94"/>
        <w:ind w:left="-3" w:right="0"/>
      </w:pPr>
      <w:r>
        <w:t xml:space="preserve">Prehľad záväzkov z hľadiska ich vekovej štruktúry a podľa doby splatnosti je uvedený v tabuľkovej časti </w:t>
      </w:r>
      <w:r>
        <w:rPr>
          <w:color w:val="0000CC"/>
        </w:rPr>
        <w:t xml:space="preserve">(tabuľka č. 15). </w:t>
      </w:r>
    </w:p>
    <w:p w:rsidR="00CC4AC8" w:rsidRDefault="00FB7EE1">
      <w:pPr>
        <w:spacing w:after="94"/>
        <w:ind w:left="-3" w:right="0"/>
      </w:pPr>
      <w:r>
        <w:t>Významnou položkou dlhodobých záväzkov sú prijaté úvery zo  Štátneho fondu rozvoj</w:t>
      </w:r>
      <w:r w:rsidR="00C8703B">
        <w:t>a bývania, ktoré sú k 31.12.2015</w:t>
      </w:r>
      <w:r>
        <w:t xml:space="preserve"> vykázané vo výške </w:t>
      </w:r>
      <w:r w:rsidR="00C8703B">
        <w:t>654 860,94</w:t>
      </w:r>
      <w:r>
        <w:t xml:space="preserve"> € (k 31.12.</w:t>
      </w:r>
      <w:r w:rsidR="0024246E">
        <w:t>2014</w:t>
      </w:r>
      <w:r>
        <w:t xml:space="preserve"> to bolo </w:t>
      </w:r>
      <w:r w:rsidR="00C8703B">
        <w:t xml:space="preserve">682 422,73 </w:t>
      </w:r>
      <w:r>
        <w:t xml:space="preserve">€). 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782" w:type="dxa"/>
        <w:tblInd w:w="0" w:type="dxa"/>
        <w:tblCellMar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2521"/>
        <w:gridCol w:w="1440"/>
        <w:gridCol w:w="1407"/>
        <w:gridCol w:w="4414"/>
      </w:tblGrid>
      <w:tr w:rsidR="00CC4AC8" w:rsidTr="00B23CCC">
        <w:trPr>
          <w:trHeight w:val="785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B23CCC">
            <w:pPr>
              <w:spacing w:after="0" w:line="259" w:lineRule="auto"/>
              <w:ind w:left="0" w:right="201" w:firstLine="0"/>
              <w:jc w:val="left"/>
            </w:pPr>
            <w:r>
              <w:rPr>
                <w:b/>
                <w:sz w:val="18"/>
              </w:rPr>
              <w:t>Výška k 31.12.2015</w:t>
            </w:r>
            <w:r w:rsidR="00FB7EE1">
              <w:rPr>
                <w:b/>
                <w:sz w:val="18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168" w:firstLine="0"/>
              <w:jc w:val="left"/>
            </w:pPr>
            <w:r>
              <w:rPr>
                <w:b/>
                <w:sz w:val="18"/>
              </w:rPr>
              <w:t>Výška k 31.12.</w:t>
            </w:r>
            <w:r w:rsidR="0024246E">
              <w:rPr>
                <w:b/>
                <w:sz w:val="18"/>
              </w:rPr>
              <w:t>2014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Opis </w:t>
            </w:r>
          </w:p>
        </w:tc>
      </w:tr>
      <w:tr w:rsidR="00B23CCC" w:rsidTr="00B23CCC">
        <w:trPr>
          <w:trHeight w:val="595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ŠFRB 21 b. j.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436 796,30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455 834,12 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 zo ŠFRB na výstavbu nájomných bytov </w:t>
            </w:r>
          </w:p>
        </w:tc>
      </w:tr>
      <w:tr w:rsidR="00B23CCC" w:rsidTr="00B23CCC">
        <w:trPr>
          <w:trHeight w:val="456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ŠFRB 10 b. j.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218 064,64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226 588,61 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 zo ŠFRB na výstavbu nájomných bytov </w:t>
            </w:r>
          </w:p>
        </w:tc>
      </w:tr>
      <w:tr w:rsidR="00B23CCC" w:rsidTr="00B23CCC">
        <w:trPr>
          <w:trHeight w:val="458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  <w:r w:rsidR="00C8703B">
              <w:rPr>
                <w:sz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654 860,94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  <w:r w:rsidR="00C8703B">
              <w:rPr>
                <w:sz w:val="18"/>
              </w:rPr>
              <w:t>682 422,73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3CCC" w:rsidRDefault="00B23CCC" w:rsidP="00B23CC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C4AC8" w:rsidRDefault="00FB7EE1">
      <w:pPr>
        <w:spacing w:after="150" w:line="259" w:lineRule="auto"/>
        <w:ind w:left="0" w:right="0" w:firstLine="0"/>
        <w:jc w:val="left"/>
      </w:pPr>
      <w:r>
        <w:rPr>
          <w:i/>
        </w:rPr>
        <w:t xml:space="preserve"> </w:t>
      </w:r>
    </w:p>
    <w:p w:rsidR="00CC4AC8" w:rsidRDefault="00FB7EE1">
      <w:pPr>
        <w:pStyle w:val="Nadpis2"/>
        <w:spacing w:after="107"/>
        <w:ind w:left="-3" w:right="54"/>
      </w:pPr>
      <w:r>
        <w:t xml:space="preserve">11. Bankové úvery  </w:t>
      </w:r>
    </w:p>
    <w:p w:rsidR="00CC4AC8" w:rsidRDefault="00FB7EE1">
      <w:pPr>
        <w:numPr>
          <w:ilvl w:val="0"/>
          <w:numId w:val="5"/>
        </w:numPr>
        <w:spacing w:after="0" w:line="259" w:lineRule="auto"/>
        <w:ind w:right="0" w:hanging="244"/>
        <w:jc w:val="left"/>
      </w:pPr>
      <w:r>
        <w:rPr>
          <w:b/>
        </w:rPr>
        <w:t xml:space="preserve">dlhodobé bankové úvery a krátkodobé bankové úvery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CC4AC8" w:rsidRDefault="00FB7EE1">
      <w:pPr>
        <w:spacing w:after="78" w:line="270" w:lineRule="auto"/>
        <w:ind w:left="-5" w:right="79"/>
      </w:pPr>
      <w:r>
        <w:rPr>
          <w:sz w:val="18"/>
        </w:rPr>
        <w:t xml:space="preserve">Prehľad o bankových úveroch Obce k </w:t>
      </w:r>
      <w:r w:rsidR="004A25E7">
        <w:rPr>
          <w:sz w:val="18"/>
        </w:rPr>
        <w:t>31.12.2015</w:t>
      </w:r>
      <w:r>
        <w:rPr>
          <w:sz w:val="18"/>
        </w:rPr>
        <w:t xml:space="preserve"> s uvedením podrobných informácií je uvedený v tabuľkovej časti  </w:t>
      </w:r>
      <w:r>
        <w:rPr>
          <w:color w:val="0000CC"/>
          <w:sz w:val="18"/>
        </w:rPr>
        <w:t xml:space="preserve">(tabuľka č. 16).  </w:t>
      </w:r>
    </w:p>
    <w:p w:rsidR="00CC4AC8" w:rsidRDefault="00FB7EE1">
      <w:pPr>
        <w:spacing w:after="92"/>
        <w:ind w:left="-3" w:right="0"/>
      </w:pPr>
      <w:r>
        <w:t xml:space="preserve">Obec má prijaté dva dlhodobé investičné úvery.  </w:t>
      </w:r>
    </w:p>
    <w:p w:rsidR="00CC4AC8" w:rsidRDefault="00FB7EE1">
      <w:pPr>
        <w:spacing w:after="13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C4AC8" w:rsidRDefault="00FB7EE1">
      <w:pPr>
        <w:numPr>
          <w:ilvl w:val="0"/>
          <w:numId w:val="5"/>
        </w:numPr>
        <w:spacing w:after="0" w:line="259" w:lineRule="auto"/>
        <w:ind w:right="0" w:hanging="244"/>
        <w:jc w:val="left"/>
      </w:pPr>
      <w:r>
        <w:rPr>
          <w:b/>
        </w:rPr>
        <w:t>popis zabezpečenia dlhodobého bankového alebo krátkodobého úveru</w:t>
      </w:r>
      <w:r>
        <w:t xml:space="preserve">  </w:t>
      </w:r>
    </w:p>
    <w:tbl>
      <w:tblPr>
        <w:tblStyle w:val="TableGrid"/>
        <w:tblW w:w="10262" w:type="dxa"/>
        <w:tblInd w:w="0" w:type="dxa"/>
        <w:tblCellMar>
          <w:top w:w="7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761"/>
      </w:tblGrid>
      <w:tr w:rsidR="00CC4AC8">
        <w:trPr>
          <w:trHeight w:val="47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454" w:right="40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bankového úveru  podľa splatnosti /krátkodobý, dlhodobý/ 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471" w:right="323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zabezpečenia dlhodobého bankového úveru  alebo krátkodobého bankového úveru </w:t>
            </w:r>
          </w:p>
        </w:tc>
      </w:tr>
      <w:tr w:rsidR="00CC4AC8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Dlhodobý bankový úver 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Blankozmenka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C4AC8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Dlhodobý bankový úver 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Blankozmenka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C4AC8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C4AC8" w:rsidRDefault="00FB7EE1">
      <w:pPr>
        <w:spacing w:after="153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2"/>
        <w:spacing w:after="105"/>
        <w:ind w:left="-3" w:right="54"/>
      </w:pPr>
      <w:r>
        <w:t xml:space="preserve">12. Časové rozlíšenie  pasív </w:t>
      </w:r>
    </w:p>
    <w:p w:rsidR="00CC4AC8" w:rsidRDefault="00FB7EE1">
      <w:pPr>
        <w:numPr>
          <w:ilvl w:val="0"/>
          <w:numId w:val="6"/>
        </w:numPr>
        <w:spacing w:after="105" w:line="259" w:lineRule="auto"/>
        <w:ind w:right="0" w:hanging="244"/>
        <w:jc w:val="left"/>
      </w:pPr>
      <w:r>
        <w:rPr>
          <w:b/>
        </w:rPr>
        <w:t xml:space="preserve">Prehľad výdavkov budúcich období </w:t>
      </w:r>
      <w:r>
        <w:t xml:space="preserve">je uvedený v tabuľkovej časti – </w:t>
      </w:r>
      <w:r>
        <w:rPr>
          <w:color w:val="0000CC"/>
        </w:rPr>
        <w:t>tabuľka č. 17</w:t>
      </w:r>
      <w:r>
        <w:t xml:space="preserve">  </w:t>
      </w:r>
    </w:p>
    <w:p w:rsidR="00CC4AC8" w:rsidRDefault="00FB7EE1">
      <w:pPr>
        <w:spacing w:after="135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numPr>
          <w:ilvl w:val="0"/>
          <w:numId w:val="6"/>
        </w:numPr>
        <w:spacing w:after="0" w:line="259" w:lineRule="auto"/>
        <w:ind w:right="0" w:hanging="244"/>
        <w:jc w:val="left"/>
      </w:pPr>
      <w:r>
        <w:rPr>
          <w:b/>
        </w:rPr>
        <w:t>Prehľad výnosov budúcich obdob</w:t>
      </w:r>
      <w:r>
        <w:t xml:space="preserve">í je uvedený v tabuľkovej časti – </w:t>
      </w:r>
      <w:r>
        <w:rPr>
          <w:color w:val="0000CC"/>
        </w:rPr>
        <w:t xml:space="preserve">tabuľka č. 18  </w:t>
      </w:r>
    </w:p>
    <w:tbl>
      <w:tblPr>
        <w:tblStyle w:val="TableGrid"/>
        <w:tblW w:w="6856" w:type="dxa"/>
        <w:tblInd w:w="-14" w:type="dxa"/>
        <w:tblCellMar>
          <w:top w:w="51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3940"/>
        <w:gridCol w:w="1361"/>
        <w:gridCol w:w="1555"/>
      </w:tblGrid>
      <w:tr w:rsidR="00CC4AC8" w:rsidTr="004E4A47">
        <w:trPr>
          <w:trHeight w:val="528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Názov časového rozlíšenia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260220">
            <w:pPr>
              <w:spacing w:after="0" w:line="259" w:lineRule="auto"/>
              <w:ind w:left="36" w:right="0" w:firstLine="0"/>
              <w:jc w:val="left"/>
            </w:pPr>
            <w:r>
              <w:rPr>
                <w:b/>
                <w:sz w:val="18"/>
              </w:rPr>
              <w:t xml:space="preserve"> k 31.12. 2015</w:t>
            </w:r>
            <w:r w:rsidR="00FB7EE1">
              <w:rPr>
                <w:b/>
                <w:sz w:val="18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8"/>
              </w:rPr>
              <w:t xml:space="preserve"> k 31.12. </w:t>
            </w:r>
            <w:r w:rsidR="0024246E">
              <w:rPr>
                <w:b/>
                <w:sz w:val="18"/>
              </w:rPr>
              <w:t>2014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CC4AC8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Výnosy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3 947,09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3 992,92 </w:t>
            </w:r>
          </w:p>
        </w:tc>
      </w:tr>
      <w:tr w:rsidR="004E4A47" w:rsidTr="004E4A47">
        <w:trPr>
          <w:trHeight w:val="312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výnosy z budúceho odvodu príjmov RO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z kapitálových transferov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260220" w:rsidP="004E4A47">
            <w:pPr>
              <w:spacing w:after="0" w:line="259" w:lineRule="auto"/>
              <w:ind w:left="0" w:right="52" w:firstLine="0"/>
              <w:jc w:val="right"/>
            </w:pPr>
            <w:r>
              <w:t>2052340,98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2 147 217,35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poplatok za hracie automaty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ostatné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260220" w:rsidP="004E4A47">
            <w:pPr>
              <w:spacing w:after="0" w:line="259" w:lineRule="auto"/>
              <w:ind w:left="0" w:right="2" w:firstLine="0"/>
              <w:jc w:val="right"/>
            </w:pPr>
            <w:r>
              <w:t>2748,67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3040,91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260220" w:rsidP="004E4A4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18"/>
              </w:rPr>
              <w:t>2 059 036,74</w:t>
            </w:r>
            <w:r w:rsidR="004E4A47">
              <w:rPr>
                <w:b/>
                <w:sz w:val="18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18"/>
              </w:rPr>
              <w:t xml:space="preserve">2 154 251,18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Výdavky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4E4A47" w:rsidTr="004E4A47">
        <w:trPr>
          <w:trHeight w:val="312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 ostatné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4E4A47" w:rsidTr="004E4A47">
        <w:trPr>
          <w:trHeight w:val="31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18"/>
              </w:rPr>
              <w:t xml:space="preserve">0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A47" w:rsidRDefault="004E4A47" w:rsidP="004E4A47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 xml:space="preserve"> </w:t>
            </w:r>
          </w:p>
        </w:tc>
      </w:tr>
    </w:tbl>
    <w:p w:rsidR="00CC4AC8" w:rsidRDefault="00FB7EE1">
      <w:pPr>
        <w:spacing w:after="4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C4AC8" w:rsidRDefault="00FB7EE1">
      <w:pPr>
        <w:spacing w:after="95" w:line="259" w:lineRule="auto"/>
        <w:ind w:left="0" w:right="0" w:firstLine="0"/>
        <w:jc w:val="left"/>
      </w:pPr>
      <w:r>
        <w:t xml:space="preserve"> </w:t>
      </w:r>
    </w:p>
    <w:p w:rsidR="00CC4AC8" w:rsidRDefault="00FB7EE1">
      <w:pPr>
        <w:pStyle w:val="Nadpis2"/>
        <w:spacing w:after="38"/>
        <w:ind w:left="-3" w:right="54"/>
      </w:pPr>
      <w:r>
        <w:t xml:space="preserve">13. Náklady konsolidovaného celku </w:t>
      </w:r>
    </w:p>
    <w:p w:rsidR="00CC4AC8" w:rsidRDefault="00FB7EE1">
      <w:pPr>
        <w:numPr>
          <w:ilvl w:val="0"/>
          <w:numId w:val="7"/>
        </w:numPr>
        <w:spacing w:after="79" w:line="259" w:lineRule="auto"/>
        <w:ind w:right="0" w:hanging="288"/>
        <w:jc w:val="left"/>
      </w:pPr>
      <w:r>
        <w:rPr>
          <w:b/>
        </w:rPr>
        <w:t xml:space="preserve">Náklady na služby  </w:t>
      </w:r>
    </w:p>
    <w:p w:rsidR="00CC4AC8" w:rsidRDefault="00FB7EE1">
      <w:pPr>
        <w:ind w:left="-3" w:right="0"/>
      </w:pPr>
      <w:r>
        <w:t xml:space="preserve">     Detailný rozpis významných nákladov na služby je uvedený v tabuľkovej časti – </w:t>
      </w:r>
      <w:r>
        <w:rPr>
          <w:color w:val="0000CC"/>
        </w:rPr>
        <w:t xml:space="preserve">tabuľka č. 19 </w:t>
      </w:r>
    </w:p>
    <w:p w:rsidR="00CC4AC8" w:rsidRDefault="00FB7EE1">
      <w:pPr>
        <w:spacing w:after="13" w:line="259" w:lineRule="auto"/>
        <w:ind w:left="0" w:right="0" w:firstLine="0"/>
        <w:jc w:val="left"/>
      </w:pPr>
      <w:r>
        <w:rPr>
          <w:color w:val="0000CC"/>
        </w:rPr>
        <w:t xml:space="preserve"> </w:t>
      </w:r>
    </w:p>
    <w:p w:rsidR="00CC4AC8" w:rsidRDefault="00FB7EE1">
      <w:pPr>
        <w:spacing w:after="41" w:line="259" w:lineRule="auto"/>
        <w:ind w:left="-5" w:right="0"/>
        <w:jc w:val="left"/>
      </w:pPr>
      <w:r>
        <w:rPr>
          <w:i/>
          <w:color w:val="C00000"/>
        </w:rPr>
        <w:t xml:space="preserve">    </w:t>
      </w:r>
      <w:r>
        <w:rPr>
          <w:i/>
        </w:rPr>
        <w:t xml:space="preserve"> Medzi významné náklady na služby </w:t>
      </w:r>
      <w:proofErr w:type="spellStart"/>
      <w:r>
        <w:rPr>
          <w:i/>
        </w:rPr>
        <w:t>patría</w:t>
      </w:r>
      <w:proofErr w:type="spellEnd"/>
      <w:r>
        <w:rPr>
          <w:i/>
        </w:rPr>
        <w:t xml:space="preserve"> telekomunikačné služby</w:t>
      </w:r>
      <w:r w:rsidR="00FF2712">
        <w:rPr>
          <w:i/>
        </w:rPr>
        <w:t>.</w:t>
      </w:r>
      <w:r>
        <w:rPr>
          <w:i/>
        </w:rPr>
        <w:t xml:space="preserve"> </w:t>
      </w:r>
    </w:p>
    <w:p w:rsidR="00CC4AC8" w:rsidRDefault="00FB7EE1">
      <w:pPr>
        <w:spacing w:after="76" w:line="259" w:lineRule="auto"/>
        <w:ind w:left="0" w:right="0" w:firstLine="0"/>
        <w:jc w:val="left"/>
      </w:pPr>
      <w:r>
        <w:rPr>
          <w:b/>
        </w:rPr>
        <w:t xml:space="preserve">      </w:t>
      </w:r>
    </w:p>
    <w:p w:rsidR="00CC4AC8" w:rsidRDefault="00FB7EE1">
      <w:pPr>
        <w:numPr>
          <w:ilvl w:val="0"/>
          <w:numId w:val="7"/>
        </w:numPr>
        <w:spacing w:after="78" w:line="259" w:lineRule="auto"/>
        <w:ind w:right="0" w:hanging="288"/>
        <w:jc w:val="left"/>
      </w:pPr>
      <w:r>
        <w:rPr>
          <w:b/>
        </w:rPr>
        <w:t xml:space="preserve">Ostatné náklady na prevádzkovú činnosť v € </w:t>
      </w:r>
    </w:p>
    <w:p w:rsidR="00CC4AC8" w:rsidRDefault="00FB7EE1">
      <w:pPr>
        <w:ind w:left="-3" w:right="0"/>
      </w:pPr>
      <w:r>
        <w:rPr>
          <w:b/>
        </w:rPr>
        <w:t xml:space="preserve">    </w:t>
      </w:r>
      <w:r>
        <w:t>Detailný</w:t>
      </w:r>
      <w:r w:rsidR="00FF2712">
        <w:t xml:space="preserve"> rozpis významných nákladov na prevádzkovú činnosť</w:t>
      </w:r>
      <w:r>
        <w:t xml:space="preserve"> je uvedený v tabuľkovej časti – </w:t>
      </w:r>
      <w:r>
        <w:rPr>
          <w:color w:val="0000CC"/>
        </w:rPr>
        <w:t xml:space="preserve">tabuľka č. 20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color w:val="0000CC"/>
        </w:rPr>
        <w:t xml:space="preserve"> </w:t>
      </w:r>
    </w:p>
    <w:p w:rsidR="00CC4AC8" w:rsidRDefault="00FB7EE1">
      <w:pPr>
        <w:spacing w:after="35"/>
        <w:ind w:left="190" w:right="0"/>
      </w:pPr>
      <w:r>
        <w:rPr>
          <w:b/>
        </w:rPr>
        <w:t xml:space="preserve"> </w:t>
      </w:r>
      <w:r>
        <w:t xml:space="preserve">Medzi  významné  ostatné náklady na prevádzkovú činnosť patria </w:t>
      </w:r>
      <w:r w:rsidR="00FF2712">
        <w:t>členské príspevky</w:t>
      </w:r>
      <w:r w:rsidR="004A25E7">
        <w:t>.</w:t>
      </w:r>
      <w:r>
        <w:rPr>
          <w:i/>
          <w:color w:val="C00000"/>
        </w:rPr>
        <w:t xml:space="preserve"> </w:t>
      </w:r>
    </w:p>
    <w:p w:rsidR="00CC4AC8" w:rsidRDefault="00FB7EE1">
      <w:pPr>
        <w:spacing w:after="133" w:line="259" w:lineRule="auto"/>
        <w:ind w:left="0" w:right="0" w:firstLine="0"/>
        <w:jc w:val="left"/>
      </w:pPr>
      <w:r>
        <w:lastRenderedPageBreak/>
        <w:t xml:space="preserve"> </w:t>
      </w:r>
    </w:p>
    <w:p w:rsidR="00CC4AC8" w:rsidRDefault="00FB7EE1">
      <w:pPr>
        <w:numPr>
          <w:ilvl w:val="0"/>
          <w:numId w:val="7"/>
        </w:numPr>
        <w:spacing w:after="139" w:line="259" w:lineRule="auto"/>
        <w:ind w:right="0" w:hanging="288"/>
        <w:jc w:val="left"/>
      </w:pPr>
      <w:r>
        <w:rPr>
          <w:b/>
        </w:rPr>
        <w:t xml:space="preserve">Ostatné finančné náklady  </w:t>
      </w:r>
    </w:p>
    <w:p w:rsidR="00CC4AC8" w:rsidRDefault="00FB7EE1">
      <w:pPr>
        <w:spacing w:after="92"/>
        <w:ind w:left="-3" w:right="0"/>
      </w:pPr>
      <w:r>
        <w:rPr>
          <w:b/>
        </w:rPr>
        <w:t xml:space="preserve">    </w:t>
      </w:r>
      <w:r>
        <w:t xml:space="preserve">Detailný rozpis významných ostatných finančných nákladov je uvedený v tabuľkovej časti – </w:t>
      </w:r>
      <w:r>
        <w:rPr>
          <w:color w:val="0000CC"/>
        </w:rPr>
        <w:t xml:space="preserve">tabuľka č. 21 </w:t>
      </w:r>
    </w:p>
    <w:p w:rsidR="00CC4AC8" w:rsidRDefault="00FB7EE1">
      <w:pPr>
        <w:spacing w:after="97" w:line="259" w:lineRule="auto"/>
        <w:ind w:left="0" w:right="0" w:firstLine="0"/>
        <w:jc w:val="left"/>
      </w:pPr>
      <w:r>
        <w:rPr>
          <w:i/>
          <w:color w:val="C00000"/>
        </w:rPr>
        <w:t xml:space="preserve">     </w:t>
      </w:r>
      <w:r>
        <w:rPr>
          <w:b/>
        </w:rPr>
        <w:t xml:space="preserve"> </w:t>
      </w:r>
    </w:p>
    <w:p w:rsidR="00CC4AC8" w:rsidRDefault="00FB7EE1">
      <w:pPr>
        <w:pStyle w:val="Nadpis2"/>
        <w:ind w:left="-3" w:right="54"/>
      </w:pPr>
      <w:r>
        <w:t xml:space="preserve">14. Výnosy konsolidovaného celku </w:t>
      </w:r>
    </w:p>
    <w:p w:rsidR="00CC4AC8" w:rsidRDefault="00FB7EE1">
      <w:pPr>
        <w:spacing w:after="7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:rsidR="00CC4AC8" w:rsidRDefault="00FB7EE1">
      <w:pPr>
        <w:pStyle w:val="Nadpis3"/>
        <w:spacing w:after="0"/>
        <w:ind w:left="-5"/>
      </w:pPr>
      <w:r>
        <w:t xml:space="preserve">Ostatné výnosy na prevádzkovú činnosť v € </w:t>
      </w:r>
    </w:p>
    <w:tbl>
      <w:tblPr>
        <w:tblStyle w:val="TableGrid"/>
        <w:tblW w:w="9412" w:type="dxa"/>
        <w:tblInd w:w="-14" w:type="dxa"/>
        <w:tblCellMar>
          <w:top w:w="5" w:type="dxa"/>
          <w:left w:w="70" w:type="dxa"/>
          <w:bottom w:w="5" w:type="dxa"/>
          <w:right w:w="17" w:type="dxa"/>
        </w:tblCellMar>
        <w:tblLook w:val="04A0" w:firstRow="1" w:lastRow="0" w:firstColumn="1" w:lastColumn="0" w:noHBand="0" w:noVBand="1"/>
      </w:tblPr>
      <w:tblGrid>
        <w:gridCol w:w="4239"/>
        <w:gridCol w:w="1361"/>
        <w:gridCol w:w="1370"/>
        <w:gridCol w:w="1220"/>
        <w:gridCol w:w="1222"/>
      </w:tblGrid>
      <w:tr w:rsidR="00CC4AC8">
        <w:trPr>
          <w:trHeight w:val="422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4AC8" w:rsidRDefault="00FB7EE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popis výnosov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Hlavná činnosť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Podnikateľská činnosť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 w:rsidP="00486A3F">
            <w:pPr>
              <w:spacing w:after="0" w:line="259" w:lineRule="auto"/>
              <w:ind w:left="15" w:right="14" w:firstLine="0"/>
              <w:jc w:val="center"/>
            </w:pPr>
            <w:r>
              <w:rPr>
                <w:b/>
                <w:sz w:val="18"/>
              </w:rPr>
              <w:t>k 31.12. 201</w:t>
            </w:r>
            <w:r w:rsidR="00486A3F">
              <w:rPr>
                <w:b/>
                <w:sz w:val="18"/>
              </w:rPr>
              <w:t>5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AC8" w:rsidRDefault="00FB7EE1">
            <w:pPr>
              <w:spacing w:after="0" w:line="259" w:lineRule="auto"/>
              <w:ind w:left="15" w:right="15" w:firstLine="0"/>
              <w:jc w:val="center"/>
            </w:pPr>
            <w:r>
              <w:rPr>
                <w:b/>
                <w:sz w:val="18"/>
              </w:rPr>
              <w:t xml:space="preserve">k 31.12. </w:t>
            </w:r>
            <w:r w:rsidR="0024246E">
              <w:rPr>
                <w:b/>
                <w:sz w:val="18"/>
              </w:rPr>
              <w:t>2014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260220">
        <w:trPr>
          <w:trHeight w:val="425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Dobropisy, refundácie nákladov minulého účtovného obdobia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60220" w:rsidRPr="00260220" w:rsidRDefault="00486A3F" w:rsidP="00260220">
            <w:pPr>
              <w:spacing w:after="0" w:line="259" w:lineRule="auto"/>
              <w:ind w:left="0" w:right="52" w:firstLine="0"/>
              <w:jc w:val="right"/>
              <w:rPr>
                <w:highlight w:val="yellow"/>
              </w:rPr>
            </w:pPr>
            <w:r w:rsidRPr="00486A3F">
              <w:rPr>
                <w:sz w:val="18"/>
              </w:rPr>
              <w:t>1095,68</w:t>
            </w:r>
            <w:r w:rsidR="00260220" w:rsidRPr="00260220">
              <w:rPr>
                <w:sz w:val="18"/>
                <w:highlight w:val="yellow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18"/>
              </w:rPr>
              <w:t xml:space="preserve">5  937,63 </w:t>
            </w:r>
          </w:p>
        </w:tc>
      </w:tr>
      <w:tr w:rsidR="00260220">
        <w:trPr>
          <w:trHeight w:val="218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Výnosy z prenájmu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Pr="00260220" w:rsidRDefault="00486A3F" w:rsidP="00260220">
            <w:pPr>
              <w:spacing w:after="0" w:line="259" w:lineRule="auto"/>
              <w:ind w:left="0" w:right="51" w:firstLine="0"/>
              <w:jc w:val="right"/>
              <w:rPr>
                <w:highlight w:val="yellow"/>
              </w:rPr>
            </w:pPr>
            <w:r>
              <w:rPr>
                <w:sz w:val="18"/>
              </w:rPr>
              <w:t>82 995,33</w:t>
            </w:r>
            <w:r w:rsidR="00260220" w:rsidRPr="00486A3F">
              <w:rPr>
                <w:sz w:val="18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FF2712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18"/>
              </w:rPr>
              <w:t>88081,11</w:t>
            </w:r>
            <w:r w:rsidR="00260220">
              <w:rPr>
                <w:sz w:val="18"/>
              </w:rPr>
              <w:t xml:space="preserve"> </w:t>
            </w:r>
          </w:p>
        </w:tc>
      </w:tr>
      <w:tr w:rsidR="00260220">
        <w:trPr>
          <w:trHeight w:val="217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Poistné plnenia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Pr="00260220" w:rsidRDefault="00260220" w:rsidP="00260220">
            <w:pPr>
              <w:spacing w:after="0" w:line="259" w:lineRule="auto"/>
              <w:ind w:left="0" w:right="2" w:firstLine="0"/>
              <w:jc w:val="right"/>
              <w:rPr>
                <w:highlight w:val="yellow"/>
              </w:rPr>
            </w:pPr>
            <w:r w:rsidRPr="00260220">
              <w:rPr>
                <w:sz w:val="18"/>
                <w:highlight w:val="yellow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260220">
        <w:trPr>
          <w:trHeight w:val="276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Inventúrne prebytky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Pr="00260220" w:rsidRDefault="00260220" w:rsidP="00260220">
            <w:pPr>
              <w:spacing w:after="0" w:line="259" w:lineRule="auto"/>
              <w:ind w:left="0" w:right="2" w:firstLine="0"/>
              <w:jc w:val="right"/>
              <w:rPr>
                <w:highlight w:val="yellow"/>
              </w:rPr>
            </w:pPr>
            <w:r w:rsidRPr="00260220">
              <w:rPr>
                <w:sz w:val="18"/>
                <w:highlight w:val="yellow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260220">
        <w:trPr>
          <w:trHeight w:val="216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Ostatné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Pr="00260220" w:rsidRDefault="00486A3F" w:rsidP="00260220">
            <w:pPr>
              <w:spacing w:after="0" w:line="259" w:lineRule="auto"/>
              <w:ind w:left="0" w:right="51" w:firstLine="0"/>
              <w:jc w:val="right"/>
              <w:rPr>
                <w:highlight w:val="yellow"/>
              </w:rPr>
            </w:pPr>
            <w:r w:rsidRPr="00486A3F">
              <w:rPr>
                <w:sz w:val="18"/>
              </w:rPr>
              <w:t>4 846,4</w:t>
            </w:r>
            <w:r w:rsidR="00260220" w:rsidRPr="00486A3F">
              <w:rPr>
                <w:sz w:val="18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18"/>
              </w:rPr>
              <w:t xml:space="preserve">1628,26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FF2712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18"/>
              </w:rPr>
              <w:t>6972,44</w:t>
            </w:r>
            <w:r w:rsidR="00260220">
              <w:rPr>
                <w:sz w:val="18"/>
              </w:rPr>
              <w:t xml:space="preserve"> </w:t>
            </w:r>
          </w:p>
        </w:tc>
      </w:tr>
      <w:tr w:rsidR="00260220">
        <w:trPr>
          <w:trHeight w:val="310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18"/>
              </w:rPr>
              <w:t xml:space="preserve">88 937,41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18"/>
              </w:rPr>
              <w:t xml:space="preserve">1628,26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18"/>
              </w:rPr>
              <w:t xml:space="preserve">90 565,67 </w:t>
            </w: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220" w:rsidRDefault="00260220" w:rsidP="00260220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18"/>
              </w:rPr>
              <w:t xml:space="preserve">100 991,18 </w:t>
            </w:r>
          </w:p>
        </w:tc>
      </w:tr>
    </w:tbl>
    <w:p w:rsidR="00CC4AC8" w:rsidRDefault="00FB7EE1">
      <w:pPr>
        <w:spacing w:after="15" w:line="259" w:lineRule="auto"/>
        <w:ind w:left="0" w:right="26" w:firstLine="0"/>
        <w:jc w:val="center"/>
      </w:pPr>
      <w:r>
        <w:rPr>
          <w:b/>
        </w:rPr>
        <w:t xml:space="preserve"> </w:t>
      </w:r>
    </w:p>
    <w:p w:rsidR="00CC4AC8" w:rsidRDefault="00FB7EE1">
      <w:pPr>
        <w:spacing w:after="18" w:line="259" w:lineRule="auto"/>
        <w:jc w:val="center"/>
      </w:pPr>
      <w:r>
        <w:rPr>
          <w:b/>
        </w:rPr>
        <w:t xml:space="preserve">Čl. V.  </w:t>
      </w:r>
    </w:p>
    <w:p w:rsidR="00CC4AC8" w:rsidRDefault="00FB7EE1">
      <w:pPr>
        <w:spacing w:after="18" w:line="259" w:lineRule="auto"/>
        <w:ind w:right="89"/>
        <w:jc w:val="center"/>
      </w:pPr>
      <w:r>
        <w:rPr>
          <w:b/>
        </w:rPr>
        <w:t xml:space="preserve">SKUTOČNOSTI, KTORÉ NASTALI PO DNI, </w:t>
      </w:r>
    </w:p>
    <w:p w:rsidR="00CC4AC8" w:rsidRDefault="00FB7EE1">
      <w:pPr>
        <w:spacing w:after="18" w:line="259" w:lineRule="auto"/>
        <w:ind w:right="85"/>
        <w:jc w:val="center"/>
      </w:pPr>
      <w:r>
        <w:rPr>
          <w:b/>
        </w:rPr>
        <w:t xml:space="preserve">KU KTORÉMU SA ZOSTAVUJE ÚČTOVNÁ ZÁVIERKA, DO DŇA JEJ ZOSTAVENIA </w:t>
      </w:r>
    </w:p>
    <w:p w:rsidR="00CC4AC8" w:rsidRDefault="00FB7EE1">
      <w:pPr>
        <w:spacing w:after="0" w:line="259" w:lineRule="auto"/>
        <w:ind w:left="0" w:right="26" w:firstLine="0"/>
        <w:jc w:val="center"/>
      </w:pPr>
      <w:r>
        <w:rPr>
          <w:b/>
        </w:rPr>
        <w:t xml:space="preserve"> </w:t>
      </w:r>
    </w:p>
    <w:p w:rsidR="00CC4AC8" w:rsidRDefault="00FB7EE1">
      <w:pPr>
        <w:spacing w:after="7" w:line="259" w:lineRule="auto"/>
        <w:ind w:left="0" w:right="26" w:firstLine="0"/>
        <w:jc w:val="center"/>
      </w:pPr>
      <w:r>
        <w:rPr>
          <w:b/>
        </w:rPr>
        <w:t xml:space="preserve"> </w:t>
      </w:r>
    </w:p>
    <w:p w:rsidR="00CC4AC8" w:rsidRDefault="00260220">
      <w:pPr>
        <w:spacing w:line="387" w:lineRule="auto"/>
        <w:ind w:left="-3" w:right="0"/>
      </w:pPr>
      <w:r>
        <w:t>Po 31. decembri 2015</w:t>
      </w:r>
      <w:r w:rsidR="00FB7EE1">
        <w:rPr>
          <w:i/>
        </w:rPr>
        <w:t xml:space="preserve"> nenastali </w:t>
      </w:r>
      <w:r w:rsidR="00FB7EE1">
        <w:t>také udalosti, ktoré by si vyžadovali zverejnenie alebo vykázanie v konsolidovan</w:t>
      </w:r>
      <w:r>
        <w:t>ej účtovnej závierke za rok 2015</w:t>
      </w:r>
      <w:r w:rsidR="00FB7EE1">
        <w:t xml:space="preserve">. </w:t>
      </w:r>
    </w:p>
    <w:p w:rsidR="00CC4AC8" w:rsidRDefault="00FB7EE1">
      <w:pPr>
        <w:spacing w:after="0" w:line="259" w:lineRule="auto"/>
        <w:ind w:left="0" w:right="0" w:firstLine="0"/>
        <w:jc w:val="left"/>
      </w:pPr>
      <w:r>
        <w:rPr>
          <w:color w:val="0000FF"/>
        </w:rPr>
        <w:t xml:space="preserve"> </w:t>
      </w:r>
    </w:p>
    <w:sectPr w:rsidR="00CC4A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28" w:right="768" w:bottom="1283" w:left="1133" w:header="710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6D52" w:rsidRDefault="00BE6D52">
      <w:pPr>
        <w:spacing w:after="0" w:line="240" w:lineRule="auto"/>
      </w:pPr>
      <w:r>
        <w:separator/>
      </w:r>
    </w:p>
  </w:endnote>
  <w:endnote w:type="continuationSeparator" w:id="0">
    <w:p w:rsidR="00BE6D52" w:rsidRDefault="00BE6D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9AE" w:rsidRDefault="007F29AE">
    <w:pPr>
      <w:tabs>
        <w:tab w:val="center" w:pos="4962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9AE" w:rsidRDefault="007F29AE">
    <w:pPr>
      <w:tabs>
        <w:tab w:val="center" w:pos="4962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8F72CE" w:rsidRPr="008F72CE">
      <w:rPr>
        <w:rFonts w:ascii="Times New Roman" w:eastAsia="Times New Roman" w:hAnsi="Times New Roman" w:cs="Times New Roman"/>
        <w:noProof/>
      </w:rPr>
      <w:t>2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9AE" w:rsidRDefault="007F29AE">
    <w:pPr>
      <w:tabs>
        <w:tab w:val="center" w:pos="4962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6D52" w:rsidRDefault="00BE6D52">
      <w:pPr>
        <w:spacing w:after="0" w:line="240" w:lineRule="auto"/>
      </w:pPr>
      <w:r>
        <w:separator/>
      </w:r>
    </w:p>
  </w:footnote>
  <w:footnote w:type="continuationSeparator" w:id="0">
    <w:p w:rsidR="00BE6D52" w:rsidRDefault="00BE6D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9AE" w:rsidRDefault="007F29AE">
    <w:pPr>
      <w:spacing w:after="9" w:line="259" w:lineRule="auto"/>
      <w:ind w:left="0" w:right="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944880</wp:posOffset>
              </wp:positionV>
              <wp:extent cx="6338316" cy="6096"/>
              <wp:effectExtent l="0" t="0" r="0" b="0"/>
              <wp:wrapSquare wrapText="bothSides"/>
              <wp:docPr id="22324" name="Group 223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8316" cy="6096"/>
                        <a:chOff x="0" y="0"/>
                        <a:chExt cx="6338316" cy="6096"/>
                      </a:xfrm>
                    </wpg:grpSpPr>
                    <wps:wsp>
                      <wps:cNvPr id="23404" name="Shape 23404"/>
                      <wps:cNvSpPr/>
                      <wps:spPr>
                        <a:xfrm>
                          <a:off x="0" y="0"/>
                          <a:ext cx="633831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316" h="9144">
                              <a:moveTo>
                                <a:pt x="0" y="0"/>
                              </a:moveTo>
                              <a:lnTo>
                                <a:pt x="6338316" y="0"/>
                              </a:lnTo>
                              <a:lnTo>
                                <a:pt x="633831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9C37FA" id="Group 22324" o:spid="_x0000_s1026" style="position:absolute;margin-left:55.2pt;margin-top:74.4pt;width:499.1pt;height:.5pt;z-index:251658240;mso-position-horizontal-relative:page;mso-position-vertical-relative:page" coordsize="633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">
              <v:shape id="Shape 23404" o:spid="_x0000_s1027" style="position:absolute;width:63383;height:91;visibility:visible;mso-wrap-style:square;v-text-anchor:top" coordsize="6338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on38UA&#10;AADeAAAADwAAAGRycy9kb3ducmV2LnhtbESPQWvCQBSE70L/w/KE3nQTqyLRVWxDob0I2np/ZJ9J&#10;NPs25G01/vtuoeBxmJlvmNWmd426Uie1ZwPpOAFFXHhbc2ng++t9tAAlAdli45kM3Elgs34arDCz&#10;/sZ7uh5CqSKEJUMDVQhtprUUFTmUsW+Jo3fyncMQZVdq2+Etwl2jJ0ky1w5rjgsVtvRWUXE5/DgD&#10;+2OR5+l2lsr8Yl2+O8vn612MeR722yWoQH14hP/bH9bA5GWaTOHvTrwCe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yiffxQAAAN4AAAAPAAAAAAAAAAAAAAAAAJgCAABkcnMv&#10;ZG93bnJldi54bWxQSwUGAAAAAAQABAD1AAAAigMAAAAA&#10;" path="m,l6338316,r,9144l,9144,,e" fillcolor="black" stroked="f" strokeweight="0">
                <v:stroke miterlimit="83231f" joinstyle="miter"/>
                <v:path arrowok="t" textboxrect="0,0,6338316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2"/>
      </w:rPr>
      <w:t>Obec Dolná Súča</w:t>
    </w:r>
    <w:r>
      <w:rPr>
        <w:rFonts w:ascii="Times New Roman" w:eastAsia="Times New Roman" w:hAnsi="Times New Roman" w:cs="Times New Roman"/>
        <w:sz w:val="22"/>
      </w:rPr>
      <w:t xml:space="preserve"> </w:t>
    </w:r>
  </w:p>
  <w:p w:rsidR="007F29AE" w:rsidRDefault="007F29AE">
    <w:pPr>
      <w:spacing w:after="0" w:line="259" w:lineRule="auto"/>
      <w:ind w:left="0" w:right="79" w:firstLine="0"/>
      <w:jc w:val="center"/>
    </w:pPr>
    <w:r>
      <w:rPr>
        <w:rFonts w:ascii="Times New Roman" w:eastAsia="Times New Roman" w:hAnsi="Times New Roman" w:cs="Times New Roman"/>
        <w:sz w:val="22"/>
      </w:rPr>
      <w:t xml:space="preserve">Poznámky  konsolidovanej účtovnej závierky  zostavenej k 31. decembru 2014 </w:t>
    </w:r>
  </w:p>
  <w:p w:rsidR="007F29AE" w:rsidRDefault="007F29AE">
    <w:pPr>
      <w:spacing w:after="0" w:line="259" w:lineRule="auto"/>
      <w:ind w:left="0" w:right="26" w:firstLine="0"/>
      <w:jc w:val="center"/>
    </w:pPr>
    <w:r>
      <w:rPr>
        <w:rFonts w:ascii="Times New Roman" w:eastAsia="Times New Roman" w:hAnsi="Times New Roman" w:cs="Times New Roman"/>
        <w:color w:val="FF0000"/>
        <w:sz w:val="22"/>
      </w:rPr>
      <w:t xml:space="preserve"> </w:t>
    </w:r>
  </w:p>
  <w:p w:rsidR="007F29AE" w:rsidRDefault="007F29AE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9AE" w:rsidRDefault="007F29AE">
    <w:pPr>
      <w:spacing w:after="9" w:line="259" w:lineRule="auto"/>
      <w:ind w:left="0" w:right="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944880</wp:posOffset>
              </wp:positionV>
              <wp:extent cx="6338316" cy="6096"/>
              <wp:effectExtent l="0" t="0" r="0" b="0"/>
              <wp:wrapSquare wrapText="bothSides"/>
              <wp:docPr id="22286" name="Group 222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8316" cy="6096"/>
                        <a:chOff x="0" y="0"/>
                        <a:chExt cx="6338316" cy="6096"/>
                      </a:xfrm>
                    </wpg:grpSpPr>
                    <wps:wsp>
                      <wps:cNvPr id="23403" name="Shape 23403"/>
                      <wps:cNvSpPr/>
                      <wps:spPr>
                        <a:xfrm>
                          <a:off x="0" y="0"/>
                          <a:ext cx="633831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316" h="9144">
                              <a:moveTo>
                                <a:pt x="0" y="0"/>
                              </a:moveTo>
                              <a:lnTo>
                                <a:pt x="6338316" y="0"/>
                              </a:lnTo>
                              <a:lnTo>
                                <a:pt x="633831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DAE8AE" id="Group 22286" o:spid="_x0000_s1026" style="position:absolute;margin-left:55.2pt;margin-top:74.4pt;width:499.1pt;height:.5pt;z-index:251659264;mso-position-horizontal-relative:page;mso-position-vertical-relative:page" coordsize="633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">
              <v:shape id="Shape 23403" o:spid="_x0000_s1027" style="position:absolute;width:63383;height:91;visibility:visible;mso-wrap-style:square;v-text-anchor:top" coordsize="6338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O/q8UA&#10;AADeAAAADwAAAGRycy9kb3ducmV2LnhtbESPQWvCQBSE74X+h+UJvdVNtIpEV7ENhXoRtPX+yD6T&#10;aPZtyNtq/PduoeBxmJlvmMWqd426UCe1ZwPpMAFFXHhbc2ng5/vzdQZKArLFxjMZuJHAavn8tMDM&#10;+ivv6LIPpYoQlgwNVCG0mdZSVORQhr4ljt7Rdw5DlF2pbYfXCHeNHiXJVDusOS5U2NJHRcV5/+sM&#10;7A5FnqfrSSrTs3X59iSb95sY8zLo13NQgfrwCP+3v6yB0fgtGcPfnXgF9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I7+rxQAAAN4AAAAPAAAAAAAAAAAAAAAAAJgCAABkcnMv&#10;ZG93bnJldi54bWxQSwUGAAAAAAQABAD1AAAAigMAAAAA&#10;" path="m,l6338316,r,9144l,9144,,e" fillcolor="black" stroked="f" strokeweight="0">
                <v:stroke miterlimit="83231f" joinstyle="miter"/>
                <v:path arrowok="t" textboxrect="0,0,6338316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2"/>
      </w:rPr>
      <w:t>Obec Dolná Súča</w:t>
    </w:r>
    <w:r>
      <w:rPr>
        <w:rFonts w:ascii="Times New Roman" w:eastAsia="Times New Roman" w:hAnsi="Times New Roman" w:cs="Times New Roman"/>
        <w:sz w:val="22"/>
      </w:rPr>
      <w:t xml:space="preserve"> </w:t>
    </w:r>
  </w:p>
  <w:p w:rsidR="007F29AE" w:rsidRDefault="007F29AE">
    <w:pPr>
      <w:spacing w:after="0" w:line="259" w:lineRule="auto"/>
      <w:ind w:left="0" w:right="79" w:firstLine="0"/>
      <w:jc w:val="center"/>
      <w:rPr>
        <w:rFonts w:ascii="Times New Roman" w:eastAsia="Times New Roman" w:hAnsi="Times New Roman" w:cs="Times New Roman"/>
        <w:sz w:val="22"/>
      </w:rPr>
    </w:pPr>
    <w:r>
      <w:rPr>
        <w:rFonts w:ascii="Times New Roman" w:eastAsia="Times New Roman" w:hAnsi="Times New Roman" w:cs="Times New Roman"/>
        <w:sz w:val="22"/>
      </w:rPr>
      <w:t>Poznámky  konsolidovanej účtovnej závierky  zostavenej k 31. decembru 2015</w:t>
    </w:r>
  </w:p>
  <w:p w:rsidR="007F29AE" w:rsidRDefault="007F29AE">
    <w:pPr>
      <w:spacing w:after="0" w:line="259" w:lineRule="auto"/>
      <w:ind w:left="0" w:right="79" w:firstLine="0"/>
      <w:jc w:val="center"/>
    </w:pPr>
  </w:p>
  <w:p w:rsidR="007F29AE" w:rsidRDefault="007F29AE">
    <w:pPr>
      <w:spacing w:after="0" w:line="259" w:lineRule="auto"/>
      <w:ind w:left="0" w:right="26" w:firstLine="0"/>
      <w:jc w:val="center"/>
    </w:pPr>
    <w:r>
      <w:rPr>
        <w:rFonts w:ascii="Times New Roman" w:eastAsia="Times New Roman" w:hAnsi="Times New Roman" w:cs="Times New Roman"/>
        <w:color w:val="FF0000"/>
        <w:sz w:val="22"/>
      </w:rPr>
      <w:t xml:space="preserve"> </w:t>
    </w:r>
  </w:p>
  <w:p w:rsidR="007F29AE" w:rsidRDefault="007F29AE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9AE" w:rsidRDefault="007F29AE">
    <w:pPr>
      <w:spacing w:after="9" w:line="259" w:lineRule="auto"/>
      <w:ind w:left="0" w:right="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944880</wp:posOffset>
              </wp:positionV>
              <wp:extent cx="6338316" cy="6096"/>
              <wp:effectExtent l="0" t="0" r="0" b="0"/>
              <wp:wrapSquare wrapText="bothSides"/>
              <wp:docPr id="22248" name="Group 222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8316" cy="6096"/>
                        <a:chOff x="0" y="0"/>
                        <a:chExt cx="6338316" cy="6096"/>
                      </a:xfrm>
                    </wpg:grpSpPr>
                    <wps:wsp>
                      <wps:cNvPr id="23402" name="Shape 23402"/>
                      <wps:cNvSpPr/>
                      <wps:spPr>
                        <a:xfrm>
                          <a:off x="0" y="0"/>
                          <a:ext cx="633831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316" h="9144">
                              <a:moveTo>
                                <a:pt x="0" y="0"/>
                              </a:moveTo>
                              <a:lnTo>
                                <a:pt x="6338316" y="0"/>
                              </a:lnTo>
                              <a:lnTo>
                                <a:pt x="633831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482BD9" id="Group 22248" o:spid="_x0000_s1026" style="position:absolute;margin-left:55.2pt;margin-top:74.4pt;width:499.1pt;height:.5pt;z-index:251660288;mso-position-horizontal-relative:page;mso-position-vertical-relative:page" coordsize="633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">
              <v:shape id="Shape 23402" o:spid="_x0000_s1027" style="position:absolute;width:63383;height:91;visibility:visible;mso-wrap-style:square;v-text-anchor:top" coordsize="6338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8aMMYA&#10;AADeAAAADwAAAGRycy9kb3ducmV2LnhtbESPX2vCQBDE3wv9DscW+lYvSVuR6Cm2oVBfCv57X3Jr&#10;Es3thexV47f3CgUfh5n5DTNbDK5VZ+ql8WwgHSWgiEtvG64M7LZfLxNQEpAttp7JwJUEFvPHhxnm&#10;1l94TedNqFSEsORooA6hy7WWsiaHMvIdcfQOvncYouwrbXu8RLhrdZYkY+2w4bhQY0efNZWnza8z&#10;sN6XRZEu31MZn6wrfo6y+riKMc9Pw3IKKtAQ7uH/9rc1kL2+JRn83YlXQM9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28aMMYAAADeAAAADwAAAAAAAAAAAAAAAACYAgAAZHJz&#10;L2Rvd25yZXYueG1sUEsFBgAAAAAEAAQA9QAAAIsDAAAAAA==&#10;" path="m,l6338316,r,9144l,9144,,e" fillcolor="black" stroked="f" strokeweight="0">
                <v:stroke miterlimit="83231f" joinstyle="miter"/>
                <v:path arrowok="t" textboxrect="0,0,6338316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2"/>
      </w:rPr>
      <w:t>Obec Dolná Súča</w:t>
    </w:r>
    <w:r>
      <w:rPr>
        <w:rFonts w:ascii="Times New Roman" w:eastAsia="Times New Roman" w:hAnsi="Times New Roman" w:cs="Times New Roman"/>
        <w:sz w:val="22"/>
      </w:rPr>
      <w:t xml:space="preserve"> </w:t>
    </w:r>
  </w:p>
  <w:p w:rsidR="007F29AE" w:rsidRDefault="007F29AE">
    <w:pPr>
      <w:spacing w:after="0" w:line="259" w:lineRule="auto"/>
      <w:ind w:left="0" w:right="79" w:firstLine="0"/>
      <w:jc w:val="center"/>
    </w:pPr>
    <w:r>
      <w:rPr>
        <w:rFonts w:ascii="Times New Roman" w:eastAsia="Times New Roman" w:hAnsi="Times New Roman" w:cs="Times New Roman"/>
        <w:sz w:val="22"/>
      </w:rPr>
      <w:t xml:space="preserve">Poznámky  konsolidovanej účtovnej závierky  zostavenej k 31. decembru 2014 </w:t>
    </w:r>
  </w:p>
  <w:p w:rsidR="007F29AE" w:rsidRDefault="007F29AE">
    <w:pPr>
      <w:spacing w:after="0" w:line="259" w:lineRule="auto"/>
      <w:ind w:left="0" w:right="26" w:firstLine="0"/>
      <w:jc w:val="center"/>
    </w:pPr>
    <w:r>
      <w:rPr>
        <w:rFonts w:ascii="Times New Roman" w:eastAsia="Times New Roman" w:hAnsi="Times New Roman" w:cs="Times New Roman"/>
        <w:color w:val="FF0000"/>
        <w:sz w:val="22"/>
      </w:rPr>
      <w:t xml:space="preserve"> </w:t>
    </w:r>
  </w:p>
  <w:p w:rsidR="007F29AE" w:rsidRDefault="007F29AE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438B9"/>
    <w:multiLevelType w:val="hybridMultilevel"/>
    <w:tmpl w:val="A46C2E48"/>
    <w:lvl w:ilvl="0" w:tplc="C8C233D0">
      <w:start w:val="1"/>
      <w:numFmt w:val="lowerLetter"/>
      <w:lvlText w:val="%1)"/>
      <w:lvlJc w:val="left"/>
      <w:pPr>
        <w:ind w:left="2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185D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ED0DEE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26E9D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260EE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4B4312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E60672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BEA14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1C7D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FD03F7"/>
    <w:multiLevelType w:val="hybridMultilevel"/>
    <w:tmpl w:val="AD842336"/>
    <w:lvl w:ilvl="0" w:tplc="4B767226">
      <w:start w:val="1"/>
      <w:numFmt w:val="bullet"/>
      <w:lvlText w:val=""/>
      <w:lvlJc w:val="left"/>
      <w:pPr>
        <w:ind w:left="5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F488784">
      <w:start w:val="1"/>
      <w:numFmt w:val="bullet"/>
      <w:lvlText w:val="o"/>
      <w:lvlJc w:val="left"/>
      <w:pPr>
        <w:ind w:left="13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16829AC">
      <w:start w:val="1"/>
      <w:numFmt w:val="bullet"/>
      <w:lvlText w:val="▪"/>
      <w:lvlJc w:val="left"/>
      <w:pPr>
        <w:ind w:left="20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8C23018">
      <w:start w:val="1"/>
      <w:numFmt w:val="bullet"/>
      <w:lvlText w:val="•"/>
      <w:lvlJc w:val="left"/>
      <w:pPr>
        <w:ind w:left="28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0925EB6">
      <w:start w:val="1"/>
      <w:numFmt w:val="bullet"/>
      <w:lvlText w:val="o"/>
      <w:lvlJc w:val="left"/>
      <w:pPr>
        <w:ind w:left="35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0DE9456">
      <w:start w:val="1"/>
      <w:numFmt w:val="bullet"/>
      <w:lvlText w:val="▪"/>
      <w:lvlJc w:val="left"/>
      <w:pPr>
        <w:ind w:left="42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1E8422">
      <w:start w:val="1"/>
      <w:numFmt w:val="bullet"/>
      <w:lvlText w:val="•"/>
      <w:lvlJc w:val="left"/>
      <w:pPr>
        <w:ind w:left="49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48F386">
      <w:start w:val="1"/>
      <w:numFmt w:val="bullet"/>
      <w:lvlText w:val="o"/>
      <w:lvlJc w:val="left"/>
      <w:pPr>
        <w:ind w:left="56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20CA20">
      <w:start w:val="1"/>
      <w:numFmt w:val="bullet"/>
      <w:lvlText w:val="▪"/>
      <w:lvlJc w:val="left"/>
      <w:pPr>
        <w:ind w:left="64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5D3EC8"/>
    <w:multiLevelType w:val="hybridMultilevel"/>
    <w:tmpl w:val="6E52BD6E"/>
    <w:lvl w:ilvl="0" w:tplc="BADC2AF0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144F78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7A68F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6EC8240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18CF618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F25F70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C486AC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5A2218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96AE26A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D62126"/>
    <w:multiLevelType w:val="hybridMultilevel"/>
    <w:tmpl w:val="AEA8E928"/>
    <w:lvl w:ilvl="0" w:tplc="67EC3200">
      <w:start w:val="1"/>
      <w:numFmt w:val="lowerLetter"/>
      <w:lvlText w:val="%1)"/>
      <w:lvlJc w:val="left"/>
      <w:pPr>
        <w:ind w:left="2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B0FAA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94CB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C804B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086CE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FA5AF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81C3E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6D0F7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BC77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D414A2"/>
    <w:multiLevelType w:val="hybridMultilevel"/>
    <w:tmpl w:val="B68E01FE"/>
    <w:lvl w:ilvl="0" w:tplc="C076F1E0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F76866"/>
    <w:multiLevelType w:val="hybridMultilevel"/>
    <w:tmpl w:val="DF544278"/>
    <w:lvl w:ilvl="0" w:tplc="7D688E78">
      <w:start w:val="1"/>
      <w:numFmt w:val="bullet"/>
      <w:lvlText w:val="–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E0B3A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7466A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1BCDC8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7EBE5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5EC6DD6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AC8369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B2575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696BAD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5973FB"/>
    <w:multiLevelType w:val="hybridMultilevel"/>
    <w:tmpl w:val="44665AC8"/>
    <w:lvl w:ilvl="0" w:tplc="47608EA4">
      <w:start w:val="1"/>
      <w:numFmt w:val="lowerLetter"/>
      <w:lvlText w:val="%1)"/>
      <w:lvlJc w:val="left"/>
      <w:pPr>
        <w:ind w:left="2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527E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19A33D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FE49DF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C061A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09AA02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815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9B640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A644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F92167D"/>
    <w:multiLevelType w:val="hybridMultilevel"/>
    <w:tmpl w:val="EA52D082"/>
    <w:lvl w:ilvl="0" w:tplc="90EAF78C">
      <w:start w:val="1"/>
      <w:numFmt w:val="lowerLetter"/>
      <w:lvlText w:val="%1)"/>
      <w:lvlJc w:val="left"/>
      <w:pPr>
        <w:ind w:left="24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9C72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48E8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8877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4076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E69B1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D628C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B9C9A9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22B0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5"/>
  </w:num>
  <w:num w:numId="5">
    <w:abstractNumId w:val="6"/>
  </w:num>
  <w:num w:numId="6">
    <w:abstractNumId w:val="0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AC8"/>
    <w:rsid w:val="000A2EA8"/>
    <w:rsid w:val="00117203"/>
    <w:rsid w:val="001351D0"/>
    <w:rsid w:val="001453E7"/>
    <w:rsid w:val="0024246E"/>
    <w:rsid w:val="00260220"/>
    <w:rsid w:val="002F213F"/>
    <w:rsid w:val="004533AA"/>
    <w:rsid w:val="00486A3F"/>
    <w:rsid w:val="004A25E7"/>
    <w:rsid w:val="004C6E2F"/>
    <w:rsid w:val="004E4A47"/>
    <w:rsid w:val="005236BC"/>
    <w:rsid w:val="006C18D5"/>
    <w:rsid w:val="007F29AE"/>
    <w:rsid w:val="00825EAF"/>
    <w:rsid w:val="00844864"/>
    <w:rsid w:val="008755CE"/>
    <w:rsid w:val="008F72CE"/>
    <w:rsid w:val="00A73515"/>
    <w:rsid w:val="00AF3F0E"/>
    <w:rsid w:val="00B23CCC"/>
    <w:rsid w:val="00BE6D52"/>
    <w:rsid w:val="00C06BF1"/>
    <w:rsid w:val="00C13B03"/>
    <w:rsid w:val="00C76D26"/>
    <w:rsid w:val="00C8703B"/>
    <w:rsid w:val="00CA1918"/>
    <w:rsid w:val="00CC4AC8"/>
    <w:rsid w:val="00DA4DAF"/>
    <w:rsid w:val="00DC24AE"/>
    <w:rsid w:val="00DD5C7C"/>
    <w:rsid w:val="00EC0DC9"/>
    <w:rsid w:val="00F472F5"/>
    <w:rsid w:val="00FB7EE1"/>
    <w:rsid w:val="00FC0C88"/>
    <w:rsid w:val="00FF2712"/>
    <w:rsid w:val="00FF5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8223FE-84BE-4DCF-978B-0EFA80B16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right="84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9"/>
      <w:ind w:left="10" w:right="83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7" w:lineRule="auto"/>
      <w:ind w:left="10" w:hanging="10"/>
      <w:outlineLvl w:val="1"/>
    </w:pPr>
    <w:rPr>
      <w:rFonts w:ascii="Arial" w:eastAsia="Arial" w:hAnsi="Arial" w:cs="Arial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57"/>
      <w:ind w:left="10" w:hanging="10"/>
      <w:outlineLvl w:val="2"/>
    </w:pPr>
    <w:rPr>
      <w:rFonts w:ascii="Arial" w:eastAsia="Arial" w:hAnsi="Arial" w:cs="Arial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18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zia">
    <w:name w:val="Revision"/>
    <w:hidden/>
    <w:uiPriority w:val="99"/>
    <w:semiHidden/>
    <w:rsid w:val="000A2EA8"/>
    <w:pPr>
      <w:spacing w:after="0" w:line="240" w:lineRule="auto"/>
    </w:pPr>
    <w:rPr>
      <w:rFonts w:ascii="Arial" w:eastAsia="Arial" w:hAnsi="Arial" w:cs="Arial"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FF5E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17D140-0940-4103-9002-1C90B1671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</TotalTime>
  <Pages>9</Pages>
  <Words>2523</Words>
  <Characters>14387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MADOLOVÁ Mária</cp:lastModifiedBy>
  <cp:revision>16</cp:revision>
  <dcterms:created xsi:type="dcterms:W3CDTF">2016-05-23T12:14:00Z</dcterms:created>
  <dcterms:modified xsi:type="dcterms:W3CDTF">2016-05-26T10:56:00Z</dcterms:modified>
</cp:coreProperties>
</file>