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4"/>
          <w:szCs w:val="24"/>
        </w:rPr>
      </w:pPr>
    </w:p>
    <w:p w:rsidR="00815B6D" w:rsidRPr="009C3109" w:rsidRDefault="00815B6D" w:rsidP="004F45DC">
      <w:pPr>
        <w:spacing w:line="360" w:lineRule="auto"/>
        <w:jc w:val="center"/>
        <w:rPr>
          <w:rFonts w:ascii="Arial" w:hAnsi="Arial" w:cs="Arial"/>
          <w:bCs/>
          <w:sz w:val="32"/>
          <w:szCs w:val="32"/>
        </w:rPr>
      </w:pPr>
    </w:p>
    <w:p w:rsidR="00815B6D" w:rsidRPr="009C3109" w:rsidRDefault="00815B6D" w:rsidP="004F45DC">
      <w:pPr>
        <w:spacing w:line="360" w:lineRule="auto"/>
        <w:jc w:val="center"/>
        <w:rPr>
          <w:rFonts w:ascii="Arial" w:hAnsi="Arial" w:cs="Arial"/>
          <w:bCs/>
          <w:sz w:val="32"/>
          <w:szCs w:val="32"/>
        </w:rPr>
      </w:pPr>
    </w:p>
    <w:p w:rsidR="004F45DC" w:rsidRPr="00952123" w:rsidRDefault="009C3109" w:rsidP="004F45D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52123">
        <w:rPr>
          <w:rFonts w:ascii="Arial" w:hAnsi="Arial" w:cs="Arial"/>
          <w:b/>
          <w:bCs/>
          <w:sz w:val="24"/>
          <w:szCs w:val="24"/>
        </w:rPr>
        <w:t>Poznámky k 31.12.2015</w:t>
      </w:r>
    </w:p>
    <w:p w:rsidR="004F45DC" w:rsidRPr="00952123" w:rsidRDefault="004F45DC" w:rsidP="004F45D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52123">
        <w:rPr>
          <w:rFonts w:ascii="Arial" w:hAnsi="Arial" w:cs="Arial"/>
          <w:b/>
          <w:bCs/>
          <w:sz w:val="24"/>
          <w:szCs w:val="24"/>
        </w:rPr>
        <w:t> konsolidovanej účtovnej závierky</w:t>
      </w:r>
    </w:p>
    <w:p w:rsidR="004F45DC" w:rsidRPr="00952123" w:rsidRDefault="004F45DC" w:rsidP="004F45D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52123"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4F45DC" w:rsidRPr="00952123" w:rsidRDefault="004F45DC" w:rsidP="004F45DC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52123">
        <w:rPr>
          <w:rFonts w:ascii="Arial" w:hAnsi="Arial" w:cs="Arial"/>
          <w:b/>
          <w:bCs/>
          <w:iCs/>
          <w:sz w:val="24"/>
          <w:szCs w:val="24"/>
        </w:rPr>
        <w:t>Obce Jesenské</w:t>
      </w:r>
    </w:p>
    <w:p w:rsidR="004F45DC" w:rsidRPr="00952123" w:rsidRDefault="004F45DC" w:rsidP="004F45D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52123">
        <w:rPr>
          <w:rFonts w:ascii="Arial" w:hAnsi="Arial" w:cs="Arial"/>
          <w:b/>
          <w:sz w:val="24"/>
          <w:szCs w:val="24"/>
        </w:rPr>
        <w:t>/ textová časť/</w:t>
      </w: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D3629F" w:rsidRDefault="004F45DC" w:rsidP="004F45D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3629F">
        <w:rPr>
          <w:rFonts w:ascii="Arial" w:hAnsi="Arial" w:cs="Arial"/>
          <w:b/>
          <w:bCs/>
          <w:sz w:val="20"/>
          <w:szCs w:val="20"/>
        </w:rPr>
        <w:t>Čl. I</w:t>
      </w:r>
    </w:p>
    <w:p w:rsidR="004F45DC" w:rsidRPr="00D3629F" w:rsidRDefault="009C3109" w:rsidP="004F45D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3629F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4F45DC" w:rsidRPr="009C3109" w:rsidRDefault="004F45DC" w:rsidP="004F45DC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Identifikačné údaje o  konsolidujúcej účtovnej jednotke</w:t>
      </w: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iCs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Obec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proofErr w:type="spellStart"/>
            <w:r w:rsidRPr="009C3109">
              <w:rPr>
                <w:rFonts w:ascii="Arial" w:hAnsi="Arial" w:cs="Arial"/>
                <w:iCs/>
                <w:sz w:val="20"/>
                <w:szCs w:val="20"/>
              </w:rPr>
              <w:t>Sobotská</w:t>
            </w:r>
            <w:proofErr w:type="spellEnd"/>
            <w:r w:rsidRPr="009C3109">
              <w:rPr>
                <w:rFonts w:ascii="Arial" w:hAnsi="Arial" w:cs="Arial"/>
                <w:iCs/>
                <w:sz w:val="20"/>
                <w:szCs w:val="20"/>
              </w:rPr>
              <w:t xml:space="preserve"> 10, 980 02 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Zo zákona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Identifikačné údaje o konsolidovaných  účtovných  jednotkách – rozpočtových organizáciách v zriaďovateľskej pôsobnosti konsolidujúcej účtovnej jednotky</w:t>
      </w: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Základná škola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Mieru 154, 980 02 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Zo zákona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 xml:space="preserve">Základná škola V. </w:t>
            </w:r>
            <w:proofErr w:type="spellStart"/>
            <w:r w:rsidRPr="009C3109">
              <w:rPr>
                <w:rFonts w:ascii="Arial" w:hAnsi="Arial" w:cs="Arial"/>
                <w:iCs/>
                <w:sz w:val="20"/>
                <w:szCs w:val="20"/>
              </w:rPr>
              <w:t>Szombathyho</w:t>
            </w:r>
            <w:proofErr w:type="spellEnd"/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Nám. Slobody 141 , 980 02 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Zo zákona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Základná umelecká škola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Mieru 229, 980 02 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lastRenderedPageBreak/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Zo zákona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Identifikačné údaje o konsolidovaných  účtovných  jednot</w:t>
      </w:r>
      <w:r w:rsidR="009A2590" w:rsidRPr="009C3109">
        <w:rPr>
          <w:rFonts w:ascii="Arial" w:hAnsi="Arial" w:cs="Arial"/>
          <w:bCs/>
          <w:sz w:val="20"/>
          <w:szCs w:val="20"/>
        </w:rPr>
        <w:t>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proofErr w:type="spellStart"/>
            <w:r w:rsidRPr="009C3109">
              <w:rPr>
                <w:rFonts w:ascii="Arial" w:hAnsi="Arial" w:cs="Arial"/>
                <w:iCs/>
                <w:sz w:val="20"/>
                <w:szCs w:val="20"/>
              </w:rPr>
              <w:t>KomPaS</w:t>
            </w:r>
            <w:proofErr w:type="spellEnd"/>
            <w:r w:rsidRPr="009C3109">
              <w:rPr>
                <w:rFonts w:ascii="Arial" w:hAnsi="Arial" w:cs="Arial"/>
                <w:iCs/>
                <w:sz w:val="20"/>
                <w:szCs w:val="20"/>
              </w:rPr>
              <w:t>, s.r.o.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proofErr w:type="spellStart"/>
            <w:r w:rsidRPr="009C3109">
              <w:rPr>
                <w:rFonts w:ascii="Arial" w:hAnsi="Arial" w:cs="Arial"/>
                <w:iCs/>
                <w:sz w:val="20"/>
                <w:szCs w:val="20"/>
              </w:rPr>
              <w:t>Sobotská</w:t>
            </w:r>
            <w:proofErr w:type="spellEnd"/>
            <w:r w:rsidRPr="009C3109">
              <w:rPr>
                <w:rFonts w:ascii="Arial" w:hAnsi="Arial" w:cs="Arial"/>
                <w:iCs/>
                <w:sz w:val="20"/>
                <w:szCs w:val="20"/>
              </w:rPr>
              <w:t xml:space="preserve"> 10, 980 02  Jesenské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04. 07.2007</w:t>
            </w: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100 % dcéra obce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Obec 41 + 42 ZŠ s VJM,  +</w:t>
            </w:r>
            <w:r w:rsidR="00D3629F">
              <w:rPr>
                <w:rFonts w:ascii="Arial" w:hAnsi="Arial" w:cs="Arial"/>
                <w:iCs/>
                <w:sz w:val="20"/>
                <w:szCs w:val="20"/>
              </w:rPr>
              <w:t>39</w:t>
            </w:r>
            <w:r w:rsidR="009A2590" w:rsidRPr="009C3109">
              <w:rPr>
                <w:rFonts w:ascii="Arial" w:hAnsi="Arial" w:cs="Arial"/>
                <w:iCs/>
                <w:sz w:val="20"/>
                <w:szCs w:val="20"/>
              </w:rPr>
              <w:t xml:space="preserve"> ZŠ +</w:t>
            </w:r>
            <w:r w:rsidR="00D3629F">
              <w:rPr>
                <w:rFonts w:ascii="Arial" w:hAnsi="Arial" w:cs="Arial"/>
                <w:iCs/>
                <w:sz w:val="20"/>
                <w:szCs w:val="20"/>
              </w:rPr>
              <w:t xml:space="preserve"> 8 ZUŠ + 5 s.r.o.  = 135</w:t>
            </w:r>
          </w:p>
          <w:p w:rsidR="004F45DC" w:rsidRPr="009C3109" w:rsidRDefault="004F45DC">
            <w:pPr>
              <w:spacing w:line="360" w:lineRule="auto"/>
              <w:rPr>
                <w:rFonts w:ascii="Arial" w:hAnsi="Arial" w:cs="Arial"/>
                <w:iCs/>
                <w:color w:val="FF0000"/>
                <w:sz w:val="20"/>
                <w:szCs w:val="20"/>
              </w:rPr>
            </w:pPr>
          </w:p>
        </w:tc>
      </w:tr>
      <w:tr w:rsidR="004F45DC" w:rsidRPr="009C3109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 xml:space="preserve">O 1 + ZŠ  1 + 1 ZŠ s VJM + 1 ZUŠ  </w:t>
            </w:r>
          </w:p>
        </w:tc>
      </w:tr>
    </w:tbl>
    <w:p w:rsidR="004F45DC" w:rsidRPr="009C3109" w:rsidRDefault="004F45DC" w:rsidP="00AB474C">
      <w:pPr>
        <w:rPr>
          <w:rFonts w:ascii="Arial" w:hAnsi="Arial" w:cs="Arial"/>
          <w:bCs/>
          <w:sz w:val="20"/>
          <w:szCs w:val="20"/>
        </w:rPr>
      </w:pPr>
    </w:p>
    <w:p w:rsidR="004F45DC" w:rsidRPr="00D3629F" w:rsidRDefault="004F45DC" w:rsidP="00AB474C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D3629F">
        <w:rPr>
          <w:rFonts w:ascii="Arial" w:hAnsi="Arial" w:cs="Arial"/>
          <w:b/>
          <w:bCs/>
          <w:sz w:val="20"/>
          <w:szCs w:val="20"/>
        </w:rPr>
        <w:t>Čl. II.</w:t>
      </w:r>
    </w:p>
    <w:p w:rsidR="00D3629F" w:rsidRPr="00D3629F" w:rsidRDefault="00D3629F" w:rsidP="00AB474C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D3629F">
        <w:rPr>
          <w:rFonts w:ascii="Arial" w:hAnsi="Arial" w:cs="Arial"/>
          <w:b/>
          <w:bCs/>
          <w:sz w:val="20"/>
          <w:szCs w:val="20"/>
        </w:rPr>
        <w:t>Informácie o účtovných zásadách a účtovných metódach pri ocenení jednotlivých položiek konsolidovanej účtovnej závierky obce Jesenské</w:t>
      </w:r>
    </w:p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Informácia o splnení predpokladu nepretržitého pokračovania v činnosti konsolidovaného celku </w:t>
      </w:r>
    </w:p>
    <w:p w:rsidR="004F45DC" w:rsidRPr="009C3109" w:rsidRDefault="004F45DC" w:rsidP="004F45DC">
      <w:pPr>
        <w:pStyle w:val="odstavec"/>
        <w:rPr>
          <w:sz w:val="20"/>
          <w:szCs w:val="20"/>
        </w:rPr>
      </w:pPr>
      <w:r w:rsidRPr="009C3109">
        <w:rPr>
          <w:sz w:val="20"/>
          <w:szCs w:val="20"/>
        </w:rPr>
        <w:t>Konsolidovaná účtovná závierka Obce bola zostavená za predpokladu nepretržitého trvania  činnosti obce v súlade so zákonom o účtovníctve a nadväzujúcimi právnymi predpismi.</w:t>
      </w:r>
    </w:p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Zmeny účtovných metód a účtovných zásad</w:t>
      </w:r>
    </w:p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Účtovná jednotka </w:t>
      </w:r>
      <w:r w:rsidR="009C3109">
        <w:rPr>
          <w:rFonts w:ascii="Arial" w:hAnsi="Arial" w:cs="Arial"/>
          <w:bCs/>
          <w:sz w:val="20"/>
          <w:szCs w:val="20"/>
        </w:rPr>
        <w:t>ne</w:t>
      </w:r>
      <w:r w:rsidRPr="009C3109">
        <w:rPr>
          <w:rFonts w:ascii="Arial" w:hAnsi="Arial" w:cs="Arial"/>
          <w:bCs/>
          <w:sz w:val="20"/>
          <w:szCs w:val="20"/>
        </w:rPr>
        <w:t>zmenila účtovné metódy, účtovné zásady oproti pre</w:t>
      </w:r>
      <w:r w:rsidR="009C3109">
        <w:rPr>
          <w:rFonts w:ascii="Arial" w:hAnsi="Arial" w:cs="Arial"/>
          <w:bCs/>
          <w:sz w:val="20"/>
          <w:szCs w:val="20"/>
        </w:rPr>
        <w:t>dchádzajúcemu účtovnému obdobiu.</w:t>
      </w:r>
    </w:p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Spôsob ocenenia jednotlivých zložiek</w:t>
      </w:r>
    </w:p>
    <w:p w:rsidR="004F45DC" w:rsidRPr="009C3109" w:rsidRDefault="004F45DC" w:rsidP="004F45DC">
      <w:pPr>
        <w:pStyle w:val="odstavec"/>
        <w:rPr>
          <w:sz w:val="20"/>
          <w:szCs w:val="20"/>
        </w:rPr>
      </w:pPr>
      <w:r w:rsidRPr="009C3109">
        <w:rPr>
          <w:sz w:val="20"/>
          <w:szCs w:val="20"/>
          <w:u w:val="single"/>
        </w:rPr>
        <w:t>Dlhodobý majetok</w:t>
      </w:r>
      <w:r w:rsidRPr="009C3109">
        <w:rPr>
          <w:sz w:val="20"/>
          <w:szCs w:val="20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:rsidR="004F45DC" w:rsidRPr="009C3109" w:rsidRDefault="004F45DC" w:rsidP="004F45DC">
      <w:pPr>
        <w:jc w:val="both"/>
        <w:rPr>
          <w:rFonts w:ascii="Arial" w:hAnsi="Arial" w:cs="Arial"/>
          <w:sz w:val="20"/>
          <w:szCs w:val="20"/>
        </w:rPr>
      </w:pPr>
      <w:r w:rsidRPr="009C3109">
        <w:rPr>
          <w:rFonts w:ascii="Arial" w:hAnsi="Arial" w:cs="Arial"/>
          <w:sz w:val="20"/>
          <w:szCs w:val="20"/>
        </w:rPr>
        <w:lastRenderedPageBreak/>
        <w:t>Odpisy dlhodobého nehmotného majetku a dlhodobého hmotného majetku sú stanovené tak, že 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4F45DC" w:rsidRPr="009C3109" w:rsidRDefault="004F45DC" w:rsidP="004F45DC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4F45DC" w:rsidRPr="009C3109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Ročná odpisová sadzba</w:t>
            </w:r>
          </w:p>
        </w:tc>
      </w:tr>
      <w:tr w:rsidR="004F45DC" w:rsidRPr="009C3109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2-4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25%</w:t>
            </w:r>
          </w:p>
        </w:tc>
      </w:tr>
      <w:tr w:rsidR="004F45DC" w:rsidRPr="009C3109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16.66%</w:t>
            </w:r>
          </w:p>
        </w:tc>
      </w:tr>
      <w:tr w:rsidR="004F45DC" w:rsidRPr="009C3109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8,33%</w:t>
            </w:r>
          </w:p>
        </w:tc>
      </w:tr>
      <w:tr w:rsidR="004F45DC" w:rsidRPr="009C3109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20-50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5%</w:t>
            </w:r>
          </w:p>
        </w:tc>
      </w:tr>
    </w:tbl>
    <w:p w:rsidR="004F45DC" w:rsidRPr="009C3109" w:rsidRDefault="004F45DC" w:rsidP="004F45DC">
      <w:pPr>
        <w:pStyle w:val="odstavec"/>
        <w:rPr>
          <w:sz w:val="20"/>
          <w:szCs w:val="20"/>
        </w:rPr>
      </w:pPr>
    </w:p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Pohľadávky </w:t>
      </w:r>
    </w:p>
    <w:p w:rsidR="004F45DC" w:rsidRPr="009C3109" w:rsidRDefault="004F45DC" w:rsidP="009A2590">
      <w:pPr>
        <w:rPr>
          <w:rFonts w:ascii="Arial" w:hAnsi="Arial" w:cs="Arial"/>
          <w:sz w:val="20"/>
          <w:szCs w:val="20"/>
        </w:rPr>
      </w:pPr>
      <w:r w:rsidRPr="009C3109">
        <w:rPr>
          <w:rFonts w:ascii="Arial" w:hAnsi="Arial" w:cs="Arial"/>
          <w:sz w:val="20"/>
          <w:szCs w:val="20"/>
        </w:rPr>
        <w:t xml:space="preserve">Pri ich vzniku sa oceňujú menovitou hodnotou. Pohľadávky pri odplatnom nadobudnutí sa oceňujú obstarávacou cenou, t.j. vrátane nákladov </w:t>
      </w:r>
      <w:r w:rsidRPr="009C3109">
        <w:rPr>
          <w:rFonts w:ascii="Arial" w:hAnsi="Arial" w:cs="Arial"/>
          <w:sz w:val="20"/>
          <w:szCs w:val="20"/>
        </w:rPr>
        <w:tab/>
        <w:t>súvisiacich s obstaraním. Toto ocenenie sa znižuje o pochybné,  nedobytným pohľadávky a o pohľadávky, pri ktorých existuje riziko nevymožiteľnosti.</w:t>
      </w:r>
    </w:p>
    <w:p w:rsidR="004F45DC" w:rsidRPr="009C3109" w:rsidRDefault="004F45DC" w:rsidP="004F45DC">
      <w:pPr>
        <w:pStyle w:val="odstavec"/>
        <w:rPr>
          <w:sz w:val="20"/>
          <w:szCs w:val="20"/>
        </w:rPr>
      </w:pPr>
      <w:r w:rsidRPr="009C3109">
        <w:rPr>
          <w:bCs/>
          <w:sz w:val="20"/>
          <w:szCs w:val="20"/>
        </w:rPr>
        <w:t>Peňažné prostriedky a ceniny</w:t>
      </w:r>
      <w:r w:rsidRPr="009C3109">
        <w:rPr>
          <w:sz w:val="20"/>
          <w:szCs w:val="20"/>
        </w:rPr>
        <w:t xml:space="preserve"> sa oceňujú menovitou hodnotou.</w:t>
      </w:r>
    </w:p>
    <w:p w:rsidR="004F45DC" w:rsidRPr="009C3109" w:rsidRDefault="004F45DC" w:rsidP="004F45DC">
      <w:pPr>
        <w:pStyle w:val="odstavec"/>
        <w:rPr>
          <w:sz w:val="20"/>
          <w:szCs w:val="20"/>
        </w:rPr>
      </w:pPr>
      <w:r w:rsidRPr="009C3109">
        <w:rPr>
          <w:bCs/>
          <w:sz w:val="20"/>
          <w:szCs w:val="20"/>
        </w:rPr>
        <w:t>Rezervy</w:t>
      </w:r>
      <w:r w:rsidRPr="009C3109">
        <w:rPr>
          <w:sz w:val="20"/>
          <w:szCs w:val="20"/>
        </w:rPr>
        <w:t xml:space="preserve"> sú záväzky s neurčitým časovým vymedzením alebo výškou a oceňujú sa v očakávanej výške záväzku alebo poistno-matematickými metódami.</w:t>
      </w:r>
    </w:p>
    <w:p w:rsidR="004F45DC" w:rsidRPr="009C3109" w:rsidRDefault="004F45DC" w:rsidP="009A2590">
      <w:pPr>
        <w:rPr>
          <w:rFonts w:ascii="Arial" w:hAnsi="Arial" w:cs="Arial"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Záväzky </w:t>
      </w:r>
      <w:r w:rsidRPr="009C3109">
        <w:rPr>
          <w:rFonts w:ascii="Arial" w:hAnsi="Arial" w:cs="Arial"/>
          <w:sz w:val="20"/>
          <w:szCs w:val="20"/>
        </w:rPr>
        <w:t xml:space="preserve">sa pri ich vzniku oceňujú menovitou hodnotou a pri ich prevzatí sa oceňujú obstarávacou cenou. </w:t>
      </w:r>
    </w:p>
    <w:p w:rsidR="004F45DC" w:rsidRPr="009C3109" w:rsidRDefault="004F45DC" w:rsidP="009A2590">
      <w:pPr>
        <w:rPr>
          <w:rFonts w:ascii="Arial" w:hAnsi="Arial" w:cs="Arial"/>
          <w:sz w:val="20"/>
          <w:szCs w:val="20"/>
        </w:rPr>
      </w:pPr>
      <w:r w:rsidRPr="009C3109">
        <w:rPr>
          <w:rFonts w:ascii="Arial" w:hAnsi="Arial" w:cs="Arial"/>
          <w:sz w:val="20"/>
          <w:szCs w:val="20"/>
        </w:rPr>
        <w:t xml:space="preserve">Účty </w:t>
      </w:r>
      <w:r w:rsidRPr="009C3109">
        <w:rPr>
          <w:rFonts w:ascii="Arial" w:hAnsi="Arial" w:cs="Arial"/>
          <w:bCs/>
          <w:sz w:val="20"/>
          <w:szCs w:val="20"/>
          <w:u w:val="single"/>
        </w:rPr>
        <w:t>časového rozlíšenia aktív a pasív</w:t>
      </w:r>
      <w:r w:rsidRPr="009C3109">
        <w:rPr>
          <w:rFonts w:ascii="Arial" w:hAnsi="Arial" w:cs="Arial"/>
          <w:sz w:val="20"/>
          <w:szCs w:val="20"/>
        </w:rPr>
        <w:t xml:space="preserve"> sú vykázané vo výške, ktorá je potrebná na dodržanie zásady vecnej a časovej súvislosti s účtovným obdobím.</w:t>
      </w:r>
    </w:p>
    <w:p w:rsidR="004F45DC" w:rsidRPr="009C3109" w:rsidRDefault="004F45DC" w:rsidP="009A25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 xml:space="preserve">Konsolidovaný celok </w:t>
      </w:r>
      <w:r w:rsidRPr="009C3109">
        <w:rPr>
          <w:rFonts w:ascii="Arial" w:hAnsi="Arial" w:cs="Arial"/>
          <w:bCs/>
          <w:iCs/>
          <w:sz w:val="20"/>
          <w:szCs w:val="20"/>
        </w:rPr>
        <w:t xml:space="preserve">Obce Jesenské </w:t>
      </w:r>
      <w:r w:rsidRPr="009C3109">
        <w:rPr>
          <w:rFonts w:ascii="Arial" w:hAnsi="Arial" w:cs="Arial"/>
          <w:bCs/>
          <w:sz w:val="20"/>
          <w:szCs w:val="20"/>
        </w:rPr>
        <w:t xml:space="preserve"> zahŕňa  3 rozpočtové organizácie, 0 príspevkových organizácií, 1 obchodnú spoločnosť;  ich identifikačné údaje sa nachádzajú v úvode.</w:t>
      </w:r>
      <w:r w:rsidR="00180B97" w:rsidRPr="009C3109">
        <w:rPr>
          <w:rFonts w:ascii="Arial" w:hAnsi="Arial" w:cs="Arial"/>
          <w:bCs/>
          <w:sz w:val="20"/>
          <w:szCs w:val="20"/>
        </w:rPr>
        <w:t xml:space="preserve"> /</w:t>
      </w:r>
      <w:proofErr w:type="spellStart"/>
      <w:r w:rsidR="00180B97" w:rsidRPr="009C3109">
        <w:rPr>
          <w:rFonts w:ascii="Arial" w:hAnsi="Arial" w:cs="Arial"/>
          <w:bCs/>
          <w:sz w:val="20"/>
          <w:szCs w:val="20"/>
        </w:rPr>
        <w:t>tab.č</w:t>
      </w:r>
      <w:proofErr w:type="spellEnd"/>
      <w:r w:rsidR="00180B97" w:rsidRPr="009C3109">
        <w:rPr>
          <w:rFonts w:ascii="Arial" w:hAnsi="Arial" w:cs="Arial"/>
          <w:bCs/>
          <w:sz w:val="20"/>
          <w:szCs w:val="20"/>
        </w:rPr>
        <w:t>. 1/</w:t>
      </w:r>
    </w:p>
    <w:p w:rsidR="004F45DC" w:rsidRPr="009C3109" w:rsidRDefault="004F45DC" w:rsidP="004F45DC">
      <w:pPr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9C3109">
        <w:rPr>
          <w:rFonts w:ascii="Arial" w:hAnsi="Arial" w:cs="Arial"/>
          <w:bCs/>
          <w:iCs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71"/>
        <w:gridCol w:w="1517"/>
        <w:gridCol w:w="1537"/>
        <w:gridCol w:w="1569"/>
      </w:tblGrid>
      <w:tr w:rsidR="004F45DC" w:rsidRPr="009C3109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Názov resp. obchodné meno </w:t>
            </w:r>
          </w:p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Metóda </w:t>
            </w:r>
          </w:p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Metóda </w:t>
            </w:r>
          </w:p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Metóda </w:t>
            </w:r>
          </w:p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vlastného imania</w:t>
            </w:r>
          </w:p>
        </w:tc>
      </w:tr>
      <w:tr w:rsidR="004F45DC" w:rsidRPr="009C3109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5DC" w:rsidRPr="009C3109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5DC" w:rsidRPr="009C3109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4F45DC" w:rsidRPr="009C3109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spacing w:line="360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</w:tbl>
    <w:p w:rsidR="004F45DC" w:rsidRPr="009C3109" w:rsidRDefault="004F45DC" w:rsidP="004F45DC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F45DC" w:rsidRPr="009C3109" w:rsidRDefault="004F45DC" w:rsidP="004F45DC">
      <w:pPr>
        <w:rPr>
          <w:rFonts w:ascii="Arial" w:hAnsi="Arial" w:cs="Arial"/>
          <w:sz w:val="20"/>
          <w:szCs w:val="20"/>
        </w:rPr>
      </w:pPr>
      <w:r w:rsidRPr="009C3109">
        <w:rPr>
          <w:rFonts w:ascii="Arial" w:hAnsi="Arial" w:cs="Arial"/>
          <w:sz w:val="20"/>
          <w:szCs w:val="20"/>
        </w:rPr>
        <w:lastRenderedPageBreak/>
        <w:t>Metóda úplnej konsolidácie bola použitá pri dcérskych účtovných jednotkách.</w:t>
      </w:r>
    </w:p>
    <w:p w:rsidR="00180B97" w:rsidRDefault="00180B97" w:rsidP="009A2590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952123" w:rsidRPr="009C3109" w:rsidRDefault="00952123" w:rsidP="009A2590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4F45DC" w:rsidRPr="00B157D7" w:rsidRDefault="004F45DC" w:rsidP="004F45DC">
      <w:pPr>
        <w:spacing w:line="360" w:lineRule="auto"/>
        <w:jc w:val="center"/>
        <w:rPr>
          <w:rFonts w:ascii="Arial" w:hAnsi="Arial" w:cs="Arial"/>
          <w:b/>
          <w:bCs/>
        </w:rPr>
      </w:pPr>
      <w:r w:rsidRPr="00B157D7">
        <w:rPr>
          <w:rFonts w:ascii="Arial" w:hAnsi="Arial" w:cs="Arial"/>
          <w:b/>
          <w:bCs/>
        </w:rPr>
        <w:t>Čl. III</w:t>
      </w:r>
    </w:p>
    <w:p w:rsidR="004F45DC" w:rsidRPr="00B157D7" w:rsidRDefault="004F45DC" w:rsidP="004F45DC">
      <w:pPr>
        <w:spacing w:line="360" w:lineRule="auto"/>
        <w:jc w:val="center"/>
        <w:rPr>
          <w:rFonts w:ascii="Arial" w:hAnsi="Arial" w:cs="Arial"/>
          <w:b/>
          <w:bCs/>
        </w:rPr>
      </w:pPr>
      <w:r w:rsidRPr="00B157D7">
        <w:rPr>
          <w:rFonts w:ascii="Arial" w:hAnsi="Arial" w:cs="Arial"/>
          <w:b/>
          <w:bCs/>
        </w:rPr>
        <w:t>Informácie o údajoch aktív a pasív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Dlhodobý nehmotný majetok a dlhodobý hmotný majetok</w:t>
      </w:r>
    </w:p>
    <w:p w:rsidR="004F45DC" w:rsidRPr="00B157D7" w:rsidRDefault="004F45D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</w:rPr>
        <w:t>Prehľad pohybu dlhodobého nehmotného a dlhodobého hmotného majetku od 1. januára</w:t>
      </w:r>
      <w:r w:rsidR="00D3629F" w:rsidRPr="00B157D7">
        <w:rPr>
          <w:rFonts w:ascii="Arial" w:hAnsi="Arial" w:cs="Arial"/>
        </w:rPr>
        <w:t xml:space="preserve"> 2015 do 31. decembra 2015</w:t>
      </w:r>
      <w:r w:rsidRPr="00B157D7">
        <w:rPr>
          <w:rFonts w:ascii="Arial" w:hAnsi="Arial" w:cs="Arial"/>
        </w:rPr>
        <w:t xml:space="preserve"> je uvedený v prílohe, v tabuľkovej časti </w:t>
      </w:r>
      <w:r w:rsidR="00B157D7" w:rsidRPr="00B157D7">
        <w:rPr>
          <w:rFonts w:ascii="Arial" w:hAnsi="Arial" w:cs="Arial"/>
          <w:iCs/>
        </w:rPr>
        <w:t>prehľad DNM a DHM</w:t>
      </w:r>
      <w:r w:rsidRPr="00B157D7">
        <w:rPr>
          <w:rFonts w:ascii="Arial" w:hAnsi="Arial" w:cs="Arial"/>
          <w:iCs/>
        </w:rPr>
        <w:t>. (tabuľka č. 2)</w:t>
      </w:r>
    </w:p>
    <w:p w:rsidR="009A2590" w:rsidRPr="00B157D7" w:rsidRDefault="004F45DC" w:rsidP="004F45DC">
      <w:pPr>
        <w:rPr>
          <w:rFonts w:ascii="Arial" w:hAnsi="Arial" w:cs="Arial"/>
        </w:rPr>
      </w:pPr>
      <w:r w:rsidRPr="00B157D7">
        <w:rPr>
          <w:rFonts w:ascii="Arial" w:hAnsi="Arial" w:cs="Arial"/>
        </w:rPr>
        <w:t>Konsolidovaný celok má poistený majetok u viacerých poistných spoločností, ktoré sa podľa potreby aktualizujú.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Dlhodobý finančný majetok</w:t>
      </w:r>
    </w:p>
    <w:p w:rsidR="004F45DC" w:rsidRPr="00B157D7" w:rsidRDefault="004F45D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</w:rPr>
        <w:t>Prehľad dlhodobého finančného majetku po</w:t>
      </w:r>
      <w:r w:rsidR="00D3629F" w:rsidRPr="00B157D7">
        <w:rPr>
          <w:rFonts w:ascii="Arial" w:hAnsi="Arial" w:cs="Arial"/>
        </w:rPr>
        <w:t xml:space="preserve"> konsolidácii od 1. januára 2015 do 31. 12. 2015</w:t>
      </w:r>
      <w:r w:rsidRPr="00B157D7">
        <w:rPr>
          <w:rFonts w:ascii="Arial" w:hAnsi="Arial" w:cs="Arial"/>
        </w:rPr>
        <w:t xml:space="preserve">  je uvedený v tabuľkovej časti  </w:t>
      </w:r>
      <w:r w:rsidRPr="00B157D7">
        <w:rPr>
          <w:rFonts w:ascii="Arial" w:hAnsi="Arial" w:cs="Arial"/>
          <w:iCs/>
        </w:rPr>
        <w:t>Realizovateľné cenné papiere ( tabuľka č. 4)</w:t>
      </w:r>
    </w:p>
    <w:p w:rsidR="004F45DC" w:rsidRPr="00B157D7" w:rsidRDefault="004F45DC" w:rsidP="004F45DC">
      <w:pPr>
        <w:rPr>
          <w:rFonts w:ascii="Arial" w:hAnsi="Arial" w:cs="Arial"/>
        </w:rPr>
      </w:pPr>
      <w:r w:rsidRPr="00B157D7">
        <w:rPr>
          <w:rFonts w:ascii="Arial" w:hAnsi="Arial" w:cs="Arial"/>
        </w:rPr>
        <w:t>Obec vlastní akcie vo Vodárenskej spoločnosti, a.s. v mene euro</w:t>
      </w:r>
      <w:r w:rsidR="00815B6D" w:rsidRPr="00B157D7">
        <w:rPr>
          <w:rFonts w:ascii="Arial" w:hAnsi="Arial" w:cs="Arial"/>
        </w:rPr>
        <w:t>.</w:t>
      </w:r>
    </w:p>
    <w:p w:rsidR="004F45DC" w:rsidRPr="009C3109" w:rsidRDefault="004F45DC" w:rsidP="004F45DC">
      <w:pPr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4F45DC" w:rsidRPr="009C3109" w:rsidTr="004F45D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Hodnota</w:t>
            </w:r>
          </w:p>
          <w:p w:rsidR="004F45DC" w:rsidRPr="00B157D7" w:rsidRDefault="004F45DC" w:rsidP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k 31.12.201</w:t>
            </w:r>
            <w:r w:rsidR="0086077A">
              <w:rPr>
                <w:rFonts w:ascii="Arial" w:hAnsi="Arial" w:cs="Arial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Hodnota</w:t>
            </w:r>
          </w:p>
          <w:p w:rsidR="004F45DC" w:rsidRPr="00B157D7" w:rsidRDefault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31.12.2014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Poznámky</w:t>
            </w:r>
          </w:p>
        </w:tc>
      </w:tr>
      <w:tr w:rsidR="004F45DC" w:rsidRPr="009C3109" w:rsidTr="004F45D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B157D7" w:rsidRDefault="004F45DC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427686,00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427686,00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 xml:space="preserve">Cenný </w:t>
            </w:r>
            <w:proofErr w:type="spellStart"/>
            <w:r w:rsidRPr="00B157D7">
              <w:rPr>
                <w:rFonts w:ascii="Arial" w:hAnsi="Arial" w:cs="Arial"/>
              </w:rPr>
              <w:t>papier-Stred</w:t>
            </w:r>
            <w:proofErr w:type="spellEnd"/>
            <w:r w:rsidRPr="00B157D7">
              <w:rPr>
                <w:rFonts w:ascii="Arial" w:hAnsi="Arial" w:cs="Arial"/>
              </w:rPr>
              <w:t>. vodárenská spol.</w:t>
            </w:r>
          </w:p>
        </w:tc>
      </w:tr>
    </w:tbl>
    <w:p w:rsidR="00B157D7" w:rsidRPr="009C3109" w:rsidRDefault="00B157D7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Pohľadávky konsolidovaného celku</w:t>
      </w:r>
    </w:p>
    <w:p w:rsidR="004F45DC" w:rsidRDefault="004F45DC" w:rsidP="00D3629F">
      <w:pPr>
        <w:spacing w:after="0"/>
        <w:rPr>
          <w:rFonts w:ascii="Arial" w:hAnsi="Arial" w:cs="Arial"/>
          <w:iCs/>
        </w:rPr>
      </w:pPr>
      <w:r w:rsidRPr="00D3629F">
        <w:rPr>
          <w:rFonts w:ascii="Arial" w:hAnsi="Arial" w:cs="Arial"/>
        </w:rPr>
        <w:t xml:space="preserve">Rozdelenie pohľadávok podľa splatnosti sú uvedené v tabuľkovej časti. </w:t>
      </w:r>
      <w:r w:rsidRPr="00D3629F">
        <w:rPr>
          <w:rFonts w:ascii="Arial" w:hAnsi="Arial" w:cs="Arial"/>
          <w:iCs/>
        </w:rPr>
        <w:t>(tabuľka č. 9)</w:t>
      </w:r>
    </w:p>
    <w:p w:rsidR="00B157D7" w:rsidRPr="00D3629F" w:rsidRDefault="00B157D7" w:rsidP="00D3629F">
      <w:pPr>
        <w:spacing w:after="0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Opravné položky k pohľadávkam sú uvedené v tabuľkovej časti. ( tabuľka č. 8)</w:t>
      </w:r>
    </w:p>
    <w:p w:rsidR="00D3629F" w:rsidRDefault="00D3629F" w:rsidP="00D3629F">
      <w:pPr>
        <w:spacing w:after="0"/>
        <w:rPr>
          <w:rFonts w:ascii="Arial" w:hAnsi="Arial" w:cs="Arial"/>
        </w:rPr>
      </w:pPr>
      <w:bookmarkStart w:id="0" w:name="_GoBack"/>
      <w:bookmarkEnd w:id="0"/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Finančný majetok konsolidovaného celku</w:t>
      </w: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 xml:space="preserve">Ako finančný majetok sú vykázané peniaze v pokladnici a účty v bankách. </w:t>
      </w:r>
    </w:p>
    <w:p w:rsidR="00D3629F" w:rsidRDefault="00D3629F" w:rsidP="00D3629F">
      <w:pPr>
        <w:spacing w:after="0"/>
        <w:rPr>
          <w:rFonts w:ascii="Arial" w:hAnsi="Arial" w:cs="Arial"/>
        </w:rPr>
      </w:pP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Poskytnuté návratné finančné výpomoci konsolidovaného celku</w:t>
      </w: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Od roku 2007 boli poskytnuté návratné finančné výpomoci fyzickým osobám.</w:t>
      </w:r>
    </w:p>
    <w:p w:rsidR="00D3629F" w:rsidRDefault="00D3629F" w:rsidP="00D3629F">
      <w:pPr>
        <w:spacing w:after="0"/>
        <w:rPr>
          <w:rFonts w:ascii="Arial" w:hAnsi="Arial" w:cs="Arial"/>
        </w:rPr>
      </w:pP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Časové rozlíšenie aktív konsolidovaného celku</w:t>
      </w: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 xml:space="preserve">Prehľad časového rozlíšenia na strane aktív sú uvedené v tabuľkovej časti. </w:t>
      </w:r>
      <w:r w:rsidRPr="00D3629F">
        <w:rPr>
          <w:rFonts w:ascii="Arial" w:hAnsi="Arial" w:cs="Arial"/>
          <w:iCs/>
        </w:rPr>
        <w:t>(tabuľka č. 10)</w:t>
      </w:r>
    </w:p>
    <w:p w:rsidR="004F45DC" w:rsidRPr="00D3629F" w:rsidRDefault="004F45DC" w:rsidP="00D3629F">
      <w:pPr>
        <w:spacing w:after="0"/>
        <w:rPr>
          <w:rFonts w:ascii="Arial" w:hAnsi="Arial" w:cs="Arial"/>
        </w:rPr>
      </w:pPr>
      <w:r w:rsidRPr="00D3629F">
        <w:rPr>
          <w:rFonts w:ascii="Arial" w:hAnsi="Arial" w:cs="Arial"/>
        </w:rPr>
        <w:t>Prehľad významných položiek časového rozlíšenia aktív  je uvedený v nasledovnom prehľade:</w:t>
      </w:r>
    </w:p>
    <w:p w:rsidR="004F45DC" w:rsidRPr="00D3629F" w:rsidRDefault="004F45DC" w:rsidP="00D3629F">
      <w:pPr>
        <w:spacing w:after="0" w:line="240" w:lineRule="auto"/>
        <w:rPr>
          <w:rFonts w:ascii="Arial" w:hAnsi="Arial" w:cs="Arial"/>
          <w:iCs/>
        </w:rPr>
      </w:pPr>
      <w:r w:rsidRPr="00D3629F">
        <w:rPr>
          <w:rFonts w:ascii="Arial" w:hAnsi="Arial" w:cs="Arial"/>
          <w:iCs/>
        </w:rPr>
        <w:t>v eur</w:t>
      </w:r>
    </w:p>
    <w:p w:rsidR="009A2590" w:rsidRDefault="009A2590" w:rsidP="004F45DC">
      <w:pPr>
        <w:spacing w:line="240" w:lineRule="auto"/>
        <w:rPr>
          <w:rFonts w:ascii="Arial" w:hAnsi="Arial" w:cs="Arial"/>
          <w:iCs/>
          <w:sz w:val="20"/>
          <w:szCs w:val="20"/>
        </w:rPr>
      </w:pPr>
    </w:p>
    <w:p w:rsidR="00D3629F" w:rsidRDefault="00D3629F" w:rsidP="004F45DC">
      <w:pPr>
        <w:spacing w:line="240" w:lineRule="auto"/>
        <w:rPr>
          <w:rFonts w:ascii="Arial" w:hAnsi="Arial" w:cs="Arial"/>
          <w:iCs/>
          <w:sz w:val="20"/>
          <w:szCs w:val="20"/>
        </w:rPr>
      </w:pPr>
    </w:p>
    <w:p w:rsidR="00D3629F" w:rsidRDefault="00D3629F" w:rsidP="004F45DC">
      <w:pPr>
        <w:spacing w:line="240" w:lineRule="auto"/>
        <w:rPr>
          <w:rFonts w:ascii="Arial" w:hAnsi="Arial" w:cs="Arial"/>
          <w:iCs/>
          <w:sz w:val="20"/>
          <w:szCs w:val="20"/>
        </w:rPr>
      </w:pPr>
    </w:p>
    <w:p w:rsidR="00D3629F" w:rsidRPr="009C3109" w:rsidRDefault="00D3629F" w:rsidP="004F45DC">
      <w:pPr>
        <w:spacing w:line="240" w:lineRule="auto"/>
        <w:rPr>
          <w:rFonts w:ascii="Arial" w:hAnsi="Arial" w:cs="Arial"/>
          <w:i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53"/>
        <w:gridCol w:w="1843"/>
        <w:gridCol w:w="2016"/>
      </w:tblGrid>
      <w:tr w:rsidR="004F45DC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B157D7" w:rsidRDefault="004F45DC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B157D7" w:rsidRDefault="00D3629F">
            <w:pPr>
              <w:rPr>
                <w:rFonts w:ascii="Arial" w:hAnsi="Arial" w:cs="Arial"/>
                <w:iCs/>
              </w:rPr>
            </w:pPr>
            <w:r w:rsidRPr="00B157D7">
              <w:rPr>
                <w:rFonts w:ascii="Arial" w:hAnsi="Arial" w:cs="Arial"/>
                <w:iCs/>
              </w:rPr>
              <w:t>31.12.2015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B157D7" w:rsidRDefault="004F45DC">
            <w:pPr>
              <w:rPr>
                <w:rFonts w:ascii="Arial" w:hAnsi="Arial" w:cs="Arial"/>
                <w:iCs/>
              </w:rPr>
            </w:pPr>
            <w:r w:rsidRPr="00B157D7">
              <w:rPr>
                <w:rFonts w:ascii="Arial" w:hAnsi="Arial" w:cs="Arial"/>
                <w:iCs/>
              </w:rPr>
              <w:t>31.12.2014</w:t>
            </w:r>
          </w:p>
        </w:tc>
      </w:tr>
      <w:tr w:rsidR="004F45DC" w:rsidRPr="009C3109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B6D" w:rsidRPr="00B157D7" w:rsidRDefault="00B157D7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1210,58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1007,41</w:t>
            </w:r>
          </w:p>
        </w:tc>
      </w:tr>
      <w:tr w:rsidR="004F45DC" w:rsidRPr="009C3109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B6D" w:rsidRPr="00B157D7" w:rsidRDefault="00B157D7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1920,82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618,03</w:t>
            </w:r>
          </w:p>
        </w:tc>
      </w:tr>
      <w:tr w:rsidR="004F45DC" w:rsidRPr="009C3109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B157D7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1484,90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815B6D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</w:rPr>
              <w:t>1641,67</w:t>
            </w:r>
          </w:p>
        </w:tc>
      </w:tr>
      <w:tr w:rsidR="004F45DC" w:rsidRPr="009C3109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B157D7" w:rsidRDefault="004F45DC">
            <w:pPr>
              <w:rPr>
                <w:rFonts w:ascii="Arial" w:hAnsi="Arial" w:cs="Arial"/>
              </w:rPr>
            </w:pPr>
            <w:r w:rsidRPr="00B157D7">
              <w:rPr>
                <w:rFonts w:ascii="Arial" w:hAnsi="Arial" w:cs="Arial"/>
                <w:bCs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B157D7">
            <w:pPr>
              <w:rPr>
                <w:rFonts w:ascii="Arial" w:hAnsi="Arial" w:cs="Arial"/>
                <w:bCs/>
              </w:rPr>
            </w:pPr>
            <w:r w:rsidRPr="00B157D7">
              <w:rPr>
                <w:rFonts w:ascii="Arial" w:hAnsi="Arial" w:cs="Arial"/>
                <w:bCs/>
              </w:rPr>
              <w:t>4616,30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B157D7" w:rsidRDefault="00815B6D">
            <w:pPr>
              <w:rPr>
                <w:rFonts w:ascii="Arial" w:hAnsi="Arial" w:cs="Arial"/>
                <w:bCs/>
              </w:rPr>
            </w:pPr>
            <w:r w:rsidRPr="00B157D7">
              <w:rPr>
                <w:rFonts w:ascii="Arial" w:hAnsi="Arial" w:cs="Arial"/>
                <w:bCs/>
              </w:rPr>
              <w:t>3267,11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Vlastné imanie konsolidovaného celku</w:t>
      </w:r>
    </w:p>
    <w:p w:rsidR="004F45DC" w:rsidRPr="00B157D7" w:rsidRDefault="004F45D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</w:rPr>
        <w:t>Prehľad vlastného imania po</w:t>
      </w:r>
      <w:r w:rsidR="00B157D7">
        <w:rPr>
          <w:rFonts w:ascii="Arial" w:hAnsi="Arial" w:cs="Arial"/>
        </w:rPr>
        <w:t xml:space="preserve"> konsolidácii od 1. januára 2015 do 31. decembra 2015</w:t>
      </w:r>
      <w:r w:rsidRPr="00B157D7">
        <w:rPr>
          <w:rFonts w:ascii="Arial" w:hAnsi="Arial" w:cs="Arial"/>
        </w:rPr>
        <w:t xml:space="preserve"> je uvedený  v tabuľkovej časti. </w:t>
      </w:r>
      <w:r w:rsidRPr="00B157D7">
        <w:rPr>
          <w:rFonts w:ascii="Arial" w:hAnsi="Arial" w:cs="Arial"/>
          <w:iCs/>
        </w:rPr>
        <w:t>(tabuľka č. 12)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Rezervy konsolidovaného celku</w:t>
      </w:r>
    </w:p>
    <w:p w:rsidR="004F45DC" w:rsidRPr="00B157D7" w:rsidRDefault="004F45D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</w:rPr>
        <w:t>Prehľad krátkodobej rezervy po konsolidácii od 1. januára 20</w:t>
      </w:r>
      <w:r w:rsidR="00B157D7">
        <w:rPr>
          <w:rFonts w:ascii="Arial" w:hAnsi="Arial" w:cs="Arial"/>
        </w:rPr>
        <w:t>15 do 31. decembra 2015</w:t>
      </w:r>
      <w:r w:rsidRPr="00B157D7">
        <w:rPr>
          <w:rFonts w:ascii="Arial" w:hAnsi="Arial" w:cs="Arial"/>
        </w:rPr>
        <w:t xml:space="preserve"> je uvedený  v tabuľkovej časti. </w:t>
      </w:r>
      <w:r w:rsidRPr="00B157D7">
        <w:rPr>
          <w:rFonts w:ascii="Arial" w:hAnsi="Arial" w:cs="Arial"/>
          <w:iCs/>
        </w:rPr>
        <w:t xml:space="preserve">(tabuľka č. </w:t>
      </w:r>
      <w:r w:rsidR="00180B97" w:rsidRPr="00B157D7">
        <w:rPr>
          <w:rFonts w:ascii="Arial" w:hAnsi="Arial" w:cs="Arial"/>
          <w:iCs/>
        </w:rPr>
        <w:t>13,</w:t>
      </w:r>
      <w:r w:rsidRPr="00B157D7">
        <w:rPr>
          <w:rFonts w:ascii="Arial" w:hAnsi="Arial" w:cs="Arial"/>
          <w:iCs/>
        </w:rPr>
        <w:t>14)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Záväzky Konsolidovaného celku</w:t>
      </w:r>
    </w:p>
    <w:p w:rsidR="004F45DC" w:rsidRPr="00B157D7" w:rsidRDefault="004F45DC" w:rsidP="004F45DC">
      <w:pPr>
        <w:spacing w:line="240" w:lineRule="auto"/>
        <w:rPr>
          <w:rFonts w:ascii="Arial" w:hAnsi="Arial" w:cs="Arial"/>
        </w:rPr>
      </w:pPr>
      <w:r w:rsidRPr="00B157D7">
        <w:rPr>
          <w:rFonts w:ascii="Arial" w:hAnsi="Arial" w:cs="Arial"/>
        </w:rPr>
        <w:t>Prehľad záväzkov podľa splatnosti je uvedený v tabuľkovej časti. (tabuľka č. 15)</w:t>
      </w:r>
    </w:p>
    <w:p w:rsidR="004F45DC" w:rsidRPr="00B157D7" w:rsidRDefault="004F45DC" w:rsidP="004F45DC">
      <w:pPr>
        <w:rPr>
          <w:rFonts w:ascii="Arial" w:hAnsi="Arial" w:cs="Arial"/>
        </w:rPr>
      </w:pPr>
      <w:r w:rsidRPr="00B157D7">
        <w:rPr>
          <w:rFonts w:ascii="Arial" w:hAnsi="Arial" w:cs="Arial"/>
        </w:rPr>
        <w:t>Významnou položkou dlhodobých záväzkov sú:</w:t>
      </w:r>
    </w:p>
    <w:p w:rsidR="004F45DC" w:rsidRPr="00B157D7" w:rsidRDefault="004F45DC" w:rsidP="004F45DC">
      <w:pPr>
        <w:numPr>
          <w:ilvl w:val="0"/>
          <w:numId w:val="1"/>
        </w:numPr>
        <w:rPr>
          <w:rFonts w:ascii="Arial" w:hAnsi="Arial" w:cs="Arial"/>
        </w:rPr>
      </w:pPr>
      <w:r w:rsidRPr="00B157D7">
        <w:rPr>
          <w:rFonts w:ascii="Arial" w:hAnsi="Arial" w:cs="Arial"/>
        </w:rPr>
        <w:t>prijaté úvery zo  Štátneho fondu rozvoja bývania, ktoré sú k 31.12.2</w:t>
      </w:r>
      <w:r w:rsidR="00B157D7">
        <w:rPr>
          <w:rFonts w:ascii="Arial" w:hAnsi="Arial" w:cs="Arial"/>
        </w:rPr>
        <w:t>015 vykázané vo výške 245 407,39</w:t>
      </w:r>
      <w:r w:rsidRPr="00B157D7">
        <w:rPr>
          <w:rFonts w:ascii="Arial" w:hAnsi="Arial" w:cs="Arial"/>
        </w:rPr>
        <w:t xml:space="preserve">  eur.</w:t>
      </w:r>
      <w:r w:rsidR="00815B6D" w:rsidRPr="00B157D7">
        <w:rPr>
          <w:rFonts w:ascii="Arial" w:hAnsi="Arial" w:cs="Arial"/>
        </w:rPr>
        <w:t>/záväzky so zostatkovou dobou splatnosti dlhšou ako 5 rokov/.</w:t>
      </w:r>
      <w:r w:rsidRPr="00B157D7">
        <w:rPr>
          <w:rFonts w:ascii="Arial" w:hAnsi="Arial" w:cs="Arial"/>
        </w:rPr>
        <w:t xml:space="preserve"> Úvery prijaté zo štátneho fondu rozvoja a bývania bude obec splácať do roku 2040. 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Bankové úvery a ostatné prijaté návratné finančné výpomoci  konsolidovaného celku</w:t>
      </w:r>
    </w:p>
    <w:p w:rsidR="004F45DC" w:rsidRPr="00B157D7" w:rsidRDefault="004F45DC" w:rsidP="004F45DC">
      <w:pPr>
        <w:jc w:val="both"/>
        <w:rPr>
          <w:rFonts w:ascii="Arial" w:hAnsi="Arial" w:cs="Arial"/>
        </w:rPr>
      </w:pPr>
      <w:r w:rsidRPr="00B157D7">
        <w:rPr>
          <w:rFonts w:ascii="Arial" w:hAnsi="Arial" w:cs="Arial"/>
        </w:rPr>
        <w:t>Prehľad o</w:t>
      </w:r>
      <w:r w:rsidR="00B157D7">
        <w:rPr>
          <w:rFonts w:ascii="Arial" w:hAnsi="Arial" w:cs="Arial"/>
        </w:rPr>
        <w:t xml:space="preserve"> bankových úveroch k 31.12.2015 </w:t>
      </w:r>
      <w:r w:rsidRPr="00B157D7">
        <w:rPr>
          <w:rFonts w:ascii="Arial" w:hAnsi="Arial" w:cs="Arial"/>
        </w:rPr>
        <w:t>s uvedením podrobných informácií je uvedený v tabuľkovej časti. (tabuľka č. 16)</w:t>
      </w:r>
    </w:p>
    <w:p w:rsidR="004F45DC" w:rsidRPr="00B157D7" w:rsidRDefault="004F45DC" w:rsidP="004F45DC">
      <w:pPr>
        <w:jc w:val="both"/>
        <w:rPr>
          <w:rFonts w:ascii="Arial" w:hAnsi="Arial" w:cs="Arial"/>
        </w:rPr>
      </w:pPr>
      <w:r w:rsidRPr="00B157D7">
        <w:rPr>
          <w:rFonts w:ascii="Arial" w:hAnsi="Arial" w:cs="Arial"/>
        </w:rPr>
        <w:t xml:space="preserve">Obec vykazuje bankový úver v sume </w:t>
      </w:r>
      <w:r w:rsidR="00EE20A4">
        <w:rPr>
          <w:rFonts w:ascii="Arial" w:hAnsi="Arial" w:cs="Arial"/>
        </w:rPr>
        <w:t>168 704,50</w:t>
      </w:r>
      <w:r w:rsidRPr="00B157D7">
        <w:rPr>
          <w:rFonts w:ascii="Arial" w:hAnsi="Arial" w:cs="Arial"/>
        </w:rPr>
        <w:t xml:space="preserve"> eur na 5% spolufinancovania projektu ,,,Kanalizácia a ČOV Jesenské“ a bude splácať do roku 2025. Ďalej vykazuje univerzálny úver vo výške </w:t>
      </w:r>
      <w:r w:rsidR="00EE20A4">
        <w:rPr>
          <w:rFonts w:ascii="Arial" w:hAnsi="Arial" w:cs="Arial"/>
        </w:rPr>
        <w:t>165 635,63</w:t>
      </w:r>
      <w:r w:rsidRPr="00B157D7">
        <w:rPr>
          <w:rFonts w:ascii="Arial" w:hAnsi="Arial" w:cs="Arial"/>
        </w:rPr>
        <w:t xml:space="preserve"> Eur (na </w:t>
      </w:r>
      <w:proofErr w:type="spellStart"/>
      <w:r w:rsidRPr="00B157D7">
        <w:rPr>
          <w:rFonts w:ascii="Arial" w:hAnsi="Arial" w:cs="Arial"/>
        </w:rPr>
        <w:t>predfinancovanie</w:t>
      </w:r>
      <w:proofErr w:type="spellEnd"/>
      <w:r w:rsidRPr="00B157D7">
        <w:rPr>
          <w:rFonts w:ascii="Arial" w:hAnsi="Arial" w:cs="Arial"/>
        </w:rPr>
        <w:t xml:space="preserve"> a financovanie projektov) a bude splácať do roku 2023. </w:t>
      </w:r>
    </w:p>
    <w:p w:rsidR="004F45DC" w:rsidRPr="00B157D7" w:rsidRDefault="004F45DC" w:rsidP="004F45DC">
      <w:pPr>
        <w:rPr>
          <w:rFonts w:ascii="Arial" w:hAnsi="Arial" w:cs="Arial"/>
          <w:bCs/>
        </w:rPr>
      </w:pPr>
      <w:r w:rsidRPr="00B157D7">
        <w:rPr>
          <w:rFonts w:ascii="Arial" w:hAnsi="Arial" w:cs="Arial"/>
          <w:bCs/>
        </w:rPr>
        <w:t>Časové rozlíšenie pasív konsolidovaného celku</w:t>
      </w:r>
    </w:p>
    <w:p w:rsidR="004F45DC" w:rsidRPr="00B157D7" w:rsidRDefault="004F45D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</w:rPr>
        <w:t>Prehľad časového rozlíšenia na strane pasív je uvedený v tabuľkovej časti (</w:t>
      </w:r>
      <w:r w:rsidRPr="00B157D7">
        <w:rPr>
          <w:rFonts w:ascii="Arial" w:hAnsi="Arial" w:cs="Arial"/>
          <w:iCs/>
        </w:rPr>
        <w:t>(tabuľka č. 18)</w:t>
      </w:r>
    </w:p>
    <w:p w:rsidR="004F45DC" w:rsidRPr="00B157D7" w:rsidRDefault="004F45DC" w:rsidP="004F45DC">
      <w:pPr>
        <w:rPr>
          <w:rFonts w:ascii="Arial" w:hAnsi="Arial" w:cs="Arial"/>
        </w:rPr>
      </w:pPr>
      <w:r w:rsidRPr="00B157D7">
        <w:rPr>
          <w:rFonts w:ascii="Arial" w:hAnsi="Arial" w:cs="Arial"/>
        </w:rPr>
        <w:t>Prehľad významných položiek časového rozlíšenia pasív  je uvedený v nasledovnom prehľade:</w:t>
      </w:r>
    </w:p>
    <w:p w:rsidR="00F1288A" w:rsidRPr="00952123" w:rsidRDefault="00AB474C" w:rsidP="004F45DC">
      <w:pPr>
        <w:rPr>
          <w:rFonts w:ascii="Arial" w:hAnsi="Arial" w:cs="Arial"/>
          <w:iCs/>
        </w:rPr>
      </w:pPr>
      <w:r w:rsidRPr="00B157D7">
        <w:rPr>
          <w:rFonts w:ascii="Arial" w:hAnsi="Arial" w:cs="Arial"/>
          <w:iCs/>
        </w:rPr>
        <w:lastRenderedPageBreak/>
        <w:t>v</w:t>
      </w:r>
      <w:r w:rsidR="00952123">
        <w:rPr>
          <w:rFonts w:ascii="Arial" w:hAnsi="Arial" w:cs="Arial"/>
          <w:iCs/>
        </w:rPr>
        <w:t> </w:t>
      </w:r>
      <w:r w:rsidRPr="00B157D7">
        <w:rPr>
          <w:rFonts w:ascii="Arial" w:hAnsi="Arial" w:cs="Arial"/>
          <w:iCs/>
        </w:rPr>
        <w:t>eu</w:t>
      </w:r>
      <w:r w:rsidR="00952123">
        <w:rPr>
          <w:rFonts w:ascii="Arial" w:hAnsi="Arial" w:cs="Arial"/>
          <w:iCs/>
        </w:rPr>
        <w:t>r</w:t>
      </w:r>
    </w:p>
    <w:p w:rsidR="00F1288A" w:rsidRPr="009C3109" w:rsidRDefault="00F1288A" w:rsidP="004F45DC">
      <w:pPr>
        <w:rPr>
          <w:rFonts w:ascii="Arial" w:hAnsi="Arial" w:cs="Arial"/>
          <w:i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53"/>
        <w:gridCol w:w="1843"/>
        <w:gridCol w:w="2016"/>
      </w:tblGrid>
      <w:tr w:rsidR="004F45DC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C3109" w:rsidRDefault="00EE20A4">
            <w:pPr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31.12.2015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C3109" w:rsidRDefault="00DC691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9C3109">
              <w:rPr>
                <w:rFonts w:ascii="Arial" w:hAnsi="Arial" w:cs="Arial"/>
                <w:iCs/>
                <w:sz w:val="20"/>
                <w:szCs w:val="20"/>
              </w:rPr>
              <w:t>31.12.2014</w:t>
            </w:r>
          </w:p>
        </w:tc>
      </w:tr>
      <w:tr w:rsidR="004F45DC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6711398,76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DC6910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5819060,75</w:t>
            </w:r>
          </w:p>
        </w:tc>
      </w:tr>
      <w:tr w:rsidR="004F45DC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DC6910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8637,45</w:t>
            </w:r>
          </w:p>
        </w:tc>
      </w:tr>
      <w:tr w:rsidR="00EE20A4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0A4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Nájomné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0A4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2417,69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0A4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5DC" w:rsidRPr="009C3109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4F45DC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EE20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6718416,45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C3109" w:rsidRDefault="00DC6910">
            <w:pPr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5827698,20</w:t>
            </w:r>
          </w:p>
        </w:tc>
      </w:tr>
    </w:tbl>
    <w:p w:rsidR="004F45DC" w:rsidRPr="009C3109" w:rsidRDefault="004F45DC" w:rsidP="004F45DC">
      <w:pPr>
        <w:rPr>
          <w:rFonts w:ascii="Arial" w:hAnsi="Arial" w:cs="Arial"/>
          <w:bCs/>
          <w:sz w:val="20"/>
          <w:szCs w:val="20"/>
        </w:rPr>
      </w:pPr>
    </w:p>
    <w:p w:rsidR="004F45DC" w:rsidRPr="00EA766C" w:rsidRDefault="004F45DC" w:rsidP="00EA766C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Cs/>
          <w:sz w:val="20"/>
          <w:szCs w:val="20"/>
        </w:rPr>
      </w:pPr>
      <w:r w:rsidRPr="009C3109">
        <w:rPr>
          <w:rFonts w:ascii="Arial" w:hAnsi="Arial" w:cs="Arial"/>
          <w:bCs/>
          <w:sz w:val="20"/>
          <w:szCs w:val="20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4F45DC" w:rsidRPr="009C3109" w:rsidTr="004F45DC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C3109">
              <w:rPr>
                <w:rFonts w:ascii="Arial" w:hAnsi="Arial" w:cs="Arial"/>
                <w:bCs/>
                <w:sz w:val="20"/>
                <w:szCs w:val="20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22BD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Výnosy</w:t>
            </w:r>
            <w:r w:rsidR="004F45DC" w:rsidRPr="009C3109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C3109">
              <w:rPr>
                <w:rFonts w:ascii="Arial" w:hAnsi="Arial" w:cs="Arial"/>
                <w:bCs/>
                <w:sz w:val="20"/>
                <w:szCs w:val="20"/>
              </w:rPr>
              <w:t>Suma v Eur</w:t>
            </w:r>
          </w:p>
        </w:tc>
      </w:tr>
      <w:tr w:rsidR="004F45DC" w:rsidRPr="009C3109" w:rsidTr="004F45DC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164 550,28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783620,02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39 676,00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Tržby z predaja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dlh.nehm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m.a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 xml:space="preserve"> dlh.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Hmot.maj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2 342,25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 xml:space="preserve">. Pokuty, penále a úroky z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omešk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120,00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EE20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145 119,84</w:t>
            </w:r>
          </w:p>
        </w:tc>
      </w:tr>
      <w:tr w:rsidR="002172F1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C3109" w:rsidRDefault="002172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C3109" w:rsidRDefault="002172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Zučtovanie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 xml:space="preserve">. rezerv z </w:t>
            </w:r>
            <w:proofErr w:type="spellStart"/>
            <w:r w:rsidRPr="009C3109"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 w:rsidRPr="009C3109">
              <w:rPr>
                <w:rFonts w:ascii="Arial" w:hAnsi="Arial" w:cs="Arial"/>
                <w:sz w:val="20"/>
                <w:szCs w:val="20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1 380,00</w:t>
            </w:r>
          </w:p>
        </w:tc>
      </w:tr>
      <w:tr w:rsidR="00D34349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349" w:rsidRPr="009C3109" w:rsidRDefault="00D343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4349" w:rsidRPr="009C3109" w:rsidRDefault="00D343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Položiek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434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1 249,71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78,41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1 311 243,69</w:t>
            </w:r>
          </w:p>
        </w:tc>
      </w:tr>
      <w:tr w:rsidR="009C3109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217 919,69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695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Výnosy z transferov zo EU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11 657,24</w:t>
            </w:r>
          </w:p>
        </w:tc>
      </w:tr>
      <w:tr w:rsidR="004F45DC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C3109" w:rsidRDefault="004F45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Výnosy z transferov mimo VS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C3109" w:rsidRDefault="00D343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1 260,00</w:t>
            </w:r>
          </w:p>
        </w:tc>
      </w:tr>
      <w:tr w:rsidR="00422BDE" w:rsidRPr="009C3109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2 680 217,13</w:t>
            </w:r>
          </w:p>
        </w:tc>
      </w:tr>
    </w:tbl>
    <w:p w:rsidR="004F45DC" w:rsidRPr="009C3109" w:rsidRDefault="004F45DC" w:rsidP="004F45DC">
      <w:pPr>
        <w:spacing w:line="360" w:lineRule="auto"/>
        <w:rPr>
          <w:rFonts w:ascii="Arial" w:hAnsi="Arial" w:cs="Arial"/>
          <w:sz w:val="20"/>
          <w:szCs w:val="20"/>
        </w:rPr>
      </w:pPr>
    </w:p>
    <w:p w:rsidR="00422BDE" w:rsidRPr="009C3109" w:rsidRDefault="00422BDE" w:rsidP="00422BDE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20"/>
          <w:szCs w:val="20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422BDE" w:rsidRPr="009C3109" w:rsidTr="00A94682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A9468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C3109">
              <w:rPr>
                <w:rFonts w:ascii="Arial" w:hAnsi="Arial" w:cs="Arial"/>
                <w:bCs/>
                <w:sz w:val="20"/>
                <w:szCs w:val="20"/>
              </w:rPr>
              <w:lastRenderedPageBreak/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422BDE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         N</w:t>
            </w:r>
            <w:r w:rsidRPr="009C3109">
              <w:rPr>
                <w:rFonts w:ascii="Arial" w:hAnsi="Arial" w:cs="Arial"/>
                <w:bCs/>
                <w:sz w:val="20"/>
                <w:szCs w:val="20"/>
              </w:rPr>
              <w:t xml:space="preserve">áklady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A9468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C3109">
              <w:rPr>
                <w:rFonts w:ascii="Arial" w:hAnsi="Arial" w:cs="Arial"/>
                <w:bCs/>
                <w:sz w:val="20"/>
                <w:szCs w:val="20"/>
              </w:rPr>
              <w:t>Suma v Eur</w:t>
            </w:r>
          </w:p>
        </w:tc>
      </w:tr>
      <w:tr w:rsidR="00422BDE" w:rsidRPr="009C3109" w:rsidTr="00A94682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A946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A946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2BDE" w:rsidRPr="009C3109" w:rsidRDefault="00422BDE" w:rsidP="00A946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3109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215 624,04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153 009,74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a 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32 899,08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10 261,46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6 864,63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140 413,21</w:t>
            </w:r>
          </w:p>
        </w:tc>
      </w:tr>
      <w:tr w:rsidR="00422BDE" w:rsidRPr="009C3109" w:rsidTr="00A94682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1 147 419,35</w:t>
            </w:r>
          </w:p>
        </w:tc>
      </w:tr>
      <w:tr w:rsidR="00422BDE" w:rsidRPr="009C3109" w:rsidTr="00A94682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Zákonné soc.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396 021,43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Zákonné soc.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47 802,21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soc.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145,00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dane a 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707,15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Cena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pred.a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1 392,25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508,00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 pohľadávky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2 950,91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60 277,74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 DHM a DNM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347 043,47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ostatných rezerv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1 150,00</w:t>
            </w:r>
          </w:p>
        </w:tc>
      </w:tr>
      <w:tr w:rsidR="00422BDE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Tvorba ostatných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položiek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4 440,00</w:t>
            </w:r>
          </w:p>
        </w:tc>
      </w:tr>
      <w:tr w:rsidR="00EA766C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13 323,88</w:t>
            </w:r>
          </w:p>
        </w:tc>
      </w:tr>
      <w:tr w:rsidR="00EA766C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13 137,97</w:t>
            </w:r>
          </w:p>
        </w:tc>
      </w:tr>
      <w:tr w:rsidR="00EA766C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transfery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rozp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obce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1 266,54</w:t>
            </w:r>
          </w:p>
        </w:tc>
      </w:tr>
      <w:tr w:rsidR="00EA766C" w:rsidRPr="009C3109" w:rsidTr="00422BDE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Default="00EA766C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 rozpočtu obce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Mimo VS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A766C" w:rsidRPr="009C3109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15 200,00</w:t>
            </w:r>
          </w:p>
        </w:tc>
      </w:tr>
      <w:tr w:rsidR="00422BDE" w:rsidRPr="009C3109" w:rsidTr="00A94682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Pr="009C3109" w:rsidRDefault="00422BDE" w:rsidP="00A946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2BDE" w:rsidRDefault="00952123" w:rsidP="00A9468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2 611 868,06</w:t>
            </w:r>
          </w:p>
        </w:tc>
      </w:tr>
    </w:tbl>
    <w:p w:rsidR="00422BDE" w:rsidRPr="009C3109" w:rsidRDefault="00422BDE" w:rsidP="00EA766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F45DC" w:rsidRPr="009C3109" w:rsidRDefault="00EA766C" w:rsidP="004F45DC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Mgr. Gabriel </w:t>
      </w:r>
      <w:proofErr w:type="spellStart"/>
      <w:r>
        <w:rPr>
          <w:rFonts w:ascii="Arial" w:hAnsi="Arial" w:cs="Arial"/>
          <w:sz w:val="20"/>
          <w:szCs w:val="20"/>
        </w:rPr>
        <w:t>Mihályi</w:t>
      </w:r>
      <w:proofErr w:type="spellEnd"/>
      <w:r>
        <w:rPr>
          <w:rFonts w:ascii="Arial" w:hAnsi="Arial" w:cs="Arial"/>
          <w:sz w:val="20"/>
          <w:szCs w:val="20"/>
        </w:rPr>
        <w:t xml:space="preserve"> – starosta obce</w:t>
      </w: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4F45DC" w:rsidRPr="009C3109" w:rsidRDefault="004F45DC" w:rsidP="004F45DC">
      <w:pPr>
        <w:spacing w:line="360" w:lineRule="auto"/>
        <w:rPr>
          <w:rFonts w:ascii="Arial" w:hAnsi="Arial" w:cs="Arial"/>
          <w:bCs/>
          <w:sz w:val="20"/>
          <w:szCs w:val="20"/>
        </w:rPr>
      </w:pPr>
    </w:p>
    <w:p w:rsidR="00FD6FEF" w:rsidRPr="009C3109" w:rsidRDefault="00FD6FEF">
      <w:pPr>
        <w:rPr>
          <w:rFonts w:ascii="Arial" w:hAnsi="Arial" w:cs="Arial"/>
          <w:sz w:val="20"/>
          <w:szCs w:val="20"/>
        </w:rPr>
      </w:pPr>
    </w:p>
    <w:sectPr w:rsidR="00FD6FEF" w:rsidRPr="009C31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C8B"/>
    <w:rsid w:val="00180B97"/>
    <w:rsid w:val="002172F1"/>
    <w:rsid w:val="00422BDE"/>
    <w:rsid w:val="004F45DC"/>
    <w:rsid w:val="00792C8B"/>
    <w:rsid w:val="00815B6D"/>
    <w:rsid w:val="0086077A"/>
    <w:rsid w:val="00952123"/>
    <w:rsid w:val="009A2590"/>
    <w:rsid w:val="009C3109"/>
    <w:rsid w:val="00AB474C"/>
    <w:rsid w:val="00B157D7"/>
    <w:rsid w:val="00D34349"/>
    <w:rsid w:val="00D3629F"/>
    <w:rsid w:val="00DC6910"/>
    <w:rsid w:val="00EA766C"/>
    <w:rsid w:val="00EE20A4"/>
    <w:rsid w:val="00F1288A"/>
    <w:rsid w:val="00F81F5F"/>
    <w:rsid w:val="00FD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5DC"/>
    <w:rPr>
      <w:rFonts w:ascii="Cambria" w:eastAsia="Times New Roman" w:hAnsi="Cambria" w:cs="Cambria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31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C310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4F45DC"/>
    <w:pPr>
      <w:ind w:right="-79"/>
      <w:jc w:val="both"/>
    </w:pPr>
    <w:rPr>
      <w:rFonts w:ascii="Arial" w:hAnsi="Arial" w:cs="Arial"/>
      <w:color w:val="000000"/>
    </w:rPr>
  </w:style>
  <w:style w:type="paragraph" w:customStyle="1" w:styleId="abc">
    <w:name w:val="abc"/>
    <w:basedOn w:val="Normlny"/>
    <w:autoRedefine/>
    <w:uiPriority w:val="99"/>
    <w:rsid w:val="004F45DC"/>
    <w:pPr>
      <w:spacing w:before="60" w:after="120"/>
      <w:ind w:left="465"/>
      <w:jc w:val="both"/>
    </w:pPr>
  </w:style>
  <w:style w:type="character" w:customStyle="1" w:styleId="Intenzvnezvraznenie1">
    <w:name w:val="Intenzívne zvýraznenie1"/>
    <w:basedOn w:val="Predvolenpsmoodseku"/>
    <w:uiPriority w:val="99"/>
    <w:qFormat/>
    <w:rsid w:val="004F45DC"/>
    <w:rPr>
      <w:rFonts w:ascii="Times New Roman" w:hAnsi="Times New Roman" w:cs="Times New Roman" w:hint="default"/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B97"/>
    <w:rPr>
      <w:rFonts w:ascii="Tahoma" w:eastAsia="Times New Roman" w:hAnsi="Tahoma" w:cs="Tahoma"/>
      <w:sz w:val="16"/>
      <w:szCs w:val="16"/>
      <w:lang w:val="en-US"/>
    </w:rPr>
  </w:style>
  <w:style w:type="character" w:styleId="Jemnodkaz">
    <w:name w:val="Subtle Reference"/>
    <w:basedOn w:val="Predvolenpsmoodseku"/>
    <w:uiPriority w:val="31"/>
    <w:qFormat/>
    <w:rsid w:val="009C3109"/>
    <w:rPr>
      <w:smallCaps/>
      <w:color w:val="C0504D" w:themeColor="accent2"/>
      <w:u w:val="singl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C310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C3109"/>
    <w:rPr>
      <w:rFonts w:ascii="Cambria" w:eastAsia="Times New Roman" w:hAnsi="Cambria" w:cs="Cambria"/>
      <w:b/>
      <w:bCs/>
      <w:i/>
      <w:iCs/>
      <w:color w:val="4F81BD" w:themeColor="accent1"/>
      <w:lang w:val="en-US"/>
    </w:rPr>
  </w:style>
  <w:style w:type="paragraph" w:styleId="Bezriadkovania">
    <w:name w:val="No Spacing"/>
    <w:uiPriority w:val="1"/>
    <w:qFormat/>
    <w:rsid w:val="009C3109"/>
    <w:pPr>
      <w:spacing w:after="0" w:line="240" w:lineRule="auto"/>
    </w:pPr>
    <w:rPr>
      <w:rFonts w:ascii="Cambria" w:eastAsia="Times New Roman" w:hAnsi="Cambria" w:cs="Cambria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9C31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9C31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Nzov">
    <w:name w:val="Title"/>
    <w:basedOn w:val="Normlny"/>
    <w:next w:val="Normlny"/>
    <w:link w:val="NzovChar"/>
    <w:uiPriority w:val="10"/>
    <w:qFormat/>
    <w:rsid w:val="009C310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9C310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C310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9C310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/>
    </w:rPr>
  </w:style>
  <w:style w:type="character" w:styleId="Jemnzvraznenie">
    <w:name w:val="Subtle Emphasis"/>
    <w:basedOn w:val="Predvolenpsmoodseku"/>
    <w:uiPriority w:val="19"/>
    <w:qFormat/>
    <w:rsid w:val="009C3109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9C3109"/>
    <w:rPr>
      <w:i/>
      <w:iCs/>
    </w:rPr>
  </w:style>
  <w:style w:type="character" w:styleId="Siln">
    <w:name w:val="Strong"/>
    <w:basedOn w:val="Predvolenpsmoodseku"/>
    <w:uiPriority w:val="22"/>
    <w:qFormat/>
    <w:rsid w:val="009C310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5DC"/>
    <w:rPr>
      <w:rFonts w:ascii="Cambria" w:eastAsia="Times New Roman" w:hAnsi="Cambria" w:cs="Cambria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31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C310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4F45DC"/>
    <w:pPr>
      <w:ind w:right="-79"/>
      <w:jc w:val="both"/>
    </w:pPr>
    <w:rPr>
      <w:rFonts w:ascii="Arial" w:hAnsi="Arial" w:cs="Arial"/>
      <w:color w:val="000000"/>
    </w:rPr>
  </w:style>
  <w:style w:type="paragraph" w:customStyle="1" w:styleId="abc">
    <w:name w:val="abc"/>
    <w:basedOn w:val="Normlny"/>
    <w:autoRedefine/>
    <w:uiPriority w:val="99"/>
    <w:rsid w:val="004F45DC"/>
    <w:pPr>
      <w:spacing w:before="60" w:after="120"/>
      <w:ind w:left="465"/>
      <w:jc w:val="both"/>
    </w:pPr>
  </w:style>
  <w:style w:type="character" w:customStyle="1" w:styleId="Intenzvnezvraznenie1">
    <w:name w:val="Intenzívne zvýraznenie1"/>
    <w:basedOn w:val="Predvolenpsmoodseku"/>
    <w:uiPriority w:val="99"/>
    <w:qFormat/>
    <w:rsid w:val="004F45DC"/>
    <w:rPr>
      <w:rFonts w:ascii="Times New Roman" w:hAnsi="Times New Roman" w:cs="Times New Roman" w:hint="default"/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B97"/>
    <w:rPr>
      <w:rFonts w:ascii="Tahoma" w:eastAsia="Times New Roman" w:hAnsi="Tahoma" w:cs="Tahoma"/>
      <w:sz w:val="16"/>
      <w:szCs w:val="16"/>
      <w:lang w:val="en-US"/>
    </w:rPr>
  </w:style>
  <w:style w:type="character" w:styleId="Jemnodkaz">
    <w:name w:val="Subtle Reference"/>
    <w:basedOn w:val="Predvolenpsmoodseku"/>
    <w:uiPriority w:val="31"/>
    <w:qFormat/>
    <w:rsid w:val="009C3109"/>
    <w:rPr>
      <w:smallCaps/>
      <w:color w:val="C0504D" w:themeColor="accent2"/>
      <w:u w:val="singl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C310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C3109"/>
    <w:rPr>
      <w:rFonts w:ascii="Cambria" w:eastAsia="Times New Roman" w:hAnsi="Cambria" w:cs="Cambria"/>
      <w:b/>
      <w:bCs/>
      <w:i/>
      <w:iCs/>
      <w:color w:val="4F81BD" w:themeColor="accent1"/>
      <w:lang w:val="en-US"/>
    </w:rPr>
  </w:style>
  <w:style w:type="paragraph" w:styleId="Bezriadkovania">
    <w:name w:val="No Spacing"/>
    <w:uiPriority w:val="1"/>
    <w:qFormat/>
    <w:rsid w:val="009C3109"/>
    <w:pPr>
      <w:spacing w:after="0" w:line="240" w:lineRule="auto"/>
    </w:pPr>
    <w:rPr>
      <w:rFonts w:ascii="Cambria" w:eastAsia="Times New Roman" w:hAnsi="Cambria" w:cs="Cambria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9C31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9C31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Nzov">
    <w:name w:val="Title"/>
    <w:basedOn w:val="Normlny"/>
    <w:next w:val="Normlny"/>
    <w:link w:val="NzovChar"/>
    <w:uiPriority w:val="10"/>
    <w:qFormat/>
    <w:rsid w:val="009C310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9C310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C310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9C310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/>
    </w:rPr>
  </w:style>
  <w:style w:type="character" w:styleId="Jemnzvraznenie">
    <w:name w:val="Subtle Emphasis"/>
    <w:basedOn w:val="Predvolenpsmoodseku"/>
    <w:uiPriority w:val="19"/>
    <w:qFormat/>
    <w:rsid w:val="009C3109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9C3109"/>
    <w:rPr>
      <w:i/>
      <w:iCs/>
    </w:rPr>
  </w:style>
  <w:style w:type="character" w:styleId="Siln">
    <w:name w:val="Strong"/>
    <w:basedOn w:val="Predvolenpsmoodseku"/>
    <w:uiPriority w:val="22"/>
    <w:qFormat/>
    <w:rsid w:val="009C31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2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1422</Words>
  <Characters>8107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18</cp:revision>
  <cp:lastPrinted>2015-06-03T06:37:00Z</cp:lastPrinted>
  <dcterms:created xsi:type="dcterms:W3CDTF">2015-05-11T05:30:00Z</dcterms:created>
  <dcterms:modified xsi:type="dcterms:W3CDTF">2016-06-13T11:42:00Z</dcterms:modified>
</cp:coreProperties>
</file>