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62B9" w:rsidRDefault="00A362B9" w:rsidP="00A362B9">
      <w:pPr>
        <w:jc w:val="center"/>
        <w:rPr>
          <w:b/>
          <w:bCs/>
          <w:sz w:val="22"/>
          <w:szCs w:val="22"/>
        </w:rPr>
      </w:pPr>
      <w:r>
        <w:rPr>
          <w:b/>
          <w:bCs/>
          <w:sz w:val="22"/>
          <w:szCs w:val="22"/>
        </w:rPr>
        <w:t xml:space="preserve">Poznámky ku konsolidovanej účtovnej závierke </w:t>
      </w:r>
    </w:p>
    <w:p w:rsidR="00A362B9" w:rsidRDefault="00A362B9" w:rsidP="00A362B9">
      <w:pPr>
        <w:rPr>
          <w:sz w:val="22"/>
          <w:szCs w:val="22"/>
        </w:rPr>
      </w:pPr>
    </w:p>
    <w:p w:rsidR="00A362B9" w:rsidRDefault="00A362B9" w:rsidP="00A362B9">
      <w:pPr>
        <w:jc w:val="center"/>
        <w:rPr>
          <w:sz w:val="22"/>
          <w:szCs w:val="22"/>
        </w:rPr>
      </w:pPr>
    </w:p>
    <w:p w:rsidR="00A362B9" w:rsidRDefault="00A362B9" w:rsidP="00A362B9">
      <w:pPr>
        <w:jc w:val="center"/>
        <w:rPr>
          <w:sz w:val="22"/>
          <w:szCs w:val="22"/>
        </w:rPr>
      </w:pPr>
      <w:r>
        <w:rPr>
          <w:sz w:val="22"/>
          <w:szCs w:val="22"/>
        </w:rPr>
        <w:t>Poznámky k 31.12.201</w:t>
      </w:r>
      <w:r>
        <w:rPr>
          <w:sz w:val="22"/>
          <w:szCs w:val="22"/>
        </w:rPr>
        <w:t>5</w:t>
      </w:r>
    </w:p>
    <w:p w:rsidR="00A362B9" w:rsidRDefault="00A362B9" w:rsidP="00A362B9">
      <w:pPr>
        <w:jc w:val="center"/>
        <w:rPr>
          <w:sz w:val="22"/>
          <w:szCs w:val="22"/>
        </w:rPr>
      </w:pPr>
    </w:p>
    <w:p w:rsidR="00A362B9" w:rsidRDefault="00A362B9" w:rsidP="00A362B9">
      <w:pPr>
        <w:jc w:val="center"/>
        <w:rPr>
          <w:b/>
          <w:sz w:val="22"/>
          <w:szCs w:val="22"/>
        </w:rPr>
      </w:pPr>
      <w:r>
        <w:rPr>
          <w:b/>
          <w:sz w:val="22"/>
          <w:szCs w:val="22"/>
        </w:rPr>
        <w:t>Čl. I</w:t>
      </w:r>
    </w:p>
    <w:p w:rsidR="00A362B9" w:rsidRDefault="00A362B9" w:rsidP="00A362B9">
      <w:pPr>
        <w:jc w:val="center"/>
        <w:rPr>
          <w:b/>
          <w:sz w:val="22"/>
          <w:szCs w:val="22"/>
        </w:rPr>
      </w:pPr>
      <w:r>
        <w:rPr>
          <w:b/>
          <w:sz w:val="22"/>
          <w:szCs w:val="22"/>
        </w:rPr>
        <w:t>VŠEOBECNÉ ÚDAJE</w:t>
      </w:r>
    </w:p>
    <w:p w:rsidR="00A362B9" w:rsidRDefault="00A362B9" w:rsidP="00A362B9">
      <w:pPr>
        <w:jc w:val="center"/>
        <w:rPr>
          <w:b/>
          <w:sz w:val="22"/>
          <w:szCs w:val="22"/>
        </w:rPr>
      </w:pPr>
    </w:p>
    <w:p w:rsidR="00A362B9" w:rsidRDefault="00A362B9" w:rsidP="00A362B9">
      <w:pPr>
        <w:rPr>
          <w:i/>
          <w:sz w:val="22"/>
          <w:szCs w:val="22"/>
          <w:u w:val="single"/>
        </w:rPr>
      </w:pPr>
      <w:r>
        <w:rPr>
          <w:i/>
          <w:sz w:val="22"/>
          <w:szCs w:val="22"/>
          <w:u w:val="single"/>
        </w:rPr>
        <w:t xml:space="preserve">Identifikačné údaje konsolidujúcej účtovnej jednotky </w:t>
      </w:r>
    </w:p>
    <w:p w:rsidR="00A362B9" w:rsidRDefault="00A362B9" w:rsidP="00A362B9">
      <w:pPr>
        <w:rPr>
          <w:sz w:val="22"/>
          <w:szCs w:val="22"/>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A362B9" w:rsidTr="00A362B9">
        <w:tc>
          <w:tcPr>
            <w:tcW w:w="4781" w:type="dxa"/>
            <w:tcBorders>
              <w:top w:val="single" w:sz="4" w:space="0" w:color="auto"/>
              <w:left w:val="single" w:sz="4" w:space="0" w:color="auto"/>
              <w:bottom w:val="single" w:sz="4" w:space="0" w:color="auto"/>
              <w:right w:val="single" w:sz="4" w:space="0" w:color="auto"/>
            </w:tcBorders>
            <w:vAlign w:val="center"/>
            <w:hideMark/>
          </w:tcPr>
          <w:p w:rsidR="00A362B9" w:rsidRDefault="00A362B9">
            <w:pPr>
              <w:spacing w:line="360" w:lineRule="auto"/>
              <w:jc w:val="both"/>
              <w:rPr>
                <w:sz w:val="22"/>
                <w:szCs w:val="22"/>
                <w:lang w:eastAsia="en-US"/>
              </w:rPr>
            </w:pPr>
            <w:r>
              <w:rPr>
                <w:sz w:val="22"/>
                <w:szCs w:val="22"/>
                <w:lang w:eastAsia="en-US"/>
              </w:rPr>
              <w:t>Názov konsolidujúcej účtovnej jednotky</w:t>
            </w:r>
          </w:p>
        </w:tc>
        <w:tc>
          <w:tcPr>
            <w:tcW w:w="5479" w:type="dxa"/>
            <w:tcBorders>
              <w:top w:val="single" w:sz="4" w:space="0" w:color="auto"/>
              <w:left w:val="single" w:sz="4" w:space="0" w:color="auto"/>
              <w:bottom w:val="single" w:sz="4" w:space="0" w:color="auto"/>
              <w:right w:val="single" w:sz="4" w:space="0" w:color="auto"/>
            </w:tcBorders>
            <w:hideMark/>
          </w:tcPr>
          <w:p w:rsidR="00A362B9" w:rsidRDefault="00A362B9">
            <w:pPr>
              <w:spacing w:line="360" w:lineRule="auto"/>
              <w:jc w:val="both"/>
              <w:rPr>
                <w:sz w:val="22"/>
                <w:szCs w:val="22"/>
                <w:lang w:eastAsia="en-US"/>
              </w:rPr>
            </w:pPr>
            <w:r>
              <w:rPr>
                <w:sz w:val="22"/>
                <w:szCs w:val="22"/>
                <w:lang w:eastAsia="en-US"/>
              </w:rPr>
              <w:t>Obec Brzotín</w:t>
            </w:r>
          </w:p>
        </w:tc>
      </w:tr>
      <w:tr w:rsidR="00A362B9" w:rsidTr="00A362B9">
        <w:tc>
          <w:tcPr>
            <w:tcW w:w="4781" w:type="dxa"/>
            <w:tcBorders>
              <w:top w:val="single" w:sz="4" w:space="0" w:color="auto"/>
              <w:left w:val="single" w:sz="4" w:space="0" w:color="auto"/>
              <w:bottom w:val="single" w:sz="4" w:space="0" w:color="auto"/>
              <w:right w:val="single" w:sz="4" w:space="0" w:color="auto"/>
            </w:tcBorders>
            <w:vAlign w:val="center"/>
            <w:hideMark/>
          </w:tcPr>
          <w:p w:rsidR="00A362B9" w:rsidRDefault="00A362B9">
            <w:pPr>
              <w:spacing w:line="360" w:lineRule="auto"/>
              <w:jc w:val="both"/>
              <w:rPr>
                <w:sz w:val="22"/>
                <w:szCs w:val="22"/>
                <w:lang w:eastAsia="en-US"/>
              </w:rPr>
            </w:pPr>
            <w:r>
              <w:rPr>
                <w:sz w:val="22"/>
                <w:szCs w:val="22"/>
                <w:lang w:eastAsia="en-US"/>
              </w:rPr>
              <w:t>Sídlo konsolidujúcej účtovnej jednotky</w:t>
            </w:r>
          </w:p>
        </w:tc>
        <w:tc>
          <w:tcPr>
            <w:tcW w:w="5479" w:type="dxa"/>
            <w:tcBorders>
              <w:top w:val="single" w:sz="4" w:space="0" w:color="auto"/>
              <w:left w:val="single" w:sz="4" w:space="0" w:color="auto"/>
              <w:bottom w:val="single" w:sz="4" w:space="0" w:color="auto"/>
              <w:right w:val="single" w:sz="4" w:space="0" w:color="auto"/>
            </w:tcBorders>
            <w:hideMark/>
          </w:tcPr>
          <w:p w:rsidR="00A362B9" w:rsidRDefault="00A362B9">
            <w:pPr>
              <w:spacing w:line="360" w:lineRule="auto"/>
              <w:jc w:val="both"/>
              <w:rPr>
                <w:sz w:val="22"/>
                <w:szCs w:val="22"/>
                <w:lang w:eastAsia="en-US"/>
              </w:rPr>
            </w:pPr>
            <w:proofErr w:type="spellStart"/>
            <w:r>
              <w:rPr>
                <w:sz w:val="24"/>
                <w:szCs w:val="24"/>
                <w:lang w:eastAsia="en-US"/>
              </w:rPr>
              <w:t>Máriássyho</w:t>
            </w:r>
            <w:proofErr w:type="spellEnd"/>
            <w:r>
              <w:rPr>
                <w:sz w:val="24"/>
                <w:szCs w:val="24"/>
                <w:lang w:eastAsia="en-US"/>
              </w:rPr>
              <w:t xml:space="preserve"> námestie 167, Brzotín</w:t>
            </w:r>
          </w:p>
        </w:tc>
      </w:tr>
      <w:tr w:rsidR="00A362B9" w:rsidTr="00A362B9">
        <w:tc>
          <w:tcPr>
            <w:tcW w:w="4781" w:type="dxa"/>
            <w:tcBorders>
              <w:top w:val="single" w:sz="4" w:space="0" w:color="auto"/>
              <w:left w:val="single" w:sz="4" w:space="0" w:color="auto"/>
              <w:bottom w:val="single" w:sz="4" w:space="0" w:color="auto"/>
              <w:right w:val="single" w:sz="4" w:space="0" w:color="auto"/>
            </w:tcBorders>
            <w:vAlign w:val="center"/>
            <w:hideMark/>
          </w:tcPr>
          <w:p w:rsidR="00A362B9" w:rsidRDefault="00A362B9">
            <w:pPr>
              <w:spacing w:line="360" w:lineRule="auto"/>
              <w:jc w:val="both"/>
              <w:rPr>
                <w:sz w:val="22"/>
                <w:szCs w:val="22"/>
                <w:lang w:eastAsia="en-US"/>
              </w:rPr>
            </w:pPr>
            <w:r>
              <w:rPr>
                <w:sz w:val="22"/>
                <w:szCs w:val="22"/>
                <w:lang w:eastAsia="en-US"/>
              </w:rPr>
              <w:t>Dátum založenia</w:t>
            </w:r>
          </w:p>
        </w:tc>
        <w:tc>
          <w:tcPr>
            <w:tcW w:w="5479" w:type="dxa"/>
            <w:tcBorders>
              <w:top w:val="single" w:sz="4" w:space="0" w:color="auto"/>
              <w:left w:val="single" w:sz="4" w:space="0" w:color="auto"/>
              <w:bottom w:val="single" w:sz="4" w:space="0" w:color="auto"/>
              <w:right w:val="single" w:sz="4" w:space="0" w:color="auto"/>
            </w:tcBorders>
          </w:tcPr>
          <w:p w:rsidR="00A362B9" w:rsidRDefault="00A362B9">
            <w:pPr>
              <w:spacing w:line="360" w:lineRule="auto"/>
              <w:jc w:val="both"/>
              <w:rPr>
                <w:sz w:val="22"/>
                <w:szCs w:val="22"/>
                <w:lang w:eastAsia="en-US"/>
              </w:rPr>
            </w:pPr>
          </w:p>
        </w:tc>
      </w:tr>
      <w:tr w:rsidR="00A362B9" w:rsidTr="00A362B9">
        <w:tc>
          <w:tcPr>
            <w:tcW w:w="4781" w:type="dxa"/>
            <w:tcBorders>
              <w:top w:val="single" w:sz="4" w:space="0" w:color="auto"/>
              <w:left w:val="single" w:sz="4" w:space="0" w:color="auto"/>
              <w:bottom w:val="single" w:sz="4" w:space="0" w:color="auto"/>
              <w:right w:val="single" w:sz="4" w:space="0" w:color="auto"/>
            </w:tcBorders>
            <w:vAlign w:val="center"/>
            <w:hideMark/>
          </w:tcPr>
          <w:p w:rsidR="00A362B9" w:rsidRDefault="00A362B9">
            <w:pPr>
              <w:spacing w:line="360" w:lineRule="auto"/>
              <w:jc w:val="both"/>
              <w:rPr>
                <w:sz w:val="22"/>
                <w:szCs w:val="22"/>
                <w:lang w:eastAsia="en-US"/>
              </w:rPr>
            </w:pPr>
            <w:r>
              <w:rPr>
                <w:sz w:val="22"/>
                <w:szCs w:val="22"/>
                <w:lang w:eastAsia="en-US"/>
              </w:rPr>
              <w:t>Dátum vzniku</w:t>
            </w:r>
          </w:p>
        </w:tc>
        <w:tc>
          <w:tcPr>
            <w:tcW w:w="5479" w:type="dxa"/>
            <w:tcBorders>
              <w:top w:val="single" w:sz="4" w:space="0" w:color="auto"/>
              <w:left w:val="single" w:sz="4" w:space="0" w:color="auto"/>
              <w:bottom w:val="single" w:sz="4" w:space="0" w:color="auto"/>
              <w:right w:val="single" w:sz="4" w:space="0" w:color="auto"/>
            </w:tcBorders>
          </w:tcPr>
          <w:p w:rsidR="00A362B9" w:rsidRDefault="00A362B9">
            <w:pPr>
              <w:spacing w:line="360" w:lineRule="auto"/>
              <w:jc w:val="both"/>
              <w:rPr>
                <w:sz w:val="22"/>
                <w:szCs w:val="22"/>
                <w:lang w:eastAsia="en-US"/>
              </w:rPr>
            </w:pPr>
          </w:p>
        </w:tc>
      </w:tr>
      <w:tr w:rsidR="00A362B9" w:rsidTr="00A362B9">
        <w:tc>
          <w:tcPr>
            <w:tcW w:w="4781" w:type="dxa"/>
            <w:tcBorders>
              <w:top w:val="single" w:sz="4" w:space="0" w:color="auto"/>
              <w:left w:val="single" w:sz="4" w:space="0" w:color="auto"/>
              <w:bottom w:val="single" w:sz="4" w:space="0" w:color="auto"/>
              <w:right w:val="single" w:sz="4" w:space="0" w:color="auto"/>
            </w:tcBorders>
            <w:vAlign w:val="center"/>
            <w:hideMark/>
          </w:tcPr>
          <w:p w:rsidR="00A362B9" w:rsidRDefault="00A362B9">
            <w:pPr>
              <w:spacing w:line="360" w:lineRule="auto"/>
              <w:jc w:val="both"/>
              <w:rPr>
                <w:sz w:val="22"/>
                <w:szCs w:val="22"/>
                <w:lang w:eastAsia="en-US"/>
              </w:rPr>
            </w:pPr>
            <w:r>
              <w:rPr>
                <w:sz w:val="22"/>
                <w:szCs w:val="22"/>
                <w:lang w:eastAsia="en-US"/>
              </w:rPr>
              <w:t>IČO</w:t>
            </w:r>
          </w:p>
        </w:tc>
        <w:tc>
          <w:tcPr>
            <w:tcW w:w="5479" w:type="dxa"/>
            <w:tcBorders>
              <w:top w:val="single" w:sz="4" w:space="0" w:color="auto"/>
              <w:left w:val="single" w:sz="4" w:space="0" w:color="auto"/>
              <w:bottom w:val="single" w:sz="4" w:space="0" w:color="auto"/>
              <w:right w:val="single" w:sz="4" w:space="0" w:color="auto"/>
            </w:tcBorders>
            <w:hideMark/>
          </w:tcPr>
          <w:p w:rsidR="00A362B9" w:rsidRDefault="00A362B9">
            <w:pPr>
              <w:spacing w:line="360" w:lineRule="auto"/>
              <w:jc w:val="both"/>
              <w:rPr>
                <w:sz w:val="22"/>
                <w:szCs w:val="22"/>
                <w:lang w:eastAsia="en-US"/>
              </w:rPr>
            </w:pPr>
            <w:r>
              <w:rPr>
                <w:sz w:val="24"/>
                <w:szCs w:val="24"/>
                <w:lang w:eastAsia="en-US"/>
              </w:rPr>
              <w:t>00594768</w:t>
            </w:r>
          </w:p>
        </w:tc>
      </w:tr>
      <w:tr w:rsidR="00A362B9" w:rsidTr="00A362B9">
        <w:tc>
          <w:tcPr>
            <w:tcW w:w="4781" w:type="dxa"/>
            <w:tcBorders>
              <w:top w:val="single" w:sz="4" w:space="0" w:color="auto"/>
              <w:left w:val="single" w:sz="4" w:space="0" w:color="auto"/>
              <w:bottom w:val="single" w:sz="4" w:space="0" w:color="auto"/>
              <w:right w:val="single" w:sz="4" w:space="0" w:color="auto"/>
            </w:tcBorders>
            <w:vAlign w:val="center"/>
            <w:hideMark/>
          </w:tcPr>
          <w:p w:rsidR="00A362B9" w:rsidRDefault="00A362B9">
            <w:pPr>
              <w:spacing w:line="360" w:lineRule="auto"/>
              <w:jc w:val="both"/>
              <w:rPr>
                <w:sz w:val="22"/>
                <w:szCs w:val="22"/>
                <w:lang w:eastAsia="en-US"/>
              </w:rPr>
            </w:pPr>
            <w:r>
              <w:rPr>
                <w:sz w:val="22"/>
                <w:szCs w:val="22"/>
                <w:lang w:eastAsia="en-US"/>
              </w:rPr>
              <w:t>DIČ</w:t>
            </w:r>
          </w:p>
        </w:tc>
        <w:tc>
          <w:tcPr>
            <w:tcW w:w="5479" w:type="dxa"/>
            <w:tcBorders>
              <w:top w:val="single" w:sz="4" w:space="0" w:color="auto"/>
              <w:left w:val="single" w:sz="4" w:space="0" w:color="auto"/>
              <w:bottom w:val="single" w:sz="4" w:space="0" w:color="auto"/>
              <w:right w:val="single" w:sz="4" w:space="0" w:color="auto"/>
            </w:tcBorders>
            <w:hideMark/>
          </w:tcPr>
          <w:p w:rsidR="00A362B9" w:rsidRDefault="00A362B9">
            <w:pPr>
              <w:spacing w:line="360" w:lineRule="auto"/>
              <w:jc w:val="both"/>
              <w:rPr>
                <w:sz w:val="22"/>
                <w:szCs w:val="22"/>
                <w:lang w:eastAsia="en-US"/>
              </w:rPr>
            </w:pPr>
            <w:r>
              <w:rPr>
                <w:sz w:val="24"/>
                <w:szCs w:val="24"/>
                <w:lang w:eastAsia="en-US"/>
              </w:rPr>
              <w:t>2020937512</w:t>
            </w:r>
          </w:p>
        </w:tc>
      </w:tr>
    </w:tbl>
    <w:p w:rsidR="00A362B9" w:rsidRDefault="00A362B9" w:rsidP="00A362B9">
      <w:pPr>
        <w:jc w:val="center"/>
        <w:rPr>
          <w:sz w:val="22"/>
          <w:szCs w:val="22"/>
        </w:rPr>
      </w:pPr>
    </w:p>
    <w:p w:rsidR="00A362B9" w:rsidRDefault="00A362B9" w:rsidP="00A362B9">
      <w:pPr>
        <w:ind w:right="-567"/>
        <w:jc w:val="both"/>
        <w:rPr>
          <w:i/>
          <w:sz w:val="22"/>
          <w:szCs w:val="22"/>
          <w:u w:val="single"/>
        </w:rPr>
      </w:pPr>
      <w:r>
        <w:rPr>
          <w:i/>
          <w:sz w:val="22"/>
          <w:szCs w:val="22"/>
          <w:u w:val="single"/>
        </w:rPr>
        <w:t>Identifikačné údaje konsolidovaných účtovných jednotiek</w:t>
      </w:r>
    </w:p>
    <w:p w:rsidR="00A362B9" w:rsidRDefault="00A362B9" w:rsidP="00A362B9">
      <w:pPr>
        <w:ind w:right="-567"/>
        <w:jc w:val="both"/>
        <w:rPr>
          <w:i/>
          <w:sz w:val="22"/>
          <w:szCs w:val="22"/>
          <w:u w:val="single"/>
        </w:rPr>
      </w:pPr>
    </w:p>
    <w:p w:rsidR="00A362B9" w:rsidRDefault="00A362B9" w:rsidP="00A362B9">
      <w:pPr>
        <w:ind w:right="-567"/>
        <w:jc w:val="both"/>
        <w:rPr>
          <w:sz w:val="22"/>
          <w:szCs w:val="22"/>
        </w:rPr>
      </w:pPr>
      <w:r>
        <w:rPr>
          <w:sz w:val="22"/>
          <w:szCs w:val="22"/>
        </w:rPr>
        <w:t xml:space="preserve">Obec má v zriaďovateľskej pôsobnosti Základnú školu s materskou školou v Brzotíne. V konsolidovanom  celku obce je jedna rozpočtová organizácia.                                                                                                                                                                                                                                                                                                                                                                                                                                                                </w:t>
      </w:r>
    </w:p>
    <w:p w:rsidR="00A362B9" w:rsidRDefault="00A362B9" w:rsidP="00A362B9">
      <w:pPr>
        <w:jc w:val="both"/>
        <w:rPr>
          <w:sz w:val="22"/>
          <w:szCs w:val="22"/>
        </w:rPr>
      </w:pPr>
      <w:r>
        <w:rPr>
          <w:sz w:val="22"/>
          <w:szCs w:val="22"/>
        </w:rPr>
        <w:t>Konsolidovaný celok obce sa v roku 201</w:t>
      </w:r>
      <w:r>
        <w:rPr>
          <w:sz w:val="22"/>
          <w:szCs w:val="22"/>
        </w:rPr>
        <w:t>5</w:t>
      </w:r>
      <w:r>
        <w:rPr>
          <w:sz w:val="22"/>
          <w:szCs w:val="22"/>
        </w:rPr>
        <w:t xml:space="preserve"> oproti minulým účtovným obdobiam nezmenil.</w:t>
      </w:r>
    </w:p>
    <w:p w:rsidR="00A362B9" w:rsidRDefault="00A362B9" w:rsidP="00A362B9">
      <w:pPr>
        <w:jc w:val="both"/>
        <w:rPr>
          <w:sz w:val="22"/>
          <w:szCs w:val="22"/>
        </w:rPr>
      </w:pPr>
    </w:p>
    <w:p w:rsidR="00A362B9" w:rsidRDefault="00A362B9" w:rsidP="00A362B9">
      <w:pPr>
        <w:jc w:val="both"/>
        <w:rPr>
          <w:i/>
          <w:sz w:val="22"/>
          <w:szCs w:val="22"/>
        </w:rPr>
      </w:pPr>
      <w:r>
        <w:rPr>
          <w:sz w:val="22"/>
          <w:szCs w:val="22"/>
        </w:rPr>
        <w:t xml:space="preserve">Prehľad o účtovných jednotkách konsolidovaného celku je uvedený v prílohe, v tabuľkovej časti </w:t>
      </w:r>
      <w:r>
        <w:rPr>
          <w:i/>
          <w:sz w:val="22"/>
          <w:szCs w:val="22"/>
        </w:rPr>
        <w:t>Údaje o konsolidovanom celku.</w:t>
      </w:r>
    </w:p>
    <w:p w:rsidR="00A362B9" w:rsidRDefault="00A362B9" w:rsidP="00A362B9">
      <w:pPr>
        <w:jc w:val="both"/>
        <w:rPr>
          <w:i/>
          <w:sz w:val="22"/>
          <w:szCs w:val="22"/>
        </w:rPr>
      </w:pPr>
    </w:p>
    <w:p w:rsidR="00A362B9" w:rsidRDefault="00A362B9" w:rsidP="00A362B9">
      <w:pPr>
        <w:jc w:val="both"/>
        <w:rPr>
          <w:sz w:val="22"/>
          <w:szCs w:val="22"/>
        </w:rPr>
      </w:pPr>
      <w:r>
        <w:rPr>
          <w:sz w:val="22"/>
          <w:szCs w:val="22"/>
        </w:rPr>
        <w:t>Konsolidovaná účtovná závierka konsolidovaného celku obce k 31.decembru 201</w:t>
      </w:r>
      <w:r>
        <w:rPr>
          <w:sz w:val="22"/>
          <w:szCs w:val="22"/>
        </w:rPr>
        <w:t>5</w:t>
      </w:r>
      <w:r>
        <w:rPr>
          <w:sz w:val="22"/>
          <w:szCs w:val="22"/>
        </w:rPr>
        <w:t xml:space="preserve"> je zostavená ako riadna konsolidovaná účtovná závierka podľa zákona č. 431/2002 </w:t>
      </w:r>
      <w:proofErr w:type="spellStart"/>
      <w:r>
        <w:rPr>
          <w:sz w:val="22"/>
          <w:szCs w:val="22"/>
        </w:rPr>
        <w:t>Z.z</w:t>
      </w:r>
      <w:proofErr w:type="spellEnd"/>
      <w:r>
        <w:rPr>
          <w:sz w:val="22"/>
          <w:szCs w:val="22"/>
        </w:rPr>
        <w:t>. o účtovníctve v znení neskorších predpisov, za účtovné obdobie od 01. januára 201</w:t>
      </w:r>
      <w:r>
        <w:rPr>
          <w:sz w:val="22"/>
          <w:szCs w:val="22"/>
        </w:rPr>
        <w:t>5</w:t>
      </w:r>
      <w:r>
        <w:rPr>
          <w:sz w:val="22"/>
          <w:szCs w:val="22"/>
        </w:rPr>
        <w:t xml:space="preserve"> do 31. decembra 201</w:t>
      </w:r>
      <w:r>
        <w:rPr>
          <w:sz w:val="22"/>
          <w:szCs w:val="22"/>
        </w:rPr>
        <w:t>5</w:t>
      </w:r>
      <w:r>
        <w:rPr>
          <w:sz w:val="22"/>
          <w:szCs w:val="22"/>
        </w:rPr>
        <w:t>.</w:t>
      </w:r>
    </w:p>
    <w:p w:rsidR="00A362B9" w:rsidRDefault="00A362B9" w:rsidP="00A362B9">
      <w:pPr>
        <w:jc w:val="center"/>
        <w:rPr>
          <w:sz w:val="22"/>
          <w:szCs w:val="22"/>
        </w:rPr>
      </w:pPr>
    </w:p>
    <w:p w:rsidR="00A362B9" w:rsidRDefault="00A362B9" w:rsidP="00A362B9">
      <w:pPr>
        <w:rPr>
          <w:sz w:val="22"/>
          <w:szCs w:val="22"/>
        </w:rPr>
      </w:pPr>
      <w:r>
        <w:rPr>
          <w:sz w:val="22"/>
          <w:szCs w:val="22"/>
        </w:rPr>
        <w:t>Obec je súčasťou súhrnného celku verejnej správy Slovenskej republiky.</w:t>
      </w:r>
    </w:p>
    <w:p w:rsidR="00A362B9" w:rsidRDefault="00A362B9" w:rsidP="00A362B9">
      <w:pPr>
        <w:rPr>
          <w:sz w:val="22"/>
          <w:szCs w:val="22"/>
        </w:rPr>
      </w:pPr>
    </w:p>
    <w:p w:rsidR="00A362B9" w:rsidRDefault="00A362B9" w:rsidP="00A362B9">
      <w:pPr>
        <w:rPr>
          <w:i/>
          <w:sz w:val="22"/>
          <w:szCs w:val="22"/>
          <w:u w:val="single"/>
        </w:rPr>
      </w:pPr>
      <w:r>
        <w:rPr>
          <w:i/>
          <w:sz w:val="22"/>
          <w:szCs w:val="22"/>
          <w:u w:val="single"/>
        </w:rPr>
        <w:t xml:space="preserve">Informácie o vedúcich predstaviteľoch a zamestnancoch konsolidovaného celku  </w:t>
      </w:r>
    </w:p>
    <w:p w:rsidR="00A362B9" w:rsidRDefault="00A362B9" w:rsidP="00A362B9">
      <w:pPr>
        <w:rPr>
          <w:i/>
          <w:sz w:val="22"/>
          <w:szCs w:val="22"/>
          <w:u w:val="single"/>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A362B9" w:rsidTr="00A362B9">
        <w:tc>
          <w:tcPr>
            <w:tcW w:w="4781" w:type="dxa"/>
            <w:tcBorders>
              <w:top w:val="single" w:sz="4" w:space="0" w:color="auto"/>
              <w:left w:val="single" w:sz="4" w:space="0" w:color="auto"/>
              <w:bottom w:val="single" w:sz="4" w:space="0" w:color="auto"/>
              <w:right w:val="single" w:sz="4" w:space="0" w:color="auto"/>
            </w:tcBorders>
            <w:vAlign w:val="center"/>
            <w:hideMark/>
          </w:tcPr>
          <w:p w:rsidR="00A362B9" w:rsidRDefault="00A362B9">
            <w:pPr>
              <w:spacing w:line="360" w:lineRule="auto"/>
              <w:jc w:val="both"/>
              <w:rPr>
                <w:sz w:val="22"/>
                <w:szCs w:val="22"/>
                <w:lang w:eastAsia="en-US"/>
              </w:rPr>
            </w:pPr>
            <w:r>
              <w:rPr>
                <w:sz w:val="22"/>
                <w:szCs w:val="22"/>
                <w:lang w:eastAsia="en-US"/>
              </w:rPr>
              <w:t>Starosta obce</w:t>
            </w:r>
          </w:p>
        </w:tc>
        <w:tc>
          <w:tcPr>
            <w:tcW w:w="5479" w:type="dxa"/>
            <w:tcBorders>
              <w:top w:val="single" w:sz="4" w:space="0" w:color="auto"/>
              <w:left w:val="single" w:sz="4" w:space="0" w:color="auto"/>
              <w:bottom w:val="single" w:sz="4" w:space="0" w:color="auto"/>
              <w:right w:val="single" w:sz="4" w:space="0" w:color="auto"/>
            </w:tcBorders>
            <w:hideMark/>
          </w:tcPr>
          <w:p w:rsidR="00A362B9" w:rsidRDefault="00A362B9">
            <w:pPr>
              <w:spacing w:line="360" w:lineRule="auto"/>
              <w:jc w:val="both"/>
              <w:rPr>
                <w:sz w:val="22"/>
                <w:szCs w:val="22"/>
                <w:lang w:eastAsia="en-US"/>
              </w:rPr>
            </w:pPr>
            <w:r>
              <w:rPr>
                <w:sz w:val="22"/>
                <w:szCs w:val="22"/>
                <w:lang w:eastAsia="en-US"/>
              </w:rPr>
              <w:t xml:space="preserve">Pavol </w:t>
            </w:r>
            <w:proofErr w:type="spellStart"/>
            <w:r>
              <w:rPr>
                <w:sz w:val="22"/>
                <w:szCs w:val="22"/>
                <w:lang w:eastAsia="en-US"/>
              </w:rPr>
              <w:t>Gášpár</w:t>
            </w:r>
            <w:proofErr w:type="spellEnd"/>
          </w:p>
        </w:tc>
      </w:tr>
      <w:tr w:rsidR="00A362B9" w:rsidTr="00A362B9">
        <w:tc>
          <w:tcPr>
            <w:tcW w:w="4781" w:type="dxa"/>
            <w:tcBorders>
              <w:top w:val="single" w:sz="4" w:space="0" w:color="auto"/>
              <w:left w:val="single" w:sz="4" w:space="0" w:color="auto"/>
              <w:bottom w:val="single" w:sz="4" w:space="0" w:color="auto"/>
              <w:right w:val="single" w:sz="4" w:space="0" w:color="auto"/>
            </w:tcBorders>
            <w:vAlign w:val="center"/>
            <w:hideMark/>
          </w:tcPr>
          <w:p w:rsidR="00A362B9" w:rsidRDefault="00A362B9">
            <w:pPr>
              <w:spacing w:line="360" w:lineRule="auto"/>
              <w:jc w:val="both"/>
              <w:rPr>
                <w:sz w:val="22"/>
                <w:szCs w:val="22"/>
                <w:lang w:eastAsia="en-US"/>
              </w:rPr>
            </w:pPr>
            <w:r>
              <w:rPr>
                <w:sz w:val="22"/>
                <w:szCs w:val="22"/>
                <w:lang w:eastAsia="en-US"/>
              </w:rPr>
              <w:t>Zástupca starostu</w:t>
            </w:r>
          </w:p>
        </w:tc>
        <w:tc>
          <w:tcPr>
            <w:tcW w:w="5479" w:type="dxa"/>
            <w:tcBorders>
              <w:top w:val="single" w:sz="4" w:space="0" w:color="auto"/>
              <w:left w:val="single" w:sz="4" w:space="0" w:color="auto"/>
              <w:bottom w:val="single" w:sz="4" w:space="0" w:color="auto"/>
              <w:right w:val="single" w:sz="4" w:space="0" w:color="auto"/>
            </w:tcBorders>
            <w:hideMark/>
          </w:tcPr>
          <w:p w:rsidR="00A362B9" w:rsidRDefault="00A362B9">
            <w:pPr>
              <w:spacing w:line="360" w:lineRule="auto"/>
              <w:jc w:val="both"/>
              <w:rPr>
                <w:sz w:val="22"/>
                <w:szCs w:val="22"/>
                <w:lang w:eastAsia="en-US"/>
              </w:rPr>
            </w:pPr>
            <w:proofErr w:type="spellStart"/>
            <w:r>
              <w:rPr>
                <w:sz w:val="24"/>
                <w:szCs w:val="24"/>
                <w:lang w:eastAsia="en-US"/>
              </w:rPr>
              <w:t>Bc.Szilárd</w:t>
            </w:r>
            <w:proofErr w:type="spellEnd"/>
            <w:r>
              <w:rPr>
                <w:sz w:val="24"/>
                <w:szCs w:val="24"/>
                <w:lang w:eastAsia="en-US"/>
              </w:rPr>
              <w:t xml:space="preserve"> Szabó, MBA</w:t>
            </w:r>
          </w:p>
        </w:tc>
      </w:tr>
      <w:tr w:rsidR="00A362B9" w:rsidTr="00A362B9">
        <w:tc>
          <w:tcPr>
            <w:tcW w:w="4781" w:type="dxa"/>
            <w:tcBorders>
              <w:top w:val="single" w:sz="4" w:space="0" w:color="auto"/>
              <w:left w:val="single" w:sz="4" w:space="0" w:color="auto"/>
              <w:bottom w:val="single" w:sz="4" w:space="0" w:color="auto"/>
              <w:right w:val="single" w:sz="4" w:space="0" w:color="auto"/>
            </w:tcBorders>
            <w:vAlign w:val="center"/>
            <w:hideMark/>
          </w:tcPr>
          <w:p w:rsidR="00A362B9" w:rsidRDefault="00A362B9">
            <w:pPr>
              <w:spacing w:line="360" w:lineRule="auto"/>
              <w:jc w:val="both"/>
              <w:rPr>
                <w:sz w:val="22"/>
                <w:szCs w:val="22"/>
                <w:lang w:eastAsia="en-US"/>
              </w:rPr>
            </w:pPr>
            <w:r>
              <w:rPr>
                <w:sz w:val="22"/>
                <w:szCs w:val="22"/>
                <w:lang w:eastAsia="en-US"/>
              </w:rPr>
              <w:t>Hlavný kontrolór obce</w:t>
            </w:r>
          </w:p>
        </w:tc>
        <w:tc>
          <w:tcPr>
            <w:tcW w:w="5479" w:type="dxa"/>
            <w:tcBorders>
              <w:top w:val="single" w:sz="4" w:space="0" w:color="auto"/>
              <w:left w:val="single" w:sz="4" w:space="0" w:color="auto"/>
              <w:bottom w:val="single" w:sz="4" w:space="0" w:color="auto"/>
              <w:right w:val="single" w:sz="4" w:space="0" w:color="auto"/>
            </w:tcBorders>
            <w:hideMark/>
          </w:tcPr>
          <w:p w:rsidR="00A362B9" w:rsidRDefault="00A362B9">
            <w:pPr>
              <w:spacing w:line="360" w:lineRule="auto"/>
              <w:jc w:val="both"/>
              <w:rPr>
                <w:sz w:val="22"/>
                <w:szCs w:val="22"/>
                <w:lang w:eastAsia="en-US"/>
              </w:rPr>
            </w:pPr>
            <w:r>
              <w:rPr>
                <w:sz w:val="22"/>
                <w:szCs w:val="22"/>
                <w:lang w:eastAsia="en-US"/>
              </w:rPr>
              <w:t xml:space="preserve">Helena </w:t>
            </w:r>
            <w:proofErr w:type="spellStart"/>
            <w:r>
              <w:rPr>
                <w:sz w:val="22"/>
                <w:szCs w:val="22"/>
                <w:lang w:eastAsia="en-US"/>
              </w:rPr>
              <w:t>Vanyová</w:t>
            </w:r>
            <w:proofErr w:type="spellEnd"/>
          </w:p>
        </w:tc>
      </w:tr>
      <w:tr w:rsidR="00A362B9" w:rsidTr="00A362B9">
        <w:tc>
          <w:tcPr>
            <w:tcW w:w="4781" w:type="dxa"/>
            <w:tcBorders>
              <w:top w:val="single" w:sz="4" w:space="0" w:color="auto"/>
              <w:left w:val="single" w:sz="4" w:space="0" w:color="auto"/>
              <w:bottom w:val="single" w:sz="4" w:space="0" w:color="auto"/>
              <w:right w:val="single" w:sz="4" w:space="0" w:color="auto"/>
            </w:tcBorders>
            <w:vAlign w:val="center"/>
            <w:hideMark/>
          </w:tcPr>
          <w:p w:rsidR="00A362B9" w:rsidRDefault="00A362B9">
            <w:pPr>
              <w:spacing w:line="360" w:lineRule="auto"/>
              <w:jc w:val="both"/>
              <w:rPr>
                <w:sz w:val="22"/>
                <w:szCs w:val="22"/>
                <w:lang w:eastAsia="en-US"/>
              </w:rPr>
            </w:pPr>
            <w:r>
              <w:rPr>
                <w:sz w:val="22"/>
                <w:szCs w:val="22"/>
                <w:lang w:eastAsia="en-US"/>
              </w:rPr>
              <w:t>Priemerný počet zamestnancov konsolidovaného celku</w:t>
            </w:r>
          </w:p>
        </w:tc>
        <w:tc>
          <w:tcPr>
            <w:tcW w:w="5479" w:type="dxa"/>
            <w:tcBorders>
              <w:top w:val="single" w:sz="4" w:space="0" w:color="auto"/>
              <w:left w:val="single" w:sz="4" w:space="0" w:color="auto"/>
              <w:bottom w:val="single" w:sz="4" w:space="0" w:color="auto"/>
              <w:right w:val="single" w:sz="4" w:space="0" w:color="auto"/>
            </w:tcBorders>
            <w:hideMark/>
          </w:tcPr>
          <w:p w:rsidR="00A362B9" w:rsidRDefault="00A362B9">
            <w:pPr>
              <w:spacing w:line="360" w:lineRule="auto"/>
              <w:jc w:val="both"/>
              <w:rPr>
                <w:sz w:val="22"/>
                <w:szCs w:val="22"/>
                <w:lang w:eastAsia="en-US"/>
              </w:rPr>
            </w:pPr>
            <w:r>
              <w:rPr>
                <w:sz w:val="22"/>
                <w:szCs w:val="22"/>
                <w:lang w:eastAsia="en-US"/>
              </w:rPr>
              <w:t>35</w:t>
            </w:r>
          </w:p>
        </w:tc>
      </w:tr>
      <w:tr w:rsidR="00A362B9" w:rsidTr="00A362B9">
        <w:tc>
          <w:tcPr>
            <w:tcW w:w="4781" w:type="dxa"/>
            <w:tcBorders>
              <w:top w:val="single" w:sz="4" w:space="0" w:color="auto"/>
              <w:left w:val="single" w:sz="4" w:space="0" w:color="auto"/>
              <w:bottom w:val="single" w:sz="4" w:space="0" w:color="auto"/>
              <w:right w:val="single" w:sz="4" w:space="0" w:color="auto"/>
            </w:tcBorders>
            <w:vAlign w:val="center"/>
            <w:hideMark/>
          </w:tcPr>
          <w:p w:rsidR="00A362B9" w:rsidRDefault="00A362B9">
            <w:pPr>
              <w:spacing w:line="360" w:lineRule="auto"/>
              <w:jc w:val="both"/>
              <w:rPr>
                <w:sz w:val="22"/>
                <w:szCs w:val="22"/>
                <w:lang w:eastAsia="en-US"/>
              </w:rPr>
            </w:pPr>
            <w:r>
              <w:rPr>
                <w:sz w:val="22"/>
                <w:szCs w:val="22"/>
                <w:lang w:eastAsia="en-US"/>
              </w:rPr>
              <w:t xml:space="preserve">Počet vedúcich zamestnancov </w:t>
            </w:r>
          </w:p>
        </w:tc>
        <w:tc>
          <w:tcPr>
            <w:tcW w:w="5479" w:type="dxa"/>
            <w:tcBorders>
              <w:top w:val="single" w:sz="4" w:space="0" w:color="auto"/>
              <w:left w:val="single" w:sz="4" w:space="0" w:color="auto"/>
              <w:bottom w:val="single" w:sz="4" w:space="0" w:color="auto"/>
              <w:right w:val="single" w:sz="4" w:space="0" w:color="auto"/>
            </w:tcBorders>
            <w:hideMark/>
          </w:tcPr>
          <w:p w:rsidR="00A362B9" w:rsidRDefault="00A362B9">
            <w:pPr>
              <w:spacing w:line="360" w:lineRule="auto"/>
              <w:jc w:val="both"/>
              <w:rPr>
                <w:sz w:val="22"/>
                <w:szCs w:val="22"/>
                <w:lang w:eastAsia="en-US"/>
              </w:rPr>
            </w:pPr>
            <w:r>
              <w:rPr>
                <w:sz w:val="24"/>
                <w:szCs w:val="24"/>
                <w:lang w:eastAsia="en-US"/>
              </w:rPr>
              <w:t>3</w:t>
            </w:r>
          </w:p>
        </w:tc>
      </w:tr>
    </w:tbl>
    <w:p w:rsidR="00A362B9" w:rsidRDefault="00A362B9" w:rsidP="00A362B9">
      <w:pPr>
        <w:pStyle w:val="Default"/>
      </w:pPr>
    </w:p>
    <w:p w:rsidR="00A362B9" w:rsidRDefault="00A362B9" w:rsidP="00A362B9">
      <w:pPr>
        <w:pStyle w:val="Default"/>
        <w:rPr>
          <w:i/>
          <w:u w:val="single"/>
        </w:rPr>
      </w:pPr>
      <w:r>
        <w:rPr>
          <w:i/>
          <w:u w:val="single"/>
        </w:rPr>
        <w:t>Informácia o splnení predpokladu nepretržitého pokračovania v činnosti účtovnej jednotky</w:t>
      </w:r>
    </w:p>
    <w:p w:rsidR="00A362B9" w:rsidRDefault="00A362B9" w:rsidP="00A362B9">
      <w:pPr>
        <w:pStyle w:val="Default"/>
        <w:rPr>
          <w:i/>
          <w:u w:val="single"/>
        </w:rPr>
      </w:pPr>
    </w:p>
    <w:p w:rsidR="00A362B9" w:rsidRDefault="00A362B9" w:rsidP="00A362B9">
      <w:pPr>
        <w:pStyle w:val="Default"/>
        <w:jc w:val="both"/>
      </w:pPr>
      <w:r>
        <w:t>Konsolidovaná účtovná závierka obce bola zostavená za predpokladu nepretržitého trvania činnosti v súlade so zákonom o účtovníctve a nadväzujúcimi právnymi predpismi.</w:t>
      </w:r>
    </w:p>
    <w:p w:rsidR="00A362B9" w:rsidRDefault="00A362B9" w:rsidP="00A362B9">
      <w:pPr>
        <w:pStyle w:val="Default"/>
      </w:pPr>
    </w:p>
    <w:p w:rsidR="00A362B9" w:rsidRDefault="00A362B9" w:rsidP="00A362B9">
      <w:pPr>
        <w:pStyle w:val="Default"/>
        <w:rPr>
          <w:i/>
          <w:u w:val="single"/>
        </w:rPr>
      </w:pPr>
    </w:p>
    <w:p w:rsidR="00A362B9" w:rsidRDefault="00A362B9" w:rsidP="00A362B9">
      <w:pPr>
        <w:pStyle w:val="Default"/>
        <w:rPr>
          <w:i/>
          <w:u w:val="single"/>
        </w:rPr>
      </w:pPr>
      <w:r>
        <w:rPr>
          <w:i/>
          <w:u w:val="single"/>
        </w:rPr>
        <w:lastRenderedPageBreak/>
        <w:t>Zmeny účtovných metód a účtovných zásad</w:t>
      </w:r>
    </w:p>
    <w:p w:rsidR="00A362B9" w:rsidRDefault="00A362B9" w:rsidP="00A362B9">
      <w:pPr>
        <w:pStyle w:val="Default"/>
        <w:jc w:val="both"/>
      </w:pPr>
      <w:r>
        <w:t>Účtovné metódy a všeobecné účtovné zásady boli účtovnou jednotkou konzistentne aplikované.</w:t>
      </w:r>
    </w:p>
    <w:p w:rsidR="00A362B9" w:rsidRDefault="00A362B9" w:rsidP="00A362B9">
      <w:pPr>
        <w:spacing w:line="360" w:lineRule="auto"/>
        <w:ind w:left="360"/>
        <w:rPr>
          <w:rFonts w:ascii="Arial" w:hAnsi="Arial" w:cs="Arial"/>
          <w:sz w:val="22"/>
          <w:szCs w:val="22"/>
        </w:rPr>
      </w:pPr>
    </w:p>
    <w:p w:rsidR="00A362B9" w:rsidRDefault="00A362B9" w:rsidP="00A362B9">
      <w:pPr>
        <w:spacing w:line="360" w:lineRule="auto"/>
        <w:rPr>
          <w:rFonts w:ascii="Arial" w:hAnsi="Arial" w:cs="Arial"/>
          <w:i/>
          <w:sz w:val="22"/>
          <w:szCs w:val="22"/>
          <w:u w:val="single"/>
        </w:rPr>
      </w:pPr>
      <w:r>
        <w:rPr>
          <w:rFonts w:ascii="Arial" w:hAnsi="Arial" w:cs="Arial"/>
          <w:i/>
          <w:sz w:val="22"/>
          <w:szCs w:val="22"/>
          <w:u w:val="single"/>
        </w:rPr>
        <w:t xml:space="preserve">Spôsob ocenenia jednotlivých položiek  </w:t>
      </w:r>
    </w:p>
    <w:p w:rsidR="00A362B9" w:rsidRDefault="00A362B9" w:rsidP="00A362B9">
      <w:pPr>
        <w:pStyle w:val="odstavec"/>
      </w:pPr>
      <w:r>
        <w:rPr>
          <w:u w:val="single"/>
        </w:rPr>
        <w:t>Dlhodobý majetok</w:t>
      </w:r>
      <w:r>
        <w:t xml:space="preserve"> obstaraný kúpou sa oceňuje obstarávacou cenou, ktorá zahrňuje cenu obstarania a náklady súvisiace s obstaraním (clo, prepravu, montáž, poistné a pod.). Súčasťou obstarávacej ceny dlhodobého hmotného </w:t>
      </w:r>
      <w:r>
        <w:tab/>
        <w:t xml:space="preserve">a nehmotného majetku nie sú resp. sú  úroky z úverov do doby zaradenia </w:t>
      </w:r>
      <w:r>
        <w:tab/>
        <w:t>majetku. O zľave z ceny, ktorú poskytol dodávateľ k majetku sa následne zníži obstarávacia cena predmetného majetku.</w:t>
      </w:r>
    </w:p>
    <w:p w:rsidR="00A362B9" w:rsidRDefault="00A362B9" w:rsidP="00A362B9">
      <w:pPr>
        <w:pStyle w:val="odstavec"/>
      </w:pPr>
    </w:p>
    <w:p w:rsidR="00A362B9" w:rsidRDefault="00A362B9" w:rsidP="00A362B9">
      <w:pPr>
        <w:pStyle w:val="odstavec"/>
      </w:pPr>
      <w:r>
        <w:t xml:space="preserve">Dlhodobý majetok vytvorený vlastnou činnosťou sa oceňuje vlastnými nákladmi. Za vlastné náklady sa považujú všetky priame náklady vynaložené na výrobu alebo inú činnosť a všetky nepriame náklady vzťahujúce sa na výrobu </w:t>
      </w:r>
      <w:r>
        <w:tab/>
        <w:t xml:space="preserve">alebo inú činnosť. Majetok vytvorený vlastnou činnosťou by sa ocenil reprodukčnou obstarávacou cenou v prípade, ak by vlastné náklady boli vyššie </w:t>
      </w:r>
      <w:r>
        <w:tab/>
        <w:t>ako reprodukčná obstarávacia cena tohto majetku.</w:t>
      </w:r>
    </w:p>
    <w:p w:rsidR="00A362B9" w:rsidRDefault="00A362B9" w:rsidP="00A362B9">
      <w:pPr>
        <w:pStyle w:val="odstavec"/>
      </w:pPr>
    </w:p>
    <w:p w:rsidR="00A362B9" w:rsidRDefault="00A362B9" w:rsidP="00A362B9">
      <w:pPr>
        <w:tabs>
          <w:tab w:val="num" w:pos="540"/>
        </w:tabs>
        <w:jc w:val="both"/>
        <w:rPr>
          <w:sz w:val="24"/>
          <w:szCs w:val="24"/>
        </w:rPr>
      </w:pPr>
      <w:r>
        <w:rPr>
          <w:sz w:val="24"/>
          <w:szCs w:val="24"/>
        </w:rP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rsidR="00A362B9" w:rsidRDefault="00A362B9" w:rsidP="00A362B9">
      <w:pPr>
        <w:tabs>
          <w:tab w:val="num" w:pos="540"/>
        </w:tabs>
        <w:jc w:val="both"/>
        <w:rPr>
          <w:sz w:val="24"/>
          <w:szCs w:val="24"/>
        </w:rPr>
      </w:pPr>
    </w:p>
    <w:p w:rsidR="00A362B9" w:rsidRDefault="00A362B9" w:rsidP="00A362B9">
      <w:pPr>
        <w:pStyle w:val="odstavec"/>
      </w:pPr>
      <w:r>
        <w:t>Predpokladaná doba používania, metóda odpisovania a odpisová sadzba uplatňovaná pri účtovných odpisoch sú uvedené v nasledujúcej tabuľke:</w:t>
      </w:r>
    </w:p>
    <w:p w:rsidR="00A362B9" w:rsidRDefault="00A362B9" w:rsidP="00A362B9">
      <w:pPr>
        <w:pStyle w:val="odstavec"/>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08"/>
        <w:gridCol w:w="3018"/>
        <w:gridCol w:w="3008"/>
      </w:tblGrid>
      <w:tr w:rsidR="00A362B9" w:rsidTr="00A362B9">
        <w:tc>
          <w:tcPr>
            <w:tcW w:w="2208" w:type="dxa"/>
            <w:tcBorders>
              <w:top w:val="single" w:sz="4" w:space="0" w:color="auto"/>
              <w:left w:val="single" w:sz="4" w:space="0" w:color="auto"/>
              <w:bottom w:val="single" w:sz="4" w:space="0" w:color="auto"/>
              <w:right w:val="single" w:sz="4" w:space="0" w:color="auto"/>
            </w:tcBorders>
            <w:hideMark/>
          </w:tcPr>
          <w:p w:rsidR="00A362B9" w:rsidRDefault="00A362B9">
            <w:pPr>
              <w:spacing w:line="0" w:lineRule="atLeast"/>
              <w:jc w:val="center"/>
              <w:rPr>
                <w:rFonts w:ascii="Arial" w:hAnsi="Arial" w:cs="Arial"/>
                <w:b/>
                <w:sz w:val="22"/>
                <w:szCs w:val="22"/>
                <w:lang w:eastAsia="en-US"/>
              </w:rPr>
            </w:pPr>
            <w:r>
              <w:rPr>
                <w:rFonts w:ascii="Arial" w:hAnsi="Arial" w:cs="Arial"/>
                <w:b/>
                <w:sz w:val="22"/>
                <w:szCs w:val="22"/>
                <w:lang w:eastAsia="en-US"/>
              </w:rPr>
              <w:t>Odpisová skupina</w:t>
            </w:r>
          </w:p>
        </w:tc>
        <w:tc>
          <w:tcPr>
            <w:tcW w:w="3018" w:type="dxa"/>
            <w:tcBorders>
              <w:top w:val="single" w:sz="4" w:space="0" w:color="auto"/>
              <w:left w:val="single" w:sz="4" w:space="0" w:color="auto"/>
              <w:bottom w:val="single" w:sz="4" w:space="0" w:color="auto"/>
              <w:right w:val="single" w:sz="4" w:space="0" w:color="auto"/>
            </w:tcBorders>
            <w:hideMark/>
          </w:tcPr>
          <w:p w:rsidR="00A362B9" w:rsidRDefault="00A362B9">
            <w:pPr>
              <w:spacing w:line="0" w:lineRule="atLeast"/>
              <w:jc w:val="center"/>
              <w:rPr>
                <w:rFonts w:ascii="Arial" w:hAnsi="Arial" w:cs="Arial"/>
                <w:b/>
                <w:sz w:val="22"/>
                <w:szCs w:val="22"/>
                <w:lang w:eastAsia="en-US"/>
              </w:rPr>
            </w:pPr>
            <w:r>
              <w:rPr>
                <w:rFonts w:ascii="Arial" w:hAnsi="Arial" w:cs="Arial"/>
                <w:b/>
                <w:sz w:val="22"/>
                <w:szCs w:val="22"/>
                <w:lang w:eastAsia="en-US"/>
              </w:rPr>
              <w:t>Doba odpisovania v rokoch</w:t>
            </w:r>
          </w:p>
        </w:tc>
        <w:tc>
          <w:tcPr>
            <w:tcW w:w="3008" w:type="dxa"/>
            <w:tcBorders>
              <w:top w:val="single" w:sz="4" w:space="0" w:color="auto"/>
              <w:left w:val="single" w:sz="4" w:space="0" w:color="auto"/>
              <w:bottom w:val="single" w:sz="4" w:space="0" w:color="auto"/>
              <w:right w:val="single" w:sz="4" w:space="0" w:color="auto"/>
            </w:tcBorders>
            <w:hideMark/>
          </w:tcPr>
          <w:p w:rsidR="00A362B9" w:rsidRDefault="00A362B9">
            <w:pPr>
              <w:spacing w:line="0" w:lineRule="atLeast"/>
              <w:jc w:val="center"/>
              <w:rPr>
                <w:rFonts w:ascii="Arial" w:hAnsi="Arial" w:cs="Arial"/>
                <w:b/>
                <w:sz w:val="22"/>
                <w:szCs w:val="22"/>
                <w:lang w:eastAsia="en-US"/>
              </w:rPr>
            </w:pPr>
            <w:r>
              <w:rPr>
                <w:rFonts w:ascii="Arial" w:hAnsi="Arial" w:cs="Arial"/>
                <w:b/>
                <w:sz w:val="22"/>
                <w:szCs w:val="22"/>
                <w:lang w:eastAsia="en-US"/>
              </w:rPr>
              <w:t>Ročná odpisová sadzba</w:t>
            </w:r>
          </w:p>
        </w:tc>
      </w:tr>
      <w:tr w:rsidR="00A362B9" w:rsidTr="00A362B9">
        <w:tc>
          <w:tcPr>
            <w:tcW w:w="2208" w:type="dxa"/>
            <w:tcBorders>
              <w:top w:val="single" w:sz="4" w:space="0" w:color="auto"/>
              <w:left w:val="single" w:sz="4" w:space="0" w:color="auto"/>
              <w:bottom w:val="single" w:sz="4" w:space="0" w:color="auto"/>
              <w:right w:val="single" w:sz="4" w:space="0" w:color="auto"/>
            </w:tcBorders>
            <w:hideMark/>
          </w:tcPr>
          <w:p w:rsidR="00A362B9" w:rsidRDefault="00A362B9">
            <w:pPr>
              <w:spacing w:line="0" w:lineRule="atLeast"/>
              <w:jc w:val="center"/>
              <w:rPr>
                <w:rFonts w:ascii="Arial" w:hAnsi="Arial" w:cs="Arial"/>
                <w:sz w:val="22"/>
                <w:szCs w:val="22"/>
                <w:lang w:eastAsia="en-US"/>
              </w:rPr>
            </w:pPr>
            <w:r>
              <w:rPr>
                <w:rFonts w:ascii="Arial" w:hAnsi="Arial" w:cs="Arial"/>
                <w:sz w:val="22"/>
                <w:szCs w:val="22"/>
                <w:lang w:eastAsia="en-US"/>
              </w:rPr>
              <w:t>1</w:t>
            </w:r>
          </w:p>
        </w:tc>
        <w:tc>
          <w:tcPr>
            <w:tcW w:w="3018" w:type="dxa"/>
            <w:tcBorders>
              <w:top w:val="single" w:sz="4" w:space="0" w:color="auto"/>
              <w:left w:val="single" w:sz="4" w:space="0" w:color="auto"/>
              <w:bottom w:val="single" w:sz="4" w:space="0" w:color="auto"/>
              <w:right w:val="single" w:sz="4" w:space="0" w:color="auto"/>
            </w:tcBorders>
            <w:hideMark/>
          </w:tcPr>
          <w:p w:rsidR="00A362B9" w:rsidRDefault="00A362B9">
            <w:pPr>
              <w:spacing w:line="0" w:lineRule="atLeast"/>
              <w:jc w:val="center"/>
              <w:rPr>
                <w:rFonts w:ascii="Arial" w:hAnsi="Arial" w:cs="Arial"/>
                <w:sz w:val="22"/>
                <w:szCs w:val="22"/>
                <w:lang w:eastAsia="en-US"/>
              </w:rPr>
            </w:pPr>
            <w:r>
              <w:rPr>
                <w:rFonts w:ascii="Arial" w:hAnsi="Arial" w:cs="Arial"/>
                <w:sz w:val="22"/>
                <w:szCs w:val="22"/>
                <w:lang w:eastAsia="en-US"/>
              </w:rPr>
              <w:t>4</w:t>
            </w:r>
          </w:p>
        </w:tc>
        <w:tc>
          <w:tcPr>
            <w:tcW w:w="3008" w:type="dxa"/>
            <w:tcBorders>
              <w:top w:val="single" w:sz="4" w:space="0" w:color="auto"/>
              <w:left w:val="single" w:sz="4" w:space="0" w:color="auto"/>
              <w:bottom w:val="single" w:sz="4" w:space="0" w:color="auto"/>
              <w:right w:val="single" w:sz="4" w:space="0" w:color="auto"/>
            </w:tcBorders>
            <w:hideMark/>
          </w:tcPr>
          <w:p w:rsidR="00A362B9" w:rsidRDefault="00A362B9">
            <w:pPr>
              <w:spacing w:line="0" w:lineRule="atLeast"/>
              <w:jc w:val="center"/>
              <w:rPr>
                <w:rFonts w:ascii="Arial" w:hAnsi="Arial" w:cs="Arial"/>
                <w:sz w:val="22"/>
                <w:szCs w:val="22"/>
                <w:lang w:eastAsia="en-US"/>
              </w:rPr>
            </w:pPr>
            <w:r>
              <w:rPr>
                <w:rFonts w:ascii="Arial" w:hAnsi="Arial" w:cs="Arial"/>
                <w:sz w:val="22"/>
                <w:szCs w:val="22"/>
                <w:lang w:eastAsia="en-US"/>
              </w:rPr>
              <w:t>1/4</w:t>
            </w:r>
          </w:p>
        </w:tc>
      </w:tr>
      <w:tr w:rsidR="00A362B9" w:rsidTr="00A362B9">
        <w:tc>
          <w:tcPr>
            <w:tcW w:w="2208" w:type="dxa"/>
            <w:tcBorders>
              <w:top w:val="single" w:sz="4" w:space="0" w:color="auto"/>
              <w:left w:val="single" w:sz="4" w:space="0" w:color="auto"/>
              <w:bottom w:val="single" w:sz="4" w:space="0" w:color="auto"/>
              <w:right w:val="single" w:sz="4" w:space="0" w:color="auto"/>
            </w:tcBorders>
            <w:hideMark/>
          </w:tcPr>
          <w:p w:rsidR="00A362B9" w:rsidRDefault="00A362B9">
            <w:pPr>
              <w:spacing w:line="0" w:lineRule="atLeast"/>
              <w:jc w:val="center"/>
              <w:rPr>
                <w:rFonts w:ascii="Arial" w:hAnsi="Arial" w:cs="Arial"/>
                <w:sz w:val="22"/>
                <w:szCs w:val="22"/>
                <w:lang w:eastAsia="en-US"/>
              </w:rPr>
            </w:pPr>
            <w:r>
              <w:rPr>
                <w:rFonts w:ascii="Arial" w:hAnsi="Arial" w:cs="Arial"/>
                <w:sz w:val="22"/>
                <w:szCs w:val="22"/>
                <w:lang w:eastAsia="en-US"/>
              </w:rPr>
              <w:t>2</w:t>
            </w:r>
          </w:p>
        </w:tc>
        <w:tc>
          <w:tcPr>
            <w:tcW w:w="3018" w:type="dxa"/>
            <w:tcBorders>
              <w:top w:val="single" w:sz="4" w:space="0" w:color="auto"/>
              <w:left w:val="single" w:sz="4" w:space="0" w:color="auto"/>
              <w:bottom w:val="single" w:sz="4" w:space="0" w:color="auto"/>
              <w:right w:val="single" w:sz="4" w:space="0" w:color="auto"/>
            </w:tcBorders>
            <w:hideMark/>
          </w:tcPr>
          <w:p w:rsidR="00A362B9" w:rsidRDefault="00A362B9">
            <w:pPr>
              <w:spacing w:line="0" w:lineRule="atLeast"/>
              <w:jc w:val="center"/>
              <w:rPr>
                <w:rFonts w:ascii="Arial" w:hAnsi="Arial" w:cs="Arial"/>
                <w:sz w:val="22"/>
                <w:szCs w:val="22"/>
                <w:lang w:eastAsia="en-US"/>
              </w:rPr>
            </w:pPr>
            <w:r>
              <w:rPr>
                <w:rFonts w:ascii="Arial" w:hAnsi="Arial" w:cs="Arial"/>
                <w:sz w:val="22"/>
                <w:szCs w:val="22"/>
                <w:lang w:eastAsia="en-US"/>
              </w:rPr>
              <w:t>6</w:t>
            </w:r>
          </w:p>
        </w:tc>
        <w:tc>
          <w:tcPr>
            <w:tcW w:w="3008" w:type="dxa"/>
            <w:tcBorders>
              <w:top w:val="single" w:sz="4" w:space="0" w:color="auto"/>
              <w:left w:val="single" w:sz="4" w:space="0" w:color="auto"/>
              <w:bottom w:val="single" w:sz="4" w:space="0" w:color="auto"/>
              <w:right w:val="single" w:sz="4" w:space="0" w:color="auto"/>
            </w:tcBorders>
            <w:hideMark/>
          </w:tcPr>
          <w:p w:rsidR="00A362B9" w:rsidRDefault="00A362B9">
            <w:pPr>
              <w:spacing w:line="0" w:lineRule="atLeast"/>
              <w:jc w:val="center"/>
              <w:rPr>
                <w:rFonts w:ascii="Arial" w:hAnsi="Arial" w:cs="Arial"/>
                <w:sz w:val="22"/>
                <w:szCs w:val="22"/>
                <w:lang w:eastAsia="en-US"/>
              </w:rPr>
            </w:pPr>
            <w:r>
              <w:rPr>
                <w:rFonts w:ascii="Arial" w:hAnsi="Arial" w:cs="Arial"/>
                <w:sz w:val="22"/>
                <w:szCs w:val="22"/>
                <w:lang w:eastAsia="en-US"/>
              </w:rPr>
              <w:t>1/6</w:t>
            </w:r>
          </w:p>
        </w:tc>
      </w:tr>
      <w:tr w:rsidR="00A362B9" w:rsidTr="00A362B9">
        <w:tc>
          <w:tcPr>
            <w:tcW w:w="2208" w:type="dxa"/>
            <w:tcBorders>
              <w:top w:val="single" w:sz="4" w:space="0" w:color="auto"/>
              <w:left w:val="single" w:sz="4" w:space="0" w:color="auto"/>
              <w:bottom w:val="single" w:sz="4" w:space="0" w:color="auto"/>
              <w:right w:val="single" w:sz="4" w:space="0" w:color="auto"/>
            </w:tcBorders>
            <w:hideMark/>
          </w:tcPr>
          <w:p w:rsidR="00A362B9" w:rsidRDefault="00A362B9">
            <w:pPr>
              <w:spacing w:line="0" w:lineRule="atLeast"/>
              <w:jc w:val="center"/>
              <w:rPr>
                <w:rFonts w:ascii="Arial" w:hAnsi="Arial" w:cs="Arial"/>
                <w:sz w:val="22"/>
                <w:szCs w:val="22"/>
                <w:lang w:eastAsia="en-US"/>
              </w:rPr>
            </w:pPr>
            <w:r>
              <w:rPr>
                <w:rFonts w:ascii="Arial" w:hAnsi="Arial" w:cs="Arial"/>
                <w:sz w:val="22"/>
                <w:szCs w:val="22"/>
                <w:lang w:eastAsia="en-US"/>
              </w:rPr>
              <w:t>3</w:t>
            </w:r>
          </w:p>
        </w:tc>
        <w:tc>
          <w:tcPr>
            <w:tcW w:w="3018" w:type="dxa"/>
            <w:tcBorders>
              <w:top w:val="single" w:sz="4" w:space="0" w:color="auto"/>
              <w:left w:val="single" w:sz="4" w:space="0" w:color="auto"/>
              <w:bottom w:val="single" w:sz="4" w:space="0" w:color="auto"/>
              <w:right w:val="single" w:sz="4" w:space="0" w:color="auto"/>
            </w:tcBorders>
            <w:hideMark/>
          </w:tcPr>
          <w:p w:rsidR="00A362B9" w:rsidRDefault="000003A8">
            <w:pPr>
              <w:spacing w:line="0" w:lineRule="atLeast"/>
              <w:jc w:val="center"/>
              <w:rPr>
                <w:rFonts w:ascii="Arial" w:hAnsi="Arial" w:cs="Arial"/>
                <w:sz w:val="22"/>
                <w:szCs w:val="22"/>
                <w:lang w:eastAsia="en-US"/>
              </w:rPr>
            </w:pPr>
            <w:r>
              <w:rPr>
                <w:rFonts w:ascii="Arial" w:hAnsi="Arial" w:cs="Arial"/>
                <w:sz w:val="22"/>
                <w:szCs w:val="22"/>
                <w:lang w:eastAsia="en-US"/>
              </w:rPr>
              <w:t>8</w:t>
            </w:r>
          </w:p>
        </w:tc>
        <w:tc>
          <w:tcPr>
            <w:tcW w:w="3008" w:type="dxa"/>
            <w:tcBorders>
              <w:top w:val="single" w:sz="4" w:space="0" w:color="auto"/>
              <w:left w:val="single" w:sz="4" w:space="0" w:color="auto"/>
              <w:bottom w:val="single" w:sz="4" w:space="0" w:color="auto"/>
              <w:right w:val="single" w:sz="4" w:space="0" w:color="auto"/>
            </w:tcBorders>
            <w:hideMark/>
          </w:tcPr>
          <w:p w:rsidR="00A362B9" w:rsidRDefault="00A362B9" w:rsidP="000003A8">
            <w:pPr>
              <w:spacing w:line="0" w:lineRule="atLeast"/>
              <w:jc w:val="center"/>
              <w:rPr>
                <w:rFonts w:ascii="Arial" w:hAnsi="Arial" w:cs="Arial"/>
                <w:sz w:val="22"/>
                <w:szCs w:val="22"/>
                <w:lang w:eastAsia="en-US"/>
              </w:rPr>
            </w:pPr>
            <w:r>
              <w:rPr>
                <w:rFonts w:ascii="Arial" w:hAnsi="Arial" w:cs="Arial"/>
                <w:sz w:val="22"/>
                <w:szCs w:val="22"/>
                <w:lang w:eastAsia="en-US"/>
              </w:rPr>
              <w:t>1/</w:t>
            </w:r>
            <w:r w:rsidR="000003A8">
              <w:rPr>
                <w:rFonts w:ascii="Arial" w:hAnsi="Arial" w:cs="Arial"/>
                <w:sz w:val="22"/>
                <w:szCs w:val="22"/>
                <w:lang w:eastAsia="en-US"/>
              </w:rPr>
              <w:t>8</w:t>
            </w:r>
          </w:p>
        </w:tc>
      </w:tr>
      <w:tr w:rsidR="00A362B9" w:rsidTr="00A362B9">
        <w:tc>
          <w:tcPr>
            <w:tcW w:w="2208" w:type="dxa"/>
            <w:tcBorders>
              <w:top w:val="single" w:sz="4" w:space="0" w:color="auto"/>
              <w:left w:val="single" w:sz="4" w:space="0" w:color="auto"/>
              <w:bottom w:val="single" w:sz="4" w:space="0" w:color="auto"/>
              <w:right w:val="single" w:sz="4" w:space="0" w:color="auto"/>
            </w:tcBorders>
            <w:hideMark/>
          </w:tcPr>
          <w:p w:rsidR="00A362B9" w:rsidRDefault="00A362B9">
            <w:pPr>
              <w:spacing w:line="0" w:lineRule="atLeast"/>
              <w:jc w:val="center"/>
              <w:rPr>
                <w:rFonts w:ascii="Arial" w:hAnsi="Arial" w:cs="Arial"/>
                <w:sz w:val="22"/>
                <w:szCs w:val="22"/>
                <w:lang w:eastAsia="en-US"/>
              </w:rPr>
            </w:pPr>
            <w:r>
              <w:rPr>
                <w:rFonts w:ascii="Arial" w:hAnsi="Arial" w:cs="Arial"/>
                <w:sz w:val="22"/>
                <w:szCs w:val="22"/>
                <w:lang w:eastAsia="en-US"/>
              </w:rPr>
              <w:t>4</w:t>
            </w:r>
          </w:p>
        </w:tc>
        <w:tc>
          <w:tcPr>
            <w:tcW w:w="3018" w:type="dxa"/>
            <w:tcBorders>
              <w:top w:val="single" w:sz="4" w:space="0" w:color="auto"/>
              <w:left w:val="single" w:sz="4" w:space="0" w:color="auto"/>
              <w:bottom w:val="single" w:sz="4" w:space="0" w:color="auto"/>
              <w:right w:val="single" w:sz="4" w:space="0" w:color="auto"/>
            </w:tcBorders>
            <w:hideMark/>
          </w:tcPr>
          <w:p w:rsidR="00A362B9" w:rsidRDefault="000003A8">
            <w:pPr>
              <w:spacing w:line="0" w:lineRule="atLeast"/>
              <w:jc w:val="center"/>
              <w:rPr>
                <w:rFonts w:ascii="Arial" w:hAnsi="Arial" w:cs="Arial"/>
                <w:sz w:val="22"/>
                <w:szCs w:val="22"/>
                <w:lang w:eastAsia="en-US"/>
              </w:rPr>
            </w:pPr>
            <w:r>
              <w:rPr>
                <w:rFonts w:ascii="Arial" w:hAnsi="Arial" w:cs="Arial"/>
                <w:sz w:val="22"/>
                <w:szCs w:val="22"/>
                <w:lang w:eastAsia="en-US"/>
              </w:rPr>
              <w:t>12</w:t>
            </w:r>
          </w:p>
        </w:tc>
        <w:tc>
          <w:tcPr>
            <w:tcW w:w="3008" w:type="dxa"/>
            <w:tcBorders>
              <w:top w:val="single" w:sz="4" w:space="0" w:color="auto"/>
              <w:left w:val="single" w:sz="4" w:space="0" w:color="auto"/>
              <w:bottom w:val="single" w:sz="4" w:space="0" w:color="auto"/>
              <w:right w:val="single" w:sz="4" w:space="0" w:color="auto"/>
            </w:tcBorders>
            <w:hideMark/>
          </w:tcPr>
          <w:p w:rsidR="00A362B9" w:rsidRDefault="00A362B9" w:rsidP="000003A8">
            <w:pPr>
              <w:spacing w:line="0" w:lineRule="atLeast"/>
              <w:jc w:val="center"/>
              <w:rPr>
                <w:rFonts w:ascii="Arial" w:hAnsi="Arial" w:cs="Arial"/>
                <w:sz w:val="22"/>
                <w:szCs w:val="22"/>
                <w:lang w:eastAsia="en-US"/>
              </w:rPr>
            </w:pPr>
            <w:r>
              <w:rPr>
                <w:rFonts w:ascii="Arial" w:hAnsi="Arial" w:cs="Arial"/>
                <w:sz w:val="22"/>
                <w:szCs w:val="22"/>
                <w:lang w:eastAsia="en-US"/>
              </w:rPr>
              <w:t>1/</w:t>
            </w:r>
            <w:r w:rsidR="000003A8">
              <w:rPr>
                <w:rFonts w:ascii="Arial" w:hAnsi="Arial" w:cs="Arial"/>
                <w:sz w:val="22"/>
                <w:szCs w:val="22"/>
                <w:lang w:eastAsia="en-US"/>
              </w:rPr>
              <w:t>12</w:t>
            </w:r>
          </w:p>
        </w:tc>
      </w:tr>
      <w:tr w:rsidR="000003A8" w:rsidTr="00A362B9">
        <w:tc>
          <w:tcPr>
            <w:tcW w:w="2208" w:type="dxa"/>
            <w:tcBorders>
              <w:top w:val="single" w:sz="4" w:space="0" w:color="auto"/>
              <w:left w:val="single" w:sz="4" w:space="0" w:color="auto"/>
              <w:bottom w:val="single" w:sz="4" w:space="0" w:color="auto"/>
              <w:right w:val="single" w:sz="4" w:space="0" w:color="auto"/>
            </w:tcBorders>
          </w:tcPr>
          <w:p w:rsidR="000003A8" w:rsidRDefault="000003A8">
            <w:pPr>
              <w:spacing w:line="0" w:lineRule="atLeast"/>
              <w:jc w:val="center"/>
              <w:rPr>
                <w:rFonts w:ascii="Arial" w:hAnsi="Arial" w:cs="Arial"/>
                <w:sz w:val="22"/>
                <w:szCs w:val="22"/>
                <w:lang w:eastAsia="en-US"/>
              </w:rPr>
            </w:pPr>
            <w:r>
              <w:rPr>
                <w:rFonts w:ascii="Arial" w:hAnsi="Arial" w:cs="Arial"/>
                <w:sz w:val="22"/>
                <w:szCs w:val="22"/>
                <w:lang w:eastAsia="en-US"/>
              </w:rPr>
              <w:t>5</w:t>
            </w:r>
          </w:p>
        </w:tc>
        <w:tc>
          <w:tcPr>
            <w:tcW w:w="3018" w:type="dxa"/>
            <w:tcBorders>
              <w:top w:val="single" w:sz="4" w:space="0" w:color="auto"/>
              <w:left w:val="single" w:sz="4" w:space="0" w:color="auto"/>
              <w:bottom w:val="single" w:sz="4" w:space="0" w:color="auto"/>
              <w:right w:val="single" w:sz="4" w:space="0" w:color="auto"/>
            </w:tcBorders>
          </w:tcPr>
          <w:p w:rsidR="000003A8" w:rsidRDefault="000003A8">
            <w:pPr>
              <w:spacing w:line="0" w:lineRule="atLeast"/>
              <w:jc w:val="center"/>
              <w:rPr>
                <w:rFonts w:ascii="Arial" w:hAnsi="Arial" w:cs="Arial"/>
                <w:sz w:val="22"/>
                <w:szCs w:val="22"/>
                <w:lang w:eastAsia="en-US"/>
              </w:rPr>
            </w:pPr>
            <w:r>
              <w:rPr>
                <w:rFonts w:ascii="Arial" w:hAnsi="Arial" w:cs="Arial"/>
                <w:sz w:val="22"/>
                <w:szCs w:val="22"/>
                <w:lang w:eastAsia="en-US"/>
              </w:rPr>
              <w:t>20</w:t>
            </w:r>
          </w:p>
        </w:tc>
        <w:tc>
          <w:tcPr>
            <w:tcW w:w="3008" w:type="dxa"/>
            <w:tcBorders>
              <w:top w:val="single" w:sz="4" w:space="0" w:color="auto"/>
              <w:left w:val="single" w:sz="4" w:space="0" w:color="auto"/>
              <w:bottom w:val="single" w:sz="4" w:space="0" w:color="auto"/>
              <w:right w:val="single" w:sz="4" w:space="0" w:color="auto"/>
            </w:tcBorders>
          </w:tcPr>
          <w:p w:rsidR="000003A8" w:rsidRDefault="000003A8" w:rsidP="000003A8">
            <w:pPr>
              <w:spacing w:line="0" w:lineRule="atLeast"/>
              <w:jc w:val="center"/>
              <w:rPr>
                <w:rFonts w:ascii="Arial" w:hAnsi="Arial" w:cs="Arial"/>
                <w:sz w:val="22"/>
                <w:szCs w:val="22"/>
                <w:lang w:eastAsia="en-US"/>
              </w:rPr>
            </w:pPr>
            <w:r>
              <w:rPr>
                <w:rFonts w:ascii="Arial" w:hAnsi="Arial" w:cs="Arial"/>
                <w:sz w:val="22"/>
                <w:szCs w:val="22"/>
                <w:lang w:eastAsia="en-US"/>
              </w:rPr>
              <w:t>1/20</w:t>
            </w:r>
          </w:p>
        </w:tc>
      </w:tr>
      <w:tr w:rsidR="000003A8" w:rsidTr="00A362B9">
        <w:tc>
          <w:tcPr>
            <w:tcW w:w="2208" w:type="dxa"/>
            <w:tcBorders>
              <w:top w:val="single" w:sz="4" w:space="0" w:color="auto"/>
              <w:left w:val="single" w:sz="4" w:space="0" w:color="auto"/>
              <w:bottom w:val="single" w:sz="4" w:space="0" w:color="auto"/>
              <w:right w:val="single" w:sz="4" w:space="0" w:color="auto"/>
            </w:tcBorders>
          </w:tcPr>
          <w:p w:rsidR="000003A8" w:rsidRDefault="000003A8">
            <w:pPr>
              <w:spacing w:line="0" w:lineRule="atLeast"/>
              <w:jc w:val="center"/>
              <w:rPr>
                <w:rFonts w:ascii="Arial" w:hAnsi="Arial" w:cs="Arial"/>
                <w:sz w:val="22"/>
                <w:szCs w:val="22"/>
                <w:lang w:eastAsia="en-US"/>
              </w:rPr>
            </w:pPr>
            <w:r>
              <w:rPr>
                <w:rFonts w:ascii="Arial" w:hAnsi="Arial" w:cs="Arial"/>
                <w:sz w:val="22"/>
                <w:szCs w:val="22"/>
                <w:lang w:eastAsia="en-US"/>
              </w:rPr>
              <w:t>6</w:t>
            </w:r>
          </w:p>
        </w:tc>
        <w:tc>
          <w:tcPr>
            <w:tcW w:w="3018" w:type="dxa"/>
            <w:tcBorders>
              <w:top w:val="single" w:sz="4" w:space="0" w:color="auto"/>
              <w:left w:val="single" w:sz="4" w:space="0" w:color="auto"/>
              <w:bottom w:val="single" w:sz="4" w:space="0" w:color="auto"/>
              <w:right w:val="single" w:sz="4" w:space="0" w:color="auto"/>
            </w:tcBorders>
          </w:tcPr>
          <w:p w:rsidR="000003A8" w:rsidRDefault="000003A8">
            <w:pPr>
              <w:spacing w:line="0" w:lineRule="atLeast"/>
              <w:jc w:val="center"/>
              <w:rPr>
                <w:rFonts w:ascii="Arial" w:hAnsi="Arial" w:cs="Arial"/>
                <w:sz w:val="22"/>
                <w:szCs w:val="22"/>
                <w:lang w:eastAsia="en-US"/>
              </w:rPr>
            </w:pPr>
            <w:r>
              <w:rPr>
                <w:rFonts w:ascii="Arial" w:hAnsi="Arial" w:cs="Arial"/>
                <w:sz w:val="22"/>
                <w:szCs w:val="22"/>
                <w:lang w:eastAsia="en-US"/>
              </w:rPr>
              <w:t>40</w:t>
            </w:r>
          </w:p>
        </w:tc>
        <w:tc>
          <w:tcPr>
            <w:tcW w:w="3008" w:type="dxa"/>
            <w:tcBorders>
              <w:top w:val="single" w:sz="4" w:space="0" w:color="auto"/>
              <w:left w:val="single" w:sz="4" w:space="0" w:color="auto"/>
              <w:bottom w:val="single" w:sz="4" w:space="0" w:color="auto"/>
              <w:right w:val="single" w:sz="4" w:space="0" w:color="auto"/>
            </w:tcBorders>
          </w:tcPr>
          <w:p w:rsidR="000003A8" w:rsidRDefault="000003A8" w:rsidP="000003A8">
            <w:pPr>
              <w:spacing w:line="0" w:lineRule="atLeast"/>
              <w:jc w:val="center"/>
              <w:rPr>
                <w:rFonts w:ascii="Arial" w:hAnsi="Arial" w:cs="Arial"/>
                <w:sz w:val="22"/>
                <w:szCs w:val="22"/>
                <w:lang w:eastAsia="en-US"/>
              </w:rPr>
            </w:pPr>
            <w:r>
              <w:rPr>
                <w:rFonts w:ascii="Arial" w:hAnsi="Arial" w:cs="Arial"/>
                <w:sz w:val="22"/>
                <w:szCs w:val="22"/>
                <w:lang w:eastAsia="en-US"/>
              </w:rPr>
              <w:t>1/40</w:t>
            </w:r>
            <w:bookmarkStart w:id="0" w:name="_GoBack"/>
            <w:bookmarkEnd w:id="0"/>
          </w:p>
        </w:tc>
      </w:tr>
    </w:tbl>
    <w:p w:rsidR="00A362B9" w:rsidRDefault="00A362B9" w:rsidP="00A362B9">
      <w:pPr>
        <w:pStyle w:val="odstavec"/>
      </w:pPr>
    </w:p>
    <w:p w:rsidR="00A362B9" w:rsidRDefault="00A362B9" w:rsidP="00A362B9">
      <w:pPr>
        <w:pStyle w:val="odstavec"/>
      </w:pPr>
      <w:r>
        <w:rPr>
          <w:u w:val="single"/>
        </w:rPr>
        <w:t>Cenné papiere a podiely</w:t>
      </w:r>
      <w:r>
        <w:t xml:space="preserve"> sa oceňujú pri ich nadobudnutí obstarávacími cenami, </w:t>
      </w:r>
      <w:proofErr w:type="spellStart"/>
      <w:r>
        <w:t>t.j</w:t>
      </w:r>
      <w:proofErr w:type="spellEnd"/>
      <w:r>
        <w:t xml:space="preserve">. vrátane nákladov súvisiacich s obstaraním. </w:t>
      </w:r>
    </w:p>
    <w:p w:rsidR="00A362B9" w:rsidRDefault="00A362B9" w:rsidP="00A362B9">
      <w:pPr>
        <w:pStyle w:val="odstavec"/>
      </w:pPr>
      <w:r>
        <w:tab/>
      </w:r>
      <w:r>
        <w:tab/>
      </w:r>
      <w:r>
        <w:tab/>
      </w:r>
    </w:p>
    <w:p w:rsidR="00A362B9" w:rsidRDefault="00A362B9" w:rsidP="00A362B9">
      <w:pPr>
        <w:pStyle w:val="odstavec"/>
      </w:pPr>
      <w:r>
        <w:rPr>
          <w:u w:val="single"/>
        </w:rPr>
        <w:t xml:space="preserve">Zásoby </w:t>
      </w:r>
      <w:r>
        <w:t xml:space="preserve">nakupované sa oceňujú obstarávacou cenou, ktorá zahrňuje cenu </w:t>
      </w:r>
      <w:r>
        <w:tab/>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rsidR="00A362B9" w:rsidRDefault="00A362B9" w:rsidP="00A362B9">
      <w:pPr>
        <w:pStyle w:val="odstavec"/>
      </w:pPr>
      <w:r>
        <w:t xml:space="preserve">Zásoby vytvorené vlastnou činnosťou sa oceňujú vlastnými nákladmi. Vlastné náklady sú priame náklady (priamy materiál, priame mzdy a ostatné priame </w:t>
      </w:r>
      <w:r>
        <w:tab/>
        <w:t xml:space="preserve">náklady) a časť nepriamych nákladov bezprostredne súvisiacich s vytvorením zásob vlastnou činnosťou (výrobná réžia). Výrobná réžia sa do vlastných nákladov zahrňuje v závislosti od stupňa rozpracovanosti týchto zásob. </w:t>
      </w:r>
    </w:p>
    <w:p w:rsidR="00A362B9" w:rsidRDefault="00A362B9" w:rsidP="00A362B9">
      <w:pPr>
        <w:tabs>
          <w:tab w:val="left" w:pos="360"/>
        </w:tabs>
        <w:jc w:val="both"/>
      </w:pPr>
      <w:r>
        <w:rPr>
          <w:sz w:val="24"/>
          <w:szCs w:val="24"/>
        </w:rPr>
        <w:lastRenderedPageBreak/>
        <w:t xml:space="preserve">Zásoby nadobudnuté bezodplatne (darovaním a delimitáciou), prebytky zásob, odpad a zvyškové produkty  sa oceňujú reprodukčnou obstarávacou cenou, čo </w:t>
      </w:r>
      <w:r>
        <w:rPr>
          <w:sz w:val="24"/>
          <w:szCs w:val="24"/>
        </w:rPr>
        <w:tab/>
        <w:t>je cena, za ktorú by sa majetok obstaral v čase, keď sa o ňom účtuje</w:t>
      </w:r>
      <w:r>
        <w:t>.</w:t>
      </w:r>
      <w:r>
        <w:rPr>
          <w:bCs/>
        </w:rPr>
        <w:t xml:space="preserve"> </w:t>
      </w:r>
    </w:p>
    <w:p w:rsidR="00A362B9" w:rsidRDefault="00A362B9" w:rsidP="00A362B9">
      <w:pPr>
        <w:pStyle w:val="odstavec"/>
      </w:pPr>
      <w:r>
        <w:t>Novozistené zásoby pri inventarizácii sa oceňujú reprodukčnou obstarávacou cenou.</w:t>
      </w:r>
    </w:p>
    <w:p w:rsidR="00A362B9" w:rsidRDefault="00A362B9" w:rsidP="00A362B9">
      <w:pPr>
        <w:pStyle w:val="odstavec"/>
      </w:pPr>
    </w:p>
    <w:p w:rsidR="00A362B9" w:rsidRDefault="00A362B9" w:rsidP="00A362B9">
      <w:pPr>
        <w:pStyle w:val="odstavec"/>
      </w:pPr>
      <w:r>
        <w:rPr>
          <w:u w:val="single"/>
        </w:rPr>
        <w:t>Pohľadávky</w:t>
      </w:r>
      <w:r>
        <w:t xml:space="preserve"> sa pri ich vzniku oceňujú menovitou hodnotou. Pohľadávky pri odplatnom nadobudnutí sa oceňujú obstarávacou cenou, </w:t>
      </w:r>
      <w:proofErr w:type="spellStart"/>
      <w:r>
        <w:t>t.j</w:t>
      </w:r>
      <w:proofErr w:type="spellEnd"/>
      <w:r>
        <w:t>. vrátane nákladov súvisiacich s obstaraním. Toto ocenenie sa znižuje o pochybné,  nedobytné pohľadávky a o pohľadávky, pri ktorých existuje riziko nevymožiteľnosti.</w:t>
      </w:r>
    </w:p>
    <w:p w:rsidR="00A362B9" w:rsidRDefault="00A362B9" w:rsidP="00A362B9">
      <w:pPr>
        <w:pStyle w:val="odstavec"/>
      </w:pPr>
    </w:p>
    <w:p w:rsidR="00A362B9" w:rsidRDefault="00A362B9" w:rsidP="00A362B9">
      <w:pPr>
        <w:pStyle w:val="odstavec"/>
      </w:pPr>
      <w:r>
        <w:rPr>
          <w:u w:val="single"/>
        </w:rPr>
        <w:t>Peňažné prostriedky a ceniny</w:t>
      </w:r>
      <w:r>
        <w:t xml:space="preserve"> sa oceňujú menovitou hodnotou.</w:t>
      </w:r>
    </w:p>
    <w:p w:rsidR="00A362B9" w:rsidRDefault="00A362B9" w:rsidP="00A362B9">
      <w:pPr>
        <w:pStyle w:val="odstavec"/>
      </w:pPr>
    </w:p>
    <w:p w:rsidR="00A362B9" w:rsidRDefault="00A362B9" w:rsidP="00A362B9">
      <w:pPr>
        <w:pStyle w:val="odstavec"/>
      </w:pPr>
      <w:r>
        <w:rPr>
          <w:u w:val="single"/>
        </w:rPr>
        <w:t>Rezervy</w:t>
      </w:r>
      <w:r>
        <w:t xml:space="preserve"> sú záväzky s neurčitým časovým vymedzením alebo výškou a oceňujú sa v očakávanej výške záväzku.</w:t>
      </w:r>
    </w:p>
    <w:p w:rsidR="00A362B9" w:rsidRDefault="00A362B9" w:rsidP="00A362B9">
      <w:pPr>
        <w:pStyle w:val="odstavec"/>
      </w:pPr>
    </w:p>
    <w:p w:rsidR="00A362B9" w:rsidRDefault="00A362B9" w:rsidP="00A362B9">
      <w:pPr>
        <w:pStyle w:val="odstavec"/>
      </w:pPr>
      <w:r>
        <w:rPr>
          <w:u w:val="single"/>
        </w:rPr>
        <w:t>Záväzky</w:t>
      </w:r>
      <w:r>
        <w:t xml:space="preserve"> sa pri ich vzniku oceňujú menovitou hodnotou a pri ich prevzatí sa oceňujú obstarávacou cenou. </w:t>
      </w:r>
    </w:p>
    <w:p w:rsidR="00A362B9" w:rsidRDefault="00A362B9" w:rsidP="00A362B9">
      <w:pPr>
        <w:pStyle w:val="odstavec"/>
      </w:pPr>
    </w:p>
    <w:p w:rsidR="00A362B9" w:rsidRDefault="00A362B9" w:rsidP="00A362B9">
      <w:pPr>
        <w:pStyle w:val="odstavec"/>
      </w:pPr>
      <w:r>
        <w:t xml:space="preserve">Účty </w:t>
      </w:r>
      <w:r>
        <w:rPr>
          <w:u w:val="single"/>
        </w:rPr>
        <w:t>časového rozlíšenia aktív a pasív</w:t>
      </w:r>
      <w:r>
        <w:t xml:space="preserve"> sú vykázané vo výške, ktorá je potrebná </w:t>
      </w:r>
      <w:r>
        <w:tab/>
        <w:t>na dodržanie zásady vecnej a časovej súvislosti s účtovným obdobím.</w:t>
      </w:r>
    </w:p>
    <w:p w:rsidR="00A362B9" w:rsidRDefault="00A362B9" w:rsidP="00A362B9">
      <w:pPr>
        <w:pStyle w:val="Nadpis1"/>
      </w:pPr>
    </w:p>
    <w:p w:rsidR="00A362B9" w:rsidRDefault="00A362B9" w:rsidP="00A362B9">
      <w:pPr>
        <w:pStyle w:val="odstavec"/>
      </w:pPr>
    </w:p>
    <w:p w:rsidR="00A362B9" w:rsidRDefault="00A362B9" w:rsidP="00A362B9">
      <w:pPr>
        <w:autoSpaceDE w:val="0"/>
        <w:autoSpaceDN w:val="0"/>
        <w:adjustRightInd w:val="0"/>
        <w:jc w:val="center"/>
        <w:rPr>
          <w:rFonts w:ascii="FuturaTEE-Demi" w:hAnsi="FuturaTEE-Demi" w:cs="FuturaTEE-Demi"/>
          <w:b/>
          <w:sz w:val="22"/>
          <w:szCs w:val="22"/>
        </w:rPr>
      </w:pPr>
    </w:p>
    <w:p w:rsidR="00A362B9" w:rsidRDefault="00A362B9" w:rsidP="00A362B9">
      <w:pPr>
        <w:autoSpaceDE w:val="0"/>
        <w:autoSpaceDN w:val="0"/>
        <w:adjustRightInd w:val="0"/>
        <w:jc w:val="center"/>
        <w:rPr>
          <w:rFonts w:ascii="FuturaTEE-Demi" w:hAnsi="FuturaTEE-Demi" w:cs="FuturaTEE-Demi"/>
          <w:b/>
          <w:sz w:val="22"/>
          <w:szCs w:val="22"/>
        </w:rPr>
      </w:pPr>
      <w:r>
        <w:rPr>
          <w:rFonts w:ascii="FuturaTEE-Demi" w:hAnsi="FuturaTEE-Demi" w:cs="FuturaTEE-Demi"/>
          <w:b/>
          <w:sz w:val="22"/>
          <w:szCs w:val="22"/>
        </w:rPr>
        <w:t>Čl. II</w:t>
      </w:r>
    </w:p>
    <w:p w:rsidR="00A362B9" w:rsidRDefault="00A362B9" w:rsidP="00A362B9">
      <w:pPr>
        <w:autoSpaceDE w:val="0"/>
        <w:autoSpaceDN w:val="0"/>
        <w:adjustRightInd w:val="0"/>
        <w:jc w:val="center"/>
        <w:rPr>
          <w:rFonts w:ascii="FuturaTEE-Demi" w:hAnsi="FuturaTEE-Demi" w:cs="FuturaTEE-Demi"/>
          <w:b/>
          <w:sz w:val="22"/>
          <w:szCs w:val="22"/>
        </w:rPr>
      </w:pPr>
    </w:p>
    <w:p w:rsidR="00A362B9" w:rsidRDefault="00A362B9" w:rsidP="00A362B9">
      <w:pPr>
        <w:autoSpaceDE w:val="0"/>
        <w:autoSpaceDN w:val="0"/>
        <w:adjustRightInd w:val="0"/>
        <w:jc w:val="center"/>
        <w:rPr>
          <w:rFonts w:ascii="FuturaTEE-Demi" w:hAnsi="FuturaTEE-Demi" w:cs="FuturaTEE-Demi"/>
          <w:b/>
          <w:sz w:val="24"/>
          <w:szCs w:val="24"/>
        </w:rPr>
      </w:pPr>
      <w:r>
        <w:rPr>
          <w:rFonts w:ascii="FuturaTEE-Demi" w:hAnsi="FuturaTEE-Demi" w:cs="FuturaTEE-Demi"/>
          <w:b/>
          <w:sz w:val="24"/>
          <w:szCs w:val="24"/>
        </w:rPr>
        <w:t>INFORMÁCIE O METÓDACH A POSTUPOCH KONSOLIDÁCIE</w:t>
      </w:r>
    </w:p>
    <w:p w:rsidR="00A362B9" w:rsidRDefault="00A362B9" w:rsidP="00A362B9">
      <w:pPr>
        <w:autoSpaceDE w:val="0"/>
        <w:autoSpaceDN w:val="0"/>
        <w:adjustRightInd w:val="0"/>
        <w:jc w:val="center"/>
        <w:rPr>
          <w:rFonts w:ascii="FuturaTEE-Demi" w:hAnsi="FuturaTEE-Demi" w:cs="FuturaTEE-Demi"/>
          <w:b/>
          <w:sz w:val="24"/>
          <w:szCs w:val="24"/>
        </w:rPr>
      </w:pPr>
    </w:p>
    <w:p w:rsidR="00A362B9" w:rsidRDefault="00A362B9" w:rsidP="00A362B9">
      <w:pPr>
        <w:jc w:val="both"/>
        <w:rPr>
          <w:sz w:val="24"/>
          <w:szCs w:val="24"/>
        </w:rPr>
      </w:pPr>
      <w:r>
        <w:rPr>
          <w:sz w:val="24"/>
          <w:szCs w:val="24"/>
        </w:rPr>
        <w:t>Konsolidovaná účtovná závierka Obce Brzotín</w:t>
      </w:r>
      <w:r>
        <w:rPr>
          <w:color w:val="0070C0"/>
          <w:sz w:val="24"/>
          <w:szCs w:val="24"/>
        </w:rPr>
        <w:t xml:space="preserve"> </w:t>
      </w:r>
      <w:r>
        <w:rPr>
          <w:sz w:val="24"/>
          <w:szCs w:val="24"/>
        </w:rPr>
        <w:t>bola zostavená v súlade so zákonom č. 431/2002 Z. z. o účtovníctve v znení neskorších predpisov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A362B9" w:rsidRDefault="00A362B9" w:rsidP="00A362B9">
      <w:pPr>
        <w:jc w:val="both"/>
        <w:rPr>
          <w:sz w:val="24"/>
          <w:szCs w:val="24"/>
        </w:rPr>
      </w:pPr>
    </w:p>
    <w:p w:rsidR="00A362B9" w:rsidRDefault="00A362B9" w:rsidP="00A362B9">
      <w:pPr>
        <w:jc w:val="both"/>
        <w:rPr>
          <w:sz w:val="24"/>
          <w:szCs w:val="24"/>
        </w:rPr>
      </w:pPr>
      <w:r>
        <w:rPr>
          <w:sz w:val="24"/>
          <w:szCs w:val="24"/>
        </w:rPr>
        <w:t xml:space="preserve">V rámci konsolidácie konsolidovaného celku Obce boli eliminované vzájomné pohľadávky, záväzky, náklady a výnosy, bola vykonaná konsolidácia kapitálu. </w:t>
      </w:r>
    </w:p>
    <w:p w:rsidR="00A362B9" w:rsidRDefault="00A362B9" w:rsidP="00A362B9">
      <w:pPr>
        <w:jc w:val="both"/>
        <w:rPr>
          <w:i/>
          <w:sz w:val="24"/>
          <w:szCs w:val="24"/>
        </w:rPr>
      </w:pPr>
    </w:p>
    <w:p w:rsidR="00A362B9" w:rsidRDefault="00A362B9" w:rsidP="00A362B9">
      <w:pPr>
        <w:jc w:val="both"/>
        <w:rPr>
          <w:i/>
          <w:sz w:val="24"/>
          <w:szCs w:val="24"/>
        </w:rPr>
      </w:pPr>
      <w:r>
        <w:rPr>
          <w:i/>
          <w:sz w:val="24"/>
          <w:szCs w:val="24"/>
        </w:rPr>
        <w:t>Zahrnutie konsolidovaných účtovných jednotiek do konsolidovanej účtovnej závierky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46"/>
        <w:gridCol w:w="1517"/>
        <w:gridCol w:w="1534"/>
        <w:gridCol w:w="1527"/>
      </w:tblGrid>
      <w:tr w:rsidR="00A362B9" w:rsidTr="00A362B9">
        <w:tc>
          <w:tcPr>
            <w:tcW w:w="4446" w:type="dxa"/>
            <w:tcBorders>
              <w:top w:val="single" w:sz="4" w:space="0" w:color="auto"/>
              <w:left w:val="single" w:sz="4" w:space="0" w:color="auto"/>
              <w:bottom w:val="single" w:sz="4" w:space="0" w:color="auto"/>
              <w:right w:val="single" w:sz="4" w:space="0" w:color="auto"/>
            </w:tcBorders>
            <w:shd w:val="clear" w:color="auto" w:fill="F2F2F2"/>
            <w:hideMark/>
          </w:tcPr>
          <w:p w:rsidR="00A362B9" w:rsidRDefault="00A362B9">
            <w:pPr>
              <w:spacing w:line="254" w:lineRule="auto"/>
              <w:jc w:val="center"/>
              <w:rPr>
                <w:sz w:val="24"/>
                <w:szCs w:val="24"/>
                <w:lang w:eastAsia="en-US"/>
              </w:rPr>
            </w:pPr>
            <w:r>
              <w:rPr>
                <w:sz w:val="24"/>
                <w:szCs w:val="24"/>
                <w:lang w:eastAsia="en-US"/>
              </w:rPr>
              <w:t xml:space="preserve">Názov resp. obchodné meno </w:t>
            </w:r>
          </w:p>
          <w:p w:rsidR="00A362B9" w:rsidRDefault="00A362B9">
            <w:pPr>
              <w:spacing w:line="254" w:lineRule="auto"/>
              <w:jc w:val="center"/>
              <w:rPr>
                <w:sz w:val="24"/>
                <w:szCs w:val="24"/>
                <w:lang w:eastAsia="en-US"/>
              </w:rPr>
            </w:pPr>
            <w:r>
              <w:rPr>
                <w:sz w:val="24"/>
                <w:szCs w:val="24"/>
                <w:lang w:eastAsia="en-US"/>
              </w:rPr>
              <w:t>konsolidovanej účtovnej jednotky</w:t>
            </w:r>
          </w:p>
        </w:tc>
        <w:tc>
          <w:tcPr>
            <w:tcW w:w="1517" w:type="dxa"/>
            <w:tcBorders>
              <w:top w:val="single" w:sz="4" w:space="0" w:color="auto"/>
              <w:left w:val="single" w:sz="4" w:space="0" w:color="auto"/>
              <w:bottom w:val="single" w:sz="4" w:space="0" w:color="auto"/>
              <w:right w:val="single" w:sz="4" w:space="0" w:color="auto"/>
            </w:tcBorders>
            <w:shd w:val="clear" w:color="auto" w:fill="F2F2F2"/>
            <w:hideMark/>
          </w:tcPr>
          <w:p w:rsidR="00A362B9" w:rsidRDefault="00A362B9">
            <w:pPr>
              <w:spacing w:line="254" w:lineRule="auto"/>
              <w:jc w:val="center"/>
              <w:rPr>
                <w:sz w:val="24"/>
                <w:szCs w:val="24"/>
                <w:lang w:eastAsia="en-US"/>
              </w:rPr>
            </w:pPr>
            <w:r>
              <w:rPr>
                <w:sz w:val="24"/>
                <w:szCs w:val="24"/>
                <w:lang w:eastAsia="en-US"/>
              </w:rPr>
              <w:t xml:space="preserve">Metóda </w:t>
            </w:r>
          </w:p>
          <w:p w:rsidR="00A362B9" w:rsidRDefault="00A362B9">
            <w:pPr>
              <w:spacing w:line="254" w:lineRule="auto"/>
              <w:jc w:val="center"/>
              <w:rPr>
                <w:sz w:val="24"/>
                <w:szCs w:val="24"/>
                <w:lang w:eastAsia="en-US"/>
              </w:rPr>
            </w:pPr>
            <w:r>
              <w:rPr>
                <w:sz w:val="24"/>
                <w:szCs w:val="24"/>
                <w:lang w:eastAsia="en-US"/>
              </w:rPr>
              <w:t>úplnej konsolidácie</w:t>
            </w:r>
          </w:p>
        </w:tc>
        <w:tc>
          <w:tcPr>
            <w:tcW w:w="1534" w:type="dxa"/>
            <w:tcBorders>
              <w:top w:val="single" w:sz="4" w:space="0" w:color="auto"/>
              <w:left w:val="single" w:sz="4" w:space="0" w:color="auto"/>
              <w:bottom w:val="single" w:sz="4" w:space="0" w:color="auto"/>
              <w:right w:val="single" w:sz="4" w:space="0" w:color="auto"/>
            </w:tcBorders>
            <w:shd w:val="clear" w:color="auto" w:fill="F2F2F2"/>
            <w:hideMark/>
          </w:tcPr>
          <w:p w:rsidR="00A362B9" w:rsidRDefault="00A362B9">
            <w:pPr>
              <w:spacing w:line="254" w:lineRule="auto"/>
              <w:jc w:val="center"/>
              <w:rPr>
                <w:sz w:val="24"/>
                <w:szCs w:val="24"/>
                <w:lang w:eastAsia="en-US"/>
              </w:rPr>
            </w:pPr>
            <w:r>
              <w:rPr>
                <w:sz w:val="24"/>
                <w:szCs w:val="24"/>
                <w:lang w:eastAsia="en-US"/>
              </w:rPr>
              <w:t xml:space="preserve">Metóda </w:t>
            </w:r>
          </w:p>
          <w:p w:rsidR="00A362B9" w:rsidRDefault="00A362B9">
            <w:pPr>
              <w:spacing w:line="254" w:lineRule="auto"/>
              <w:jc w:val="center"/>
              <w:rPr>
                <w:sz w:val="24"/>
                <w:szCs w:val="24"/>
                <w:lang w:eastAsia="en-US"/>
              </w:rPr>
            </w:pPr>
            <w:r>
              <w:rPr>
                <w:sz w:val="24"/>
                <w:szCs w:val="24"/>
                <w:lang w:eastAsia="en-US"/>
              </w:rPr>
              <w:t>podielovej konsolidácie</w:t>
            </w:r>
          </w:p>
        </w:tc>
        <w:tc>
          <w:tcPr>
            <w:tcW w:w="1527" w:type="dxa"/>
            <w:tcBorders>
              <w:top w:val="single" w:sz="4" w:space="0" w:color="auto"/>
              <w:left w:val="single" w:sz="4" w:space="0" w:color="auto"/>
              <w:bottom w:val="single" w:sz="4" w:space="0" w:color="auto"/>
              <w:right w:val="single" w:sz="4" w:space="0" w:color="auto"/>
            </w:tcBorders>
            <w:shd w:val="clear" w:color="auto" w:fill="F2F2F2"/>
            <w:hideMark/>
          </w:tcPr>
          <w:p w:rsidR="00A362B9" w:rsidRDefault="00A362B9">
            <w:pPr>
              <w:spacing w:line="254" w:lineRule="auto"/>
              <w:jc w:val="center"/>
              <w:rPr>
                <w:sz w:val="24"/>
                <w:szCs w:val="24"/>
                <w:lang w:eastAsia="en-US"/>
              </w:rPr>
            </w:pPr>
            <w:r>
              <w:rPr>
                <w:sz w:val="24"/>
                <w:szCs w:val="24"/>
                <w:lang w:eastAsia="en-US"/>
              </w:rPr>
              <w:t xml:space="preserve">Metóda </w:t>
            </w:r>
          </w:p>
          <w:p w:rsidR="00A362B9" w:rsidRDefault="00A362B9">
            <w:pPr>
              <w:spacing w:line="254" w:lineRule="auto"/>
              <w:jc w:val="center"/>
              <w:rPr>
                <w:sz w:val="24"/>
                <w:szCs w:val="24"/>
                <w:lang w:eastAsia="en-US"/>
              </w:rPr>
            </w:pPr>
            <w:r>
              <w:rPr>
                <w:sz w:val="24"/>
                <w:szCs w:val="24"/>
                <w:lang w:eastAsia="en-US"/>
              </w:rPr>
              <w:t>vlastného imania</w:t>
            </w:r>
          </w:p>
        </w:tc>
      </w:tr>
      <w:tr w:rsidR="00A362B9" w:rsidTr="00A362B9">
        <w:tc>
          <w:tcPr>
            <w:tcW w:w="4446" w:type="dxa"/>
            <w:tcBorders>
              <w:top w:val="single" w:sz="4" w:space="0" w:color="auto"/>
              <w:left w:val="single" w:sz="4" w:space="0" w:color="auto"/>
              <w:bottom w:val="single" w:sz="4" w:space="0" w:color="auto"/>
              <w:right w:val="single" w:sz="4" w:space="0" w:color="auto"/>
            </w:tcBorders>
            <w:vAlign w:val="bottom"/>
            <w:hideMark/>
          </w:tcPr>
          <w:p w:rsidR="00A362B9" w:rsidRDefault="00A362B9">
            <w:pPr>
              <w:spacing w:line="254" w:lineRule="auto"/>
              <w:rPr>
                <w:sz w:val="24"/>
                <w:szCs w:val="24"/>
                <w:lang w:eastAsia="en-US"/>
              </w:rPr>
            </w:pPr>
            <w:r>
              <w:rPr>
                <w:sz w:val="24"/>
                <w:szCs w:val="24"/>
                <w:lang w:eastAsia="en-US"/>
              </w:rPr>
              <w:t>Obec Brzotín</w:t>
            </w:r>
          </w:p>
        </w:tc>
        <w:tc>
          <w:tcPr>
            <w:tcW w:w="1517" w:type="dxa"/>
            <w:tcBorders>
              <w:top w:val="single" w:sz="4" w:space="0" w:color="auto"/>
              <w:left w:val="single" w:sz="4" w:space="0" w:color="auto"/>
              <w:bottom w:val="single" w:sz="4" w:space="0" w:color="auto"/>
              <w:right w:val="single" w:sz="4" w:space="0" w:color="auto"/>
            </w:tcBorders>
            <w:hideMark/>
          </w:tcPr>
          <w:p w:rsidR="00A362B9" w:rsidRDefault="00A362B9">
            <w:pPr>
              <w:spacing w:line="254" w:lineRule="auto"/>
              <w:jc w:val="center"/>
              <w:rPr>
                <w:sz w:val="24"/>
                <w:szCs w:val="24"/>
                <w:lang w:eastAsia="en-US"/>
              </w:rPr>
            </w:pPr>
            <w:r>
              <w:rPr>
                <w:sz w:val="24"/>
                <w:szCs w:val="24"/>
                <w:lang w:eastAsia="en-US"/>
              </w:rPr>
              <w:t>Áno</w:t>
            </w:r>
          </w:p>
        </w:tc>
        <w:tc>
          <w:tcPr>
            <w:tcW w:w="1534" w:type="dxa"/>
            <w:tcBorders>
              <w:top w:val="single" w:sz="4" w:space="0" w:color="auto"/>
              <w:left w:val="single" w:sz="4" w:space="0" w:color="auto"/>
              <w:bottom w:val="single" w:sz="4" w:space="0" w:color="auto"/>
              <w:right w:val="single" w:sz="4" w:space="0" w:color="auto"/>
            </w:tcBorders>
          </w:tcPr>
          <w:p w:rsidR="00A362B9" w:rsidRDefault="00A362B9">
            <w:pPr>
              <w:spacing w:line="254" w:lineRule="auto"/>
              <w:jc w:val="both"/>
              <w:rPr>
                <w:sz w:val="24"/>
                <w:szCs w:val="24"/>
                <w:lang w:eastAsia="en-US"/>
              </w:rPr>
            </w:pPr>
          </w:p>
        </w:tc>
        <w:tc>
          <w:tcPr>
            <w:tcW w:w="1527" w:type="dxa"/>
            <w:tcBorders>
              <w:top w:val="single" w:sz="4" w:space="0" w:color="auto"/>
              <w:left w:val="single" w:sz="4" w:space="0" w:color="auto"/>
              <w:bottom w:val="single" w:sz="4" w:space="0" w:color="auto"/>
              <w:right w:val="single" w:sz="4" w:space="0" w:color="auto"/>
            </w:tcBorders>
          </w:tcPr>
          <w:p w:rsidR="00A362B9" w:rsidRDefault="00A362B9">
            <w:pPr>
              <w:spacing w:line="254" w:lineRule="auto"/>
              <w:jc w:val="both"/>
              <w:rPr>
                <w:sz w:val="24"/>
                <w:szCs w:val="24"/>
                <w:lang w:eastAsia="en-US"/>
              </w:rPr>
            </w:pPr>
          </w:p>
        </w:tc>
      </w:tr>
      <w:tr w:rsidR="00A362B9" w:rsidTr="00A362B9">
        <w:tc>
          <w:tcPr>
            <w:tcW w:w="4446" w:type="dxa"/>
            <w:tcBorders>
              <w:top w:val="single" w:sz="4" w:space="0" w:color="auto"/>
              <w:left w:val="single" w:sz="4" w:space="0" w:color="auto"/>
              <w:bottom w:val="single" w:sz="4" w:space="0" w:color="auto"/>
              <w:right w:val="single" w:sz="4" w:space="0" w:color="auto"/>
            </w:tcBorders>
            <w:vAlign w:val="bottom"/>
            <w:hideMark/>
          </w:tcPr>
          <w:p w:rsidR="00A362B9" w:rsidRDefault="00A362B9">
            <w:pPr>
              <w:spacing w:line="254" w:lineRule="auto"/>
              <w:rPr>
                <w:sz w:val="24"/>
                <w:szCs w:val="24"/>
                <w:lang w:eastAsia="en-US"/>
              </w:rPr>
            </w:pPr>
            <w:proofErr w:type="spellStart"/>
            <w:r>
              <w:rPr>
                <w:sz w:val="24"/>
                <w:szCs w:val="24"/>
                <w:lang w:eastAsia="en-US"/>
              </w:rPr>
              <w:t>ZŠsMŠ</w:t>
            </w:r>
            <w:proofErr w:type="spellEnd"/>
            <w:r>
              <w:rPr>
                <w:sz w:val="24"/>
                <w:szCs w:val="24"/>
                <w:lang w:eastAsia="en-US"/>
              </w:rPr>
              <w:t xml:space="preserve"> Brzotín</w:t>
            </w:r>
          </w:p>
        </w:tc>
        <w:tc>
          <w:tcPr>
            <w:tcW w:w="1517" w:type="dxa"/>
            <w:tcBorders>
              <w:top w:val="single" w:sz="4" w:space="0" w:color="auto"/>
              <w:left w:val="single" w:sz="4" w:space="0" w:color="auto"/>
              <w:bottom w:val="single" w:sz="4" w:space="0" w:color="auto"/>
              <w:right w:val="single" w:sz="4" w:space="0" w:color="auto"/>
            </w:tcBorders>
            <w:hideMark/>
          </w:tcPr>
          <w:p w:rsidR="00A362B9" w:rsidRDefault="00A362B9">
            <w:pPr>
              <w:spacing w:line="254" w:lineRule="auto"/>
              <w:jc w:val="center"/>
              <w:rPr>
                <w:sz w:val="24"/>
                <w:szCs w:val="24"/>
                <w:lang w:eastAsia="en-US"/>
              </w:rPr>
            </w:pPr>
            <w:r>
              <w:rPr>
                <w:sz w:val="24"/>
                <w:szCs w:val="24"/>
                <w:lang w:eastAsia="en-US"/>
              </w:rPr>
              <w:t>Áno</w:t>
            </w:r>
          </w:p>
        </w:tc>
        <w:tc>
          <w:tcPr>
            <w:tcW w:w="1534" w:type="dxa"/>
            <w:tcBorders>
              <w:top w:val="single" w:sz="4" w:space="0" w:color="auto"/>
              <w:left w:val="single" w:sz="4" w:space="0" w:color="auto"/>
              <w:bottom w:val="single" w:sz="4" w:space="0" w:color="auto"/>
              <w:right w:val="single" w:sz="4" w:space="0" w:color="auto"/>
            </w:tcBorders>
          </w:tcPr>
          <w:p w:rsidR="00A362B9" w:rsidRDefault="00A362B9">
            <w:pPr>
              <w:spacing w:line="254" w:lineRule="auto"/>
              <w:jc w:val="both"/>
              <w:rPr>
                <w:sz w:val="24"/>
                <w:szCs w:val="24"/>
                <w:lang w:eastAsia="en-US"/>
              </w:rPr>
            </w:pPr>
          </w:p>
        </w:tc>
        <w:tc>
          <w:tcPr>
            <w:tcW w:w="1527" w:type="dxa"/>
            <w:tcBorders>
              <w:top w:val="single" w:sz="4" w:space="0" w:color="auto"/>
              <w:left w:val="single" w:sz="4" w:space="0" w:color="auto"/>
              <w:bottom w:val="single" w:sz="4" w:space="0" w:color="auto"/>
              <w:right w:val="single" w:sz="4" w:space="0" w:color="auto"/>
            </w:tcBorders>
          </w:tcPr>
          <w:p w:rsidR="00A362B9" w:rsidRDefault="00A362B9">
            <w:pPr>
              <w:spacing w:line="254" w:lineRule="auto"/>
              <w:jc w:val="both"/>
              <w:rPr>
                <w:sz w:val="24"/>
                <w:szCs w:val="24"/>
                <w:lang w:eastAsia="en-US"/>
              </w:rPr>
            </w:pPr>
          </w:p>
        </w:tc>
      </w:tr>
    </w:tbl>
    <w:p w:rsidR="00A362B9" w:rsidRDefault="00A362B9" w:rsidP="00A362B9">
      <w:pPr>
        <w:jc w:val="both"/>
        <w:rPr>
          <w:sz w:val="24"/>
          <w:szCs w:val="24"/>
        </w:rPr>
      </w:pPr>
    </w:p>
    <w:p w:rsidR="00A362B9" w:rsidRDefault="00A362B9" w:rsidP="00A362B9">
      <w:pPr>
        <w:jc w:val="both"/>
        <w:rPr>
          <w:sz w:val="24"/>
          <w:szCs w:val="24"/>
        </w:rPr>
      </w:pPr>
      <w:r>
        <w:rPr>
          <w:sz w:val="24"/>
          <w:szCs w:val="24"/>
        </w:rPr>
        <w:t>Pri dcérskej účtovnej jednotke bola použitá metóda úplnej konsolidácie.</w:t>
      </w:r>
    </w:p>
    <w:p w:rsidR="00A362B9" w:rsidRDefault="00A362B9" w:rsidP="00A362B9">
      <w:pPr>
        <w:jc w:val="both"/>
        <w:rPr>
          <w:sz w:val="24"/>
          <w:szCs w:val="24"/>
        </w:rPr>
      </w:pPr>
    </w:p>
    <w:p w:rsidR="00A362B9" w:rsidRDefault="00A362B9" w:rsidP="00A362B9">
      <w:pPr>
        <w:jc w:val="both"/>
        <w:rPr>
          <w:sz w:val="24"/>
          <w:szCs w:val="24"/>
        </w:rPr>
      </w:pPr>
      <w:r>
        <w:rPr>
          <w:sz w:val="24"/>
          <w:szCs w:val="24"/>
        </w:rPr>
        <w:t>V roku 201</w:t>
      </w:r>
      <w:r>
        <w:rPr>
          <w:sz w:val="24"/>
          <w:szCs w:val="24"/>
        </w:rPr>
        <w:t>5</w:t>
      </w:r>
      <w:r>
        <w:rPr>
          <w:sz w:val="24"/>
          <w:szCs w:val="24"/>
        </w:rPr>
        <w:t>, rovnako ako v predchádzajúcich účtovných obdobiach,  sa medzi účtovnými jednotkami konsolidovaného celku Obce neuskutočnil nákup, resp. predaj majetku. Preto nebolo potrebné vykonať konsolidáciu medzivýsledku.</w:t>
      </w:r>
    </w:p>
    <w:p w:rsidR="00A362B9" w:rsidRDefault="00A362B9" w:rsidP="00A362B9">
      <w:pPr>
        <w:rPr>
          <w:lang w:eastAsia="x-none"/>
        </w:rPr>
      </w:pPr>
    </w:p>
    <w:p w:rsidR="00A362B9" w:rsidRDefault="00A362B9" w:rsidP="00A362B9">
      <w:pPr>
        <w:autoSpaceDE w:val="0"/>
        <w:autoSpaceDN w:val="0"/>
        <w:adjustRightInd w:val="0"/>
        <w:jc w:val="center"/>
        <w:rPr>
          <w:rFonts w:ascii="FuturaTEE-Demi" w:hAnsi="FuturaTEE-Demi" w:cs="FuturaTEE-Demi"/>
          <w:b/>
          <w:sz w:val="22"/>
          <w:szCs w:val="22"/>
        </w:rPr>
      </w:pPr>
    </w:p>
    <w:p w:rsidR="00A362B9" w:rsidRDefault="00A362B9" w:rsidP="00A362B9">
      <w:pPr>
        <w:autoSpaceDE w:val="0"/>
        <w:autoSpaceDN w:val="0"/>
        <w:adjustRightInd w:val="0"/>
        <w:jc w:val="center"/>
        <w:rPr>
          <w:rFonts w:ascii="Arial" w:hAnsi="Arial" w:cs="Arial"/>
          <w:b/>
          <w:sz w:val="22"/>
          <w:szCs w:val="22"/>
        </w:rPr>
      </w:pPr>
      <w:r>
        <w:rPr>
          <w:rFonts w:ascii="Arial" w:hAnsi="Arial" w:cs="Arial"/>
          <w:b/>
          <w:sz w:val="22"/>
          <w:szCs w:val="22"/>
        </w:rPr>
        <w:t>Čl. III</w:t>
      </w:r>
    </w:p>
    <w:p w:rsidR="00A362B9" w:rsidRDefault="00A362B9" w:rsidP="00A362B9">
      <w:pPr>
        <w:pStyle w:val="Nadpis1"/>
      </w:pPr>
      <w:r>
        <w:rPr>
          <w:rFonts w:ascii="Arial" w:hAnsi="Arial" w:cs="Arial"/>
          <w:b w:val="0"/>
          <w:sz w:val="22"/>
          <w:szCs w:val="22"/>
        </w:rPr>
        <w:tab/>
      </w:r>
      <w:r>
        <w:t xml:space="preserve">INFORMÁCIE O ÚDAJOCH NA STRANE </w:t>
      </w:r>
      <w:r>
        <w:rPr>
          <w:lang w:val="sk-SK"/>
        </w:rPr>
        <w:t>AKTÍV</w:t>
      </w:r>
      <w:r>
        <w:t xml:space="preserve"> SÚVAHY</w:t>
      </w:r>
    </w:p>
    <w:p w:rsidR="00A362B9" w:rsidRDefault="00A362B9" w:rsidP="00A362B9">
      <w:pPr>
        <w:pStyle w:val="Nadpis2"/>
        <w:spacing w:before="0" w:after="0"/>
        <w:rPr>
          <w:lang w:val="sk-SK"/>
        </w:rPr>
      </w:pPr>
    </w:p>
    <w:p w:rsidR="00A362B9" w:rsidRDefault="00A362B9" w:rsidP="00A362B9">
      <w:pPr>
        <w:pStyle w:val="Nadpis2"/>
        <w:spacing w:before="0" w:after="0"/>
      </w:pPr>
      <w:r>
        <w:t>Dlhodobý nehmotný majetok a dlhodobý hmotný majetok</w:t>
      </w:r>
    </w:p>
    <w:p w:rsidR="00A362B9" w:rsidRDefault="00A362B9" w:rsidP="00A362B9">
      <w:pPr>
        <w:pStyle w:val="odstavec"/>
      </w:pPr>
      <w:r>
        <w:t>Prehľad pohybu dlhodobého nehmotného a dlhodobého hmotného majetku od 1. januára 201</w:t>
      </w:r>
      <w:r>
        <w:t>5</w:t>
      </w:r>
      <w:r>
        <w:t xml:space="preserve"> do 31. decembra 201</w:t>
      </w:r>
      <w:r>
        <w:t>5</w:t>
      </w:r>
      <w:r>
        <w:t xml:space="preserve"> je uvedený v tabuľkovej časti </w:t>
      </w:r>
      <w:r>
        <w:rPr>
          <w:i/>
        </w:rPr>
        <w:t>Prehľad o pohybe dlhodobého majetku.</w:t>
      </w:r>
    </w:p>
    <w:p w:rsidR="00A362B9" w:rsidRDefault="00A362B9" w:rsidP="00A362B9">
      <w:pPr>
        <w:pStyle w:val="odstavec"/>
      </w:pPr>
    </w:p>
    <w:p w:rsidR="00A362B9" w:rsidRDefault="00A362B9" w:rsidP="00A362B9">
      <w:pPr>
        <w:pStyle w:val="odstavec"/>
      </w:pPr>
      <w:r>
        <w:t xml:space="preserve">Obec má vo vlastníctve 2 motorové vozidlá, 2 traktory s prívesom, UNC, malý traktor a obytný príves v obstarávacej cene </w:t>
      </w:r>
      <w:r>
        <w:t>59 676,19</w:t>
      </w:r>
      <w:r>
        <w:t xml:space="preserve"> Eur (k 31.12.201</w:t>
      </w:r>
      <w:r>
        <w:t>5</w:t>
      </w:r>
      <w:r>
        <w:t xml:space="preserve"> bez zostatkovej ceny okrem malého traktora, ktorého ZC je </w:t>
      </w:r>
      <w:r>
        <w:t>1 359</w:t>
      </w:r>
      <w:r>
        <w:t>,00 €</w:t>
      </w:r>
      <w:r>
        <w:t xml:space="preserve"> a osobného automobilu </w:t>
      </w:r>
      <w:proofErr w:type="spellStart"/>
      <w:r>
        <w:t>Citroen</w:t>
      </w:r>
      <w:proofErr w:type="spellEnd"/>
      <w:r>
        <w:t>, ktorého ZC je 11 268,66 Eur</w:t>
      </w:r>
      <w:r>
        <w:t>), ktoré vykazuje ako svoj majetok.</w:t>
      </w:r>
    </w:p>
    <w:p w:rsidR="00A362B9" w:rsidRDefault="00A362B9" w:rsidP="00A362B9">
      <w:pPr>
        <w:pStyle w:val="odstavec"/>
      </w:pPr>
    </w:p>
    <w:p w:rsidR="00A362B9" w:rsidRDefault="00A362B9" w:rsidP="00A362B9">
      <w:pPr>
        <w:pStyle w:val="odstavec"/>
      </w:pPr>
      <w:r>
        <w:t xml:space="preserve">Obec vytvorila opravnú položku k majetku, vykázanej na účte 042 - Obstaranie dlhodobého hmotného majetku vo výške </w:t>
      </w:r>
      <w:r>
        <w:t>8 794,62</w:t>
      </w:r>
      <w:r>
        <w:t xml:space="preserve"> Eur  (k 31.12.201</w:t>
      </w:r>
      <w:r w:rsidR="001B7BCA">
        <w:t>5</w:t>
      </w:r>
      <w:r>
        <w:t xml:space="preserve"> vo výške </w:t>
      </w:r>
      <w:r w:rsidR="001B7BCA">
        <w:t>8 794,62</w:t>
      </w:r>
      <w:r>
        <w:t xml:space="preserve"> Eur). </w:t>
      </w:r>
    </w:p>
    <w:p w:rsidR="00A362B9" w:rsidRDefault="00A362B9" w:rsidP="00A362B9">
      <w:pPr>
        <w:pStyle w:val="odstavec"/>
      </w:pPr>
    </w:p>
    <w:p w:rsidR="00A362B9" w:rsidRDefault="00A362B9" w:rsidP="00A362B9">
      <w:pPr>
        <w:pStyle w:val="Nadpis2"/>
        <w:spacing w:before="0" w:after="0"/>
      </w:pPr>
      <w:r>
        <w:t>Dlhodobý finančný majetok</w:t>
      </w:r>
    </w:p>
    <w:p w:rsidR="00A362B9" w:rsidRDefault="00A362B9" w:rsidP="00A362B9">
      <w:pPr>
        <w:pStyle w:val="odstavec"/>
        <w:rPr>
          <w:i/>
        </w:rPr>
      </w:pPr>
      <w:r>
        <w:t>Prehľad dlhodobého finančného majetku účtovnej jednotky od 1. januára 201</w:t>
      </w:r>
      <w:r>
        <w:t>5</w:t>
      </w:r>
      <w:r>
        <w:t xml:space="preserve"> do   31. decembra 201</w:t>
      </w:r>
      <w:r>
        <w:t>5</w:t>
      </w:r>
      <w:r>
        <w:t xml:space="preserve"> je uvedený je uvedený v tabuľkovej časti </w:t>
      </w:r>
      <w:r>
        <w:rPr>
          <w:i/>
        </w:rPr>
        <w:t>Prehľad o pohybe dlhodobého majetku.</w:t>
      </w:r>
    </w:p>
    <w:p w:rsidR="00A362B9" w:rsidRDefault="00A362B9" w:rsidP="00A362B9">
      <w:pPr>
        <w:pStyle w:val="odstavec"/>
      </w:pPr>
    </w:p>
    <w:p w:rsidR="00A362B9" w:rsidRDefault="00A362B9" w:rsidP="00A362B9">
      <w:pPr>
        <w:pStyle w:val="odstavec"/>
      </w:pPr>
      <w:r>
        <w:t xml:space="preserve">Obec vlastní 7 348 ks cenných papierov  vo Východoslovenskej vodárenskej spoločnosti, </w:t>
      </w:r>
      <w:proofErr w:type="spellStart"/>
      <w:r>
        <w:t>a.s</w:t>
      </w:r>
      <w:proofErr w:type="spellEnd"/>
      <w:r>
        <w:t>. v mene euro v menovitej hodnote 33,190000. Účtovná hodnota k 31.12.201</w:t>
      </w:r>
      <w:r>
        <w:t>5</w:t>
      </w:r>
      <w:r>
        <w:t xml:space="preserve"> predstavovala sumu            243 880,12 </w:t>
      </w:r>
    </w:p>
    <w:p w:rsidR="00A362B9" w:rsidRDefault="00A362B9" w:rsidP="00A362B9">
      <w:pPr>
        <w:rPr>
          <w:sz w:val="22"/>
          <w:szCs w:val="22"/>
        </w:rPr>
      </w:pPr>
    </w:p>
    <w:p w:rsidR="00A362B9" w:rsidRDefault="00A362B9" w:rsidP="00A362B9">
      <w:pPr>
        <w:pStyle w:val="Nadpis2"/>
        <w:spacing w:before="0" w:after="0"/>
      </w:pPr>
      <w:r>
        <w:t>Pohľadávky</w:t>
      </w:r>
    </w:p>
    <w:p w:rsidR="00A362B9" w:rsidRDefault="00A362B9" w:rsidP="00A362B9">
      <w:pPr>
        <w:pStyle w:val="odstavec"/>
      </w:pPr>
      <w:r>
        <w:t>Vývoj opravných položiek k pohľadávkam ako aj rozdelenie pohľadávok podľa splatnosti sú uvedené v tabuľkovej časti.</w:t>
      </w:r>
    </w:p>
    <w:p w:rsidR="00A362B9" w:rsidRDefault="00A362B9" w:rsidP="00A362B9">
      <w:pPr>
        <w:pStyle w:val="odstavec"/>
      </w:pPr>
      <w:r>
        <w:t>Najvýznamnejšou položkou pohľadávok sú pohľadávky z daňových a nedaňových príjmov obce.</w:t>
      </w:r>
    </w:p>
    <w:p w:rsidR="00A362B9" w:rsidRDefault="00A362B9" w:rsidP="00A362B9">
      <w:pPr>
        <w:pStyle w:val="Nadpis2"/>
        <w:spacing w:before="0" w:after="0"/>
      </w:pPr>
    </w:p>
    <w:p w:rsidR="00A362B9" w:rsidRDefault="00A362B9" w:rsidP="00A362B9">
      <w:pPr>
        <w:pStyle w:val="Nadpis2"/>
        <w:spacing w:before="0" w:after="0"/>
      </w:pPr>
      <w:r>
        <w:t>Finančný majetok</w:t>
      </w:r>
    </w:p>
    <w:p w:rsidR="00A362B9" w:rsidRDefault="00A362B9" w:rsidP="00A362B9">
      <w:pPr>
        <w:pStyle w:val="Zkladntext"/>
        <w:ind w:left="0"/>
        <w:rPr>
          <w:sz w:val="24"/>
          <w:szCs w:val="24"/>
        </w:rPr>
      </w:pPr>
      <w:r>
        <w:rPr>
          <w:sz w:val="24"/>
          <w:szCs w:val="24"/>
        </w:rPr>
        <w:t>Ako finančný majetok sú vykázané peňažné prostriedky v pokladnici a účty v bankách. Účtami v bankách môže účtovná jednotka voľne disponovať, až na termínovaný vklad.</w:t>
      </w:r>
    </w:p>
    <w:p w:rsidR="00A362B9" w:rsidRDefault="00A362B9" w:rsidP="00A362B9">
      <w:pPr>
        <w:pStyle w:val="Nadpis2"/>
        <w:spacing w:before="0" w:after="0"/>
        <w:rPr>
          <w:highlight w:val="yellow"/>
        </w:rPr>
      </w:pPr>
    </w:p>
    <w:p w:rsidR="00A362B9" w:rsidRDefault="00A362B9" w:rsidP="00A362B9">
      <w:pPr>
        <w:pStyle w:val="Nadpis2"/>
        <w:spacing w:before="0" w:after="0"/>
      </w:pPr>
      <w:r>
        <w:t>Poskytnuté návratné finančné výpomoci</w:t>
      </w:r>
    </w:p>
    <w:p w:rsidR="00A362B9" w:rsidRDefault="00A362B9" w:rsidP="00A362B9">
      <w:pPr>
        <w:pStyle w:val="odstavec"/>
      </w:pPr>
      <w:r>
        <w:t>Obec poskytla v roku 201</w:t>
      </w:r>
      <w:r w:rsidR="001B7BCA">
        <w:t>5</w:t>
      </w:r>
      <w:r>
        <w:t xml:space="preserve"> návratnú finančnú výpomoc obyvateľom obce, ktorí sa ocitli v hmotnej núdzi na riešenie nepriaznivých životných situácií.</w:t>
      </w:r>
    </w:p>
    <w:p w:rsidR="00A362B9" w:rsidRDefault="00A362B9" w:rsidP="00A362B9">
      <w:pPr>
        <w:pStyle w:val="Nadpis1"/>
      </w:pPr>
    </w:p>
    <w:p w:rsidR="00A362B9" w:rsidRDefault="00A362B9" w:rsidP="00A362B9">
      <w:pPr>
        <w:pStyle w:val="Nadpis1"/>
      </w:pPr>
      <w:r>
        <w:t>Čl. IV</w:t>
      </w:r>
    </w:p>
    <w:p w:rsidR="00A362B9" w:rsidRDefault="00A362B9" w:rsidP="00A362B9">
      <w:pPr>
        <w:pStyle w:val="Nadpis1"/>
      </w:pPr>
      <w:r>
        <w:t>INFORMÁCIE O ÚDAJOCH NA STRANE PASÍV SÚVAHY</w:t>
      </w:r>
    </w:p>
    <w:p w:rsidR="00A362B9" w:rsidRDefault="00A362B9" w:rsidP="00A362B9">
      <w:pPr>
        <w:pStyle w:val="Nadpis2"/>
        <w:spacing w:before="0" w:after="0"/>
        <w:rPr>
          <w:lang w:val="sk-SK"/>
        </w:rPr>
      </w:pPr>
    </w:p>
    <w:p w:rsidR="00A362B9" w:rsidRDefault="00A362B9" w:rsidP="00A362B9">
      <w:pPr>
        <w:pStyle w:val="Nadpis2"/>
        <w:spacing w:before="0" w:after="0"/>
      </w:pPr>
      <w:r>
        <w:t>Vlastné imanie</w:t>
      </w:r>
    </w:p>
    <w:p w:rsidR="00A362B9" w:rsidRDefault="00A362B9" w:rsidP="00A362B9">
      <w:pPr>
        <w:pStyle w:val="odstavec"/>
        <w:rPr>
          <w:i/>
        </w:rPr>
      </w:pPr>
      <w:r>
        <w:t>Prehľad vlastného imania konsolidovaného celku od 1. januára 201</w:t>
      </w:r>
      <w:r w:rsidR="001B7BCA">
        <w:t>5</w:t>
      </w:r>
      <w:r>
        <w:t xml:space="preserve"> do 31. decembra 201</w:t>
      </w:r>
      <w:r w:rsidR="001B7BCA">
        <w:t>5</w:t>
      </w:r>
      <w:r>
        <w:t xml:space="preserve"> je uvedený v tabuľkovej časti.</w:t>
      </w:r>
    </w:p>
    <w:p w:rsidR="00A362B9" w:rsidRDefault="00A362B9" w:rsidP="00A362B9">
      <w:pPr>
        <w:pStyle w:val="odstavec"/>
      </w:pPr>
    </w:p>
    <w:p w:rsidR="00A362B9" w:rsidRDefault="00A362B9" w:rsidP="00A362B9">
      <w:pPr>
        <w:pStyle w:val="Nadpis2"/>
        <w:spacing w:before="0" w:after="0"/>
      </w:pPr>
      <w:r>
        <w:t>Rezervy</w:t>
      </w:r>
    </w:p>
    <w:p w:rsidR="00A362B9" w:rsidRDefault="00A362B9" w:rsidP="00A362B9">
      <w:pPr>
        <w:pStyle w:val="odstavec"/>
        <w:rPr>
          <w:i/>
        </w:rPr>
      </w:pPr>
      <w:r>
        <w:t>Prehľad rezerv konsolidovaného celku od 1. januára 201</w:t>
      </w:r>
      <w:r w:rsidR="001B7BCA">
        <w:t>5</w:t>
      </w:r>
      <w:r>
        <w:t xml:space="preserve"> do  31. decembra 201</w:t>
      </w:r>
      <w:r w:rsidR="001B7BCA">
        <w:t>5</w:t>
      </w:r>
      <w:r>
        <w:t xml:space="preserve"> je uvedený je uvedený v tabuľkovej časti.</w:t>
      </w:r>
    </w:p>
    <w:p w:rsidR="00A362B9" w:rsidRDefault="00A362B9" w:rsidP="00A362B9">
      <w:pPr>
        <w:jc w:val="both"/>
      </w:pPr>
    </w:p>
    <w:p w:rsidR="00A362B9" w:rsidRDefault="00A362B9" w:rsidP="00A362B9">
      <w:pPr>
        <w:pStyle w:val="Pismenka"/>
        <w:tabs>
          <w:tab w:val="clear" w:pos="426"/>
          <w:tab w:val="left" w:pos="708"/>
        </w:tabs>
        <w:ind w:left="0" w:firstLine="0"/>
        <w:rPr>
          <w:b w:val="0"/>
          <w:bCs w:val="0"/>
          <w:sz w:val="24"/>
          <w:szCs w:val="24"/>
        </w:rPr>
      </w:pPr>
      <w:r>
        <w:rPr>
          <w:b w:val="0"/>
          <w:bCs w:val="0"/>
          <w:sz w:val="24"/>
          <w:szCs w:val="24"/>
        </w:rPr>
        <w:lastRenderedPageBreak/>
        <w:t xml:space="preserve">Obec vykazuje rezervu na súdny spor o neplatnosť kúpnych zmlúv vo výške 6 063,20 Eur. Rezerva na uvedený súdny spor bola tvorená na základe kúpnych zmlúv, v prípade výhry súdneho sporu obec odkúpi späť tieto pozemky v hodnote v akej boli predané. </w:t>
      </w:r>
    </w:p>
    <w:p w:rsidR="00A362B9" w:rsidRDefault="00A362B9" w:rsidP="00A362B9">
      <w:pPr>
        <w:ind w:left="426"/>
        <w:jc w:val="both"/>
      </w:pPr>
    </w:p>
    <w:p w:rsidR="00A362B9" w:rsidRDefault="00A362B9" w:rsidP="00A362B9">
      <w:pPr>
        <w:pStyle w:val="Nadpis2"/>
        <w:spacing w:before="0" w:after="0"/>
      </w:pPr>
      <w:r>
        <w:t>Záväzky</w:t>
      </w:r>
    </w:p>
    <w:p w:rsidR="00A362B9" w:rsidRDefault="00A362B9" w:rsidP="00A362B9">
      <w:pPr>
        <w:jc w:val="both"/>
        <w:rPr>
          <w:sz w:val="24"/>
          <w:szCs w:val="24"/>
        </w:rPr>
      </w:pPr>
      <w:r>
        <w:rPr>
          <w:sz w:val="24"/>
          <w:szCs w:val="24"/>
        </w:rPr>
        <w:t>Prehľad záväzkov podľa splatnosti je uvedený v tabuľkovej časti.</w:t>
      </w:r>
    </w:p>
    <w:p w:rsidR="00A362B9" w:rsidRDefault="00A362B9" w:rsidP="00A362B9">
      <w:pPr>
        <w:jc w:val="both"/>
        <w:rPr>
          <w:sz w:val="24"/>
          <w:szCs w:val="24"/>
        </w:rPr>
      </w:pPr>
      <w:r>
        <w:rPr>
          <w:sz w:val="24"/>
          <w:szCs w:val="24"/>
        </w:rPr>
        <w:t>Významnou položkou dlhodobých záväzkov je prijatý úver zo Štátneho fondu rozvoja bývania, ktoré sú k 31.12.201</w:t>
      </w:r>
      <w:r w:rsidR="001B7BCA">
        <w:rPr>
          <w:sz w:val="24"/>
          <w:szCs w:val="24"/>
        </w:rPr>
        <w:t>5</w:t>
      </w:r>
      <w:r>
        <w:rPr>
          <w:sz w:val="24"/>
          <w:szCs w:val="24"/>
        </w:rPr>
        <w:t xml:space="preserve"> vykázané vo výške </w:t>
      </w:r>
      <w:r w:rsidR="001B7BCA">
        <w:rPr>
          <w:sz w:val="24"/>
          <w:szCs w:val="24"/>
        </w:rPr>
        <w:t>89 600,74</w:t>
      </w:r>
      <w:r>
        <w:rPr>
          <w:sz w:val="24"/>
          <w:szCs w:val="24"/>
        </w:rPr>
        <w:t xml:space="preserve"> Eur, z toho krátkodobá časť </w:t>
      </w:r>
      <w:r>
        <w:rPr>
          <w:sz w:val="24"/>
          <w:szCs w:val="24"/>
        </w:rPr>
        <w:br/>
      </w:r>
      <w:r w:rsidR="001B7BCA">
        <w:rPr>
          <w:sz w:val="24"/>
          <w:szCs w:val="24"/>
        </w:rPr>
        <w:t>3 598,63</w:t>
      </w:r>
      <w:r>
        <w:rPr>
          <w:sz w:val="24"/>
          <w:szCs w:val="24"/>
        </w:rPr>
        <w:t xml:space="preserve"> Eur. Úvery prijaté zo Štátneho fondu rozvoja a bývania bude obec splácať do roku 2031.</w:t>
      </w:r>
    </w:p>
    <w:p w:rsidR="00A362B9" w:rsidRDefault="00A362B9" w:rsidP="00A362B9"/>
    <w:p w:rsidR="00A362B9" w:rsidRDefault="00A362B9" w:rsidP="00A362B9">
      <w:pPr>
        <w:pStyle w:val="Nadpis2"/>
        <w:spacing w:before="0" w:after="0"/>
      </w:pPr>
      <w:r>
        <w:t>Bankové úvery a ostatné prijaté návratné finančné výpomoci</w:t>
      </w:r>
    </w:p>
    <w:p w:rsidR="00A362B9" w:rsidRDefault="00A362B9" w:rsidP="00A362B9">
      <w:pPr>
        <w:jc w:val="both"/>
        <w:rPr>
          <w:sz w:val="24"/>
          <w:szCs w:val="24"/>
        </w:rPr>
      </w:pPr>
      <w:r>
        <w:rPr>
          <w:sz w:val="24"/>
          <w:szCs w:val="24"/>
        </w:rPr>
        <w:t>Obec neprijala bankové úvery ani iné návratné finančné výpomoci.</w:t>
      </w:r>
    </w:p>
    <w:p w:rsidR="00A362B9" w:rsidRDefault="00A362B9" w:rsidP="00A362B9">
      <w:pPr>
        <w:tabs>
          <w:tab w:val="center" w:pos="4819"/>
          <w:tab w:val="left" w:pos="7059"/>
        </w:tabs>
        <w:autoSpaceDE w:val="0"/>
        <w:autoSpaceDN w:val="0"/>
        <w:adjustRightInd w:val="0"/>
        <w:rPr>
          <w:rFonts w:ascii="Arial" w:hAnsi="Arial" w:cs="Arial"/>
          <w:sz w:val="22"/>
          <w:szCs w:val="22"/>
        </w:rPr>
      </w:pPr>
    </w:p>
    <w:p w:rsidR="00A362B9" w:rsidRDefault="00A362B9" w:rsidP="00A362B9">
      <w:pPr>
        <w:jc w:val="both"/>
      </w:pPr>
    </w:p>
    <w:p w:rsidR="00A362B9" w:rsidRDefault="00A362B9" w:rsidP="00A362B9">
      <w:pPr>
        <w:tabs>
          <w:tab w:val="left" w:pos="0"/>
          <w:tab w:val="left" w:pos="360"/>
          <w:tab w:val="left" w:pos="420"/>
        </w:tabs>
        <w:ind w:left="-14" w:hanging="70"/>
        <w:jc w:val="center"/>
        <w:rPr>
          <w:b/>
          <w:caps/>
          <w:sz w:val="24"/>
          <w:szCs w:val="24"/>
        </w:rPr>
      </w:pPr>
      <w:r>
        <w:rPr>
          <w:b/>
          <w:caps/>
          <w:sz w:val="24"/>
          <w:szCs w:val="24"/>
        </w:rPr>
        <w:t>Čl. V</w:t>
      </w:r>
    </w:p>
    <w:p w:rsidR="00A362B9" w:rsidRDefault="00A362B9" w:rsidP="00A362B9">
      <w:pPr>
        <w:tabs>
          <w:tab w:val="left" w:pos="0"/>
          <w:tab w:val="left" w:pos="360"/>
          <w:tab w:val="left" w:pos="420"/>
        </w:tabs>
        <w:ind w:left="-14" w:hanging="70"/>
        <w:jc w:val="center"/>
        <w:rPr>
          <w:b/>
          <w:caps/>
          <w:sz w:val="24"/>
          <w:szCs w:val="24"/>
        </w:rPr>
      </w:pPr>
      <w:r>
        <w:rPr>
          <w:b/>
          <w:caps/>
          <w:sz w:val="24"/>
          <w:szCs w:val="24"/>
        </w:rPr>
        <w:t>Informácie o výnosoch a nákladoch</w:t>
      </w:r>
    </w:p>
    <w:p w:rsidR="00A362B9" w:rsidRDefault="00A362B9" w:rsidP="00A362B9">
      <w:pPr>
        <w:rPr>
          <w:sz w:val="24"/>
          <w:szCs w:val="24"/>
          <w:lang w:eastAsia="x-none"/>
        </w:rPr>
      </w:pPr>
    </w:p>
    <w:p w:rsidR="00A362B9" w:rsidRDefault="00A362B9" w:rsidP="00A362B9">
      <w:pPr>
        <w:rPr>
          <w:sz w:val="24"/>
          <w:szCs w:val="24"/>
          <w:lang w:eastAsia="x-none"/>
        </w:rPr>
      </w:pPr>
      <w:r>
        <w:rPr>
          <w:sz w:val="24"/>
          <w:szCs w:val="24"/>
          <w:lang w:eastAsia="x-none"/>
        </w:rPr>
        <w:t>Prehľad o daňových výnosov samosprávy:</w:t>
      </w:r>
    </w:p>
    <w:p w:rsidR="00A362B9" w:rsidRDefault="00A362B9" w:rsidP="00A362B9">
      <w:pPr>
        <w:ind w:left="426"/>
        <w:jc w:val="right"/>
        <w:rPr>
          <w:i/>
          <w:sz w:val="24"/>
          <w:szCs w:val="24"/>
        </w:rPr>
      </w:pPr>
      <w:r>
        <w:rPr>
          <w:i/>
          <w:sz w:val="24"/>
          <w:szCs w:val="24"/>
        </w:rPr>
        <w:t>v 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0"/>
        <w:gridCol w:w="1827"/>
        <w:gridCol w:w="1995"/>
      </w:tblGrid>
      <w:tr w:rsidR="00A362B9" w:rsidTr="0012730D">
        <w:tc>
          <w:tcPr>
            <w:tcW w:w="5240" w:type="dxa"/>
            <w:tcBorders>
              <w:top w:val="single" w:sz="4" w:space="0" w:color="auto"/>
              <w:left w:val="single" w:sz="4" w:space="0" w:color="auto"/>
              <w:bottom w:val="single" w:sz="4" w:space="0" w:color="auto"/>
              <w:right w:val="single" w:sz="4" w:space="0" w:color="auto"/>
            </w:tcBorders>
          </w:tcPr>
          <w:p w:rsidR="00A362B9" w:rsidRDefault="00A362B9">
            <w:pPr>
              <w:spacing w:line="254" w:lineRule="auto"/>
              <w:jc w:val="both"/>
              <w:rPr>
                <w:b/>
                <w:sz w:val="24"/>
                <w:szCs w:val="24"/>
                <w:lang w:eastAsia="en-US"/>
              </w:rPr>
            </w:pPr>
          </w:p>
        </w:tc>
        <w:tc>
          <w:tcPr>
            <w:tcW w:w="1827" w:type="dxa"/>
            <w:tcBorders>
              <w:top w:val="single" w:sz="4" w:space="0" w:color="auto"/>
              <w:left w:val="single" w:sz="4" w:space="0" w:color="auto"/>
              <w:bottom w:val="single" w:sz="4" w:space="0" w:color="auto"/>
              <w:right w:val="single" w:sz="4" w:space="0" w:color="auto"/>
            </w:tcBorders>
            <w:shd w:val="clear" w:color="auto" w:fill="BFBFBF"/>
            <w:hideMark/>
          </w:tcPr>
          <w:p w:rsidR="00A362B9" w:rsidRDefault="00A362B9" w:rsidP="0012730D">
            <w:pPr>
              <w:spacing w:line="254" w:lineRule="auto"/>
              <w:jc w:val="center"/>
              <w:rPr>
                <w:i/>
                <w:sz w:val="24"/>
                <w:szCs w:val="24"/>
                <w:lang w:eastAsia="en-US"/>
              </w:rPr>
            </w:pPr>
            <w:r>
              <w:rPr>
                <w:i/>
                <w:sz w:val="24"/>
                <w:szCs w:val="24"/>
                <w:lang w:eastAsia="en-US"/>
              </w:rPr>
              <w:t>31.12.201</w:t>
            </w:r>
            <w:r w:rsidR="0012730D">
              <w:rPr>
                <w:i/>
                <w:sz w:val="24"/>
                <w:szCs w:val="24"/>
                <w:lang w:eastAsia="en-US"/>
              </w:rPr>
              <w:t>5</w:t>
            </w:r>
          </w:p>
        </w:tc>
        <w:tc>
          <w:tcPr>
            <w:tcW w:w="1995" w:type="dxa"/>
            <w:tcBorders>
              <w:top w:val="single" w:sz="4" w:space="0" w:color="auto"/>
              <w:left w:val="single" w:sz="4" w:space="0" w:color="auto"/>
              <w:bottom w:val="single" w:sz="4" w:space="0" w:color="auto"/>
              <w:right w:val="single" w:sz="4" w:space="0" w:color="auto"/>
            </w:tcBorders>
            <w:shd w:val="clear" w:color="auto" w:fill="BFBFBF"/>
            <w:hideMark/>
          </w:tcPr>
          <w:p w:rsidR="00A362B9" w:rsidRDefault="00A362B9" w:rsidP="0012730D">
            <w:pPr>
              <w:spacing w:line="254" w:lineRule="auto"/>
              <w:jc w:val="center"/>
              <w:rPr>
                <w:i/>
                <w:sz w:val="24"/>
                <w:szCs w:val="24"/>
                <w:lang w:eastAsia="en-US"/>
              </w:rPr>
            </w:pPr>
            <w:r>
              <w:rPr>
                <w:i/>
                <w:sz w:val="24"/>
                <w:szCs w:val="24"/>
                <w:lang w:eastAsia="en-US"/>
              </w:rPr>
              <w:t>31.12.201</w:t>
            </w:r>
            <w:r w:rsidR="0012730D">
              <w:rPr>
                <w:i/>
                <w:sz w:val="24"/>
                <w:szCs w:val="24"/>
                <w:lang w:eastAsia="en-US"/>
              </w:rPr>
              <w:t>4</w:t>
            </w:r>
          </w:p>
        </w:tc>
      </w:tr>
      <w:tr w:rsidR="0012730D" w:rsidTr="0012730D">
        <w:tc>
          <w:tcPr>
            <w:tcW w:w="5240" w:type="dxa"/>
            <w:tcBorders>
              <w:top w:val="single" w:sz="4" w:space="0" w:color="auto"/>
              <w:left w:val="single" w:sz="4" w:space="0" w:color="auto"/>
              <w:bottom w:val="single" w:sz="4" w:space="0" w:color="auto"/>
              <w:right w:val="single" w:sz="4" w:space="0" w:color="auto"/>
            </w:tcBorders>
            <w:vAlign w:val="bottom"/>
            <w:hideMark/>
          </w:tcPr>
          <w:p w:rsidR="0012730D" w:rsidRDefault="0012730D" w:rsidP="0012730D">
            <w:pPr>
              <w:pStyle w:val="Tabulka"/>
              <w:spacing w:line="254" w:lineRule="auto"/>
              <w:rPr>
                <w:sz w:val="24"/>
                <w:szCs w:val="24"/>
              </w:rPr>
            </w:pPr>
            <w:r>
              <w:rPr>
                <w:sz w:val="24"/>
                <w:szCs w:val="24"/>
              </w:rPr>
              <w:t>Poukázaný podiel na dani z príjmov zo štátneho rozpočtu</w:t>
            </w:r>
          </w:p>
        </w:tc>
        <w:tc>
          <w:tcPr>
            <w:tcW w:w="1827" w:type="dxa"/>
            <w:tcBorders>
              <w:top w:val="single" w:sz="4" w:space="0" w:color="auto"/>
              <w:left w:val="single" w:sz="4" w:space="0" w:color="auto"/>
              <w:bottom w:val="single" w:sz="4" w:space="0" w:color="auto"/>
              <w:right w:val="single" w:sz="4" w:space="0" w:color="auto"/>
            </w:tcBorders>
            <w:vAlign w:val="center"/>
            <w:hideMark/>
          </w:tcPr>
          <w:p w:rsidR="0012730D" w:rsidRDefault="0012730D" w:rsidP="0012730D">
            <w:pPr>
              <w:spacing w:line="254" w:lineRule="auto"/>
              <w:jc w:val="right"/>
              <w:rPr>
                <w:color w:val="000000"/>
                <w:sz w:val="24"/>
                <w:szCs w:val="24"/>
                <w:lang w:eastAsia="en-US"/>
              </w:rPr>
            </w:pPr>
            <w:r>
              <w:rPr>
                <w:color w:val="000000"/>
                <w:sz w:val="24"/>
                <w:szCs w:val="24"/>
                <w:lang w:eastAsia="en-US"/>
              </w:rPr>
              <w:t>303 089,48</w:t>
            </w:r>
          </w:p>
        </w:tc>
        <w:tc>
          <w:tcPr>
            <w:tcW w:w="1995" w:type="dxa"/>
            <w:tcBorders>
              <w:top w:val="single" w:sz="4" w:space="0" w:color="auto"/>
              <w:left w:val="single" w:sz="4" w:space="0" w:color="auto"/>
              <w:bottom w:val="single" w:sz="4" w:space="0" w:color="auto"/>
              <w:right w:val="single" w:sz="4" w:space="0" w:color="auto"/>
            </w:tcBorders>
            <w:vAlign w:val="center"/>
            <w:hideMark/>
          </w:tcPr>
          <w:p w:rsidR="0012730D" w:rsidRDefault="0012730D" w:rsidP="0012730D">
            <w:pPr>
              <w:spacing w:line="254" w:lineRule="auto"/>
              <w:jc w:val="right"/>
              <w:rPr>
                <w:color w:val="000000"/>
                <w:sz w:val="24"/>
                <w:szCs w:val="24"/>
                <w:lang w:eastAsia="en-US"/>
              </w:rPr>
            </w:pPr>
            <w:r>
              <w:rPr>
                <w:color w:val="000000"/>
                <w:sz w:val="24"/>
                <w:szCs w:val="24"/>
                <w:lang w:eastAsia="en-US"/>
              </w:rPr>
              <w:t>271 807,12</w:t>
            </w:r>
          </w:p>
        </w:tc>
      </w:tr>
      <w:tr w:rsidR="0012730D" w:rsidTr="0012730D">
        <w:tc>
          <w:tcPr>
            <w:tcW w:w="5240" w:type="dxa"/>
            <w:tcBorders>
              <w:top w:val="single" w:sz="4" w:space="0" w:color="auto"/>
              <w:left w:val="single" w:sz="4" w:space="0" w:color="auto"/>
              <w:bottom w:val="single" w:sz="4" w:space="0" w:color="auto"/>
              <w:right w:val="single" w:sz="4" w:space="0" w:color="auto"/>
            </w:tcBorders>
            <w:vAlign w:val="bottom"/>
            <w:hideMark/>
          </w:tcPr>
          <w:p w:rsidR="0012730D" w:rsidRDefault="0012730D" w:rsidP="0012730D">
            <w:pPr>
              <w:pStyle w:val="Tabulka"/>
              <w:spacing w:line="254" w:lineRule="auto"/>
              <w:rPr>
                <w:sz w:val="24"/>
                <w:szCs w:val="24"/>
              </w:rPr>
            </w:pPr>
            <w:r>
              <w:rPr>
                <w:sz w:val="24"/>
                <w:szCs w:val="24"/>
              </w:rPr>
              <w:t>Dane za špecifické služby - za psa</w:t>
            </w:r>
          </w:p>
        </w:tc>
        <w:tc>
          <w:tcPr>
            <w:tcW w:w="1827" w:type="dxa"/>
            <w:tcBorders>
              <w:top w:val="single" w:sz="4" w:space="0" w:color="auto"/>
              <w:left w:val="single" w:sz="4" w:space="0" w:color="auto"/>
              <w:bottom w:val="single" w:sz="4" w:space="0" w:color="auto"/>
              <w:right w:val="single" w:sz="4" w:space="0" w:color="auto"/>
            </w:tcBorders>
            <w:vAlign w:val="center"/>
            <w:hideMark/>
          </w:tcPr>
          <w:p w:rsidR="0012730D" w:rsidRDefault="0012730D" w:rsidP="0012730D">
            <w:pPr>
              <w:spacing w:line="254" w:lineRule="auto"/>
              <w:jc w:val="right"/>
              <w:rPr>
                <w:color w:val="000000"/>
                <w:sz w:val="24"/>
                <w:szCs w:val="24"/>
                <w:lang w:eastAsia="en-US"/>
              </w:rPr>
            </w:pPr>
            <w:r>
              <w:rPr>
                <w:color w:val="000000"/>
                <w:sz w:val="24"/>
                <w:szCs w:val="24"/>
                <w:lang w:eastAsia="en-US"/>
              </w:rPr>
              <w:t>981,37</w:t>
            </w:r>
          </w:p>
        </w:tc>
        <w:tc>
          <w:tcPr>
            <w:tcW w:w="1995" w:type="dxa"/>
            <w:tcBorders>
              <w:top w:val="single" w:sz="4" w:space="0" w:color="auto"/>
              <w:left w:val="single" w:sz="4" w:space="0" w:color="auto"/>
              <w:bottom w:val="single" w:sz="4" w:space="0" w:color="auto"/>
              <w:right w:val="single" w:sz="4" w:space="0" w:color="auto"/>
            </w:tcBorders>
            <w:vAlign w:val="center"/>
            <w:hideMark/>
          </w:tcPr>
          <w:p w:rsidR="0012730D" w:rsidRDefault="0012730D" w:rsidP="0012730D">
            <w:pPr>
              <w:spacing w:line="254" w:lineRule="auto"/>
              <w:jc w:val="right"/>
              <w:rPr>
                <w:color w:val="000000"/>
                <w:sz w:val="24"/>
                <w:szCs w:val="24"/>
                <w:lang w:eastAsia="en-US"/>
              </w:rPr>
            </w:pPr>
            <w:r>
              <w:rPr>
                <w:color w:val="000000"/>
                <w:sz w:val="24"/>
                <w:szCs w:val="24"/>
                <w:lang w:eastAsia="en-US"/>
              </w:rPr>
              <w:t>687,24</w:t>
            </w:r>
          </w:p>
        </w:tc>
      </w:tr>
      <w:tr w:rsidR="0012730D" w:rsidTr="0012730D">
        <w:tc>
          <w:tcPr>
            <w:tcW w:w="5240" w:type="dxa"/>
            <w:tcBorders>
              <w:top w:val="single" w:sz="4" w:space="0" w:color="auto"/>
              <w:left w:val="single" w:sz="4" w:space="0" w:color="auto"/>
              <w:bottom w:val="single" w:sz="4" w:space="0" w:color="auto"/>
              <w:right w:val="single" w:sz="4" w:space="0" w:color="auto"/>
            </w:tcBorders>
            <w:vAlign w:val="bottom"/>
            <w:hideMark/>
          </w:tcPr>
          <w:p w:rsidR="0012730D" w:rsidRDefault="0012730D" w:rsidP="0012730D">
            <w:pPr>
              <w:pStyle w:val="Tabulka"/>
              <w:spacing w:line="254" w:lineRule="auto"/>
              <w:rPr>
                <w:sz w:val="24"/>
                <w:szCs w:val="24"/>
              </w:rPr>
            </w:pPr>
            <w:r>
              <w:rPr>
                <w:sz w:val="24"/>
                <w:szCs w:val="24"/>
              </w:rPr>
              <w:t>Dane za špecifické služby - za predajné automaty</w:t>
            </w:r>
          </w:p>
        </w:tc>
        <w:tc>
          <w:tcPr>
            <w:tcW w:w="1827" w:type="dxa"/>
            <w:tcBorders>
              <w:top w:val="single" w:sz="4" w:space="0" w:color="auto"/>
              <w:left w:val="single" w:sz="4" w:space="0" w:color="auto"/>
              <w:bottom w:val="single" w:sz="4" w:space="0" w:color="auto"/>
              <w:right w:val="single" w:sz="4" w:space="0" w:color="auto"/>
            </w:tcBorders>
            <w:vAlign w:val="center"/>
            <w:hideMark/>
          </w:tcPr>
          <w:p w:rsidR="0012730D" w:rsidRDefault="0012730D" w:rsidP="0012730D">
            <w:pPr>
              <w:spacing w:line="254" w:lineRule="auto"/>
              <w:jc w:val="right"/>
              <w:rPr>
                <w:color w:val="000000"/>
                <w:sz w:val="24"/>
                <w:szCs w:val="24"/>
                <w:lang w:eastAsia="en-US"/>
              </w:rPr>
            </w:pPr>
            <w:r>
              <w:rPr>
                <w:color w:val="000000"/>
                <w:sz w:val="24"/>
                <w:szCs w:val="24"/>
                <w:lang w:eastAsia="en-US"/>
              </w:rPr>
              <w:t>88,53</w:t>
            </w:r>
          </w:p>
        </w:tc>
        <w:tc>
          <w:tcPr>
            <w:tcW w:w="1995" w:type="dxa"/>
            <w:tcBorders>
              <w:top w:val="single" w:sz="4" w:space="0" w:color="auto"/>
              <w:left w:val="single" w:sz="4" w:space="0" w:color="auto"/>
              <w:bottom w:val="single" w:sz="4" w:space="0" w:color="auto"/>
              <w:right w:val="single" w:sz="4" w:space="0" w:color="auto"/>
            </w:tcBorders>
            <w:vAlign w:val="center"/>
            <w:hideMark/>
          </w:tcPr>
          <w:p w:rsidR="0012730D" w:rsidRDefault="0012730D" w:rsidP="0012730D">
            <w:pPr>
              <w:spacing w:line="254" w:lineRule="auto"/>
              <w:jc w:val="right"/>
              <w:rPr>
                <w:color w:val="000000"/>
                <w:sz w:val="24"/>
                <w:szCs w:val="24"/>
                <w:lang w:eastAsia="en-US"/>
              </w:rPr>
            </w:pPr>
            <w:r>
              <w:rPr>
                <w:color w:val="000000"/>
                <w:sz w:val="24"/>
                <w:szCs w:val="24"/>
                <w:lang w:eastAsia="en-US"/>
              </w:rPr>
              <w:t>132,80</w:t>
            </w:r>
          </w:p>
        </w:tc>
      </w:tr>
      <w:tr w:rsidR="0012730D" w:rsidTr="0012730D">
        <w:tc>
          <w:tcPr>
            <w:tcW w:w="5240" w:type="dxa"/>
            <w:tcBorders>
              <w:top w:val="single" w:sz="4" w:space="0" w:color="auto"/>
              <w:left w:val="single" w:sz="4" w:space="0" w:color="auto"/>
              <w:bottom w:val="single" w:sz="4" w:space="0" w:color="auto"/>
              <w:right w:val="single" w:sz="4" w:space="0" w:color="auto"/>
            </w:tcBorders>
            <w:vAlign w:val="bottom"/>
            <w:hideMark/>
          </w:tcPr>
          <w:p w:rsidR="0012730D" w:rsidRDefault="0012730D" w:rsidP="0012730D">
            <w:pPr>
              <w:pStyle w:val="Tabulka"/>
              <w:spacing w:line="254" w:lineRule="auto"/>
              <w:rPr>
                <w:sz w:val="24"/>
                <w:szCs w:val="24"/>
              </w:rPr>
            </w:pPr>
            <w:r>
              <w:rPr>
                <w:sz w:val="24"/>
                <w:szCs w:val="24"/>
              </w:rPr>
              <w:t xml:space="preserve">Daň z nehnuteľností </w:t>
            </w:r>
          </w:p>
        </w:tc>
        <w:tc>
          <w:tcPr>
            <w:tcW w:w="1827" w:type="dxa"/>
            <w:tcBorders>
              <w:top w:val="single" w:sz="4" w:space="0" w:color="auto"/>
              <w:left w:val="single" w:sz="4" w:space="0" w:color="auto"/>
              <w:bottom w:val="single" w:sz="4" w:space="0" w:color="auto"/>
              <w:right w:val="single" w:sz="4" w:space="0" w:color="auto"/>
            </w:tcBorders>
            <w:vAlign w:val="center"/>
            <w:hideMark/>
          </w:tcPr>
          <w:p w:rsidR="0012730D" w:rsidRDefault="0012730D" w:rsidP="0012730D">
            <w:pPr>
              <w:spacing w:line="254" w:lineRule="auto"/>
              <w:jc w:val="right"/>
              <w:rPr>
                <w:color w:val="000000"/>
                <w:sz w:val="24"/>
                <w:szCs w:val="24"/>
                <w:lang w:eastAsia="en-US"/>
              </w:rPr>
            </w:pPr>
            <w:r>
              <w:rPr>
                <w:color w:val="000000"/>
                <w:sz w:val="24"/>
                <w:szCs w:val="24"/>
                <w:lang w:eastAsia="en-US"/>
              </w:rPr>
              <w:t>110 129,10</w:t>
            </w:r>
          </w:p>
        </w:tc>
        <w:tc>
          <w:tcPr>
            <w:tcW w:w="1995" w:type="dxa"/>
            <w:tcBorders>
              <w:top w:val="single" w:sz="4" w:space="0" w:color="auto"/>
              <w:left w:val="single" w:sz="4" w:space="0" w:color="auto"/>
              <w:bottom w:val="single" w:sz="4" w:space="0" w:color="auto"/>
              <w:right w:val="single" w:sz="4" w:space="0" w:color="auto"/>
            </w:tcBorders>
            <w:vAlign w:val="center"/>
            <w:hideMark/>
          </w:tcPr>
          <w:p w:rsidR="0012730D" w:rsidRDefault="0012730D" w:rsidP="0012730D">
            <w:pPr>
              <w:spacing w:line="254" w:lineRule="auto"/>
              <w:jc w:val="right"/>
              <w:rPr>
                <w:color w:val="000000"/>
                <w:sz w:val="24"/>
                <w:szCs w:val="24"/>
                <w:lang w:eastAsia="en-US"/>
              </w:rPr>
            </w:pPr>
            <w:r>
              <w:rPr>
                <w:color w:val="000000"/>
                <w:sz w:val="24"/>
                <w:szCs w:val="24"/>
                <w:lang w:eastAsia="en-US"/>
              </w:rPr>
              <w:t>113 693,92</w:t>
            </w:r>
          </w:p>
        </w:tc>
      </w:tr>
      <w:tr w:rsidR="0012730D" w:rsidTr="0012730D">
        <w:tc>
          <w:tcPr>
            <w:tcW w:w="5240" w:type="dxa"/>
            <w:tcBorders>
              <w:top w:val="single" w:sz="4" w:space="0" w:color="auto"/>
              <w:left w:val="single" w:sz="4" w:space="0" w:color="auto"/>
              <w:bottom w:val="single" w:sz="4" w:space="0" w:color="auto"/>
              <w:right w:val="single" w:sz="4" w:space="0" w:color="auto"/>
            </w:tcBorders>
            <w:vAlign w:val="bottom"/>
            <w:hideMark/>
          </w:tcPr>
          <w:p w:rsidR="0012730D" w:rsidRDefault="0012730D" w:rsidP="0012730D">
            <w:pPr>
              <w:pStyle w:val="Tabulka"/>
              <w:spacing w:line="254" w:lineRule="auto"/>
              <w:rPr>
                <w:b/>
                <w:sz w:val="24"/>
                <w:szCs w:val="24"/>
              </w:rPr>
            </w:pPr>
            <w:r>
              <w:rPr>
                <w:b/>
                <w:sz w:val="24"/>
                <w:szCs w:val="24"/>
              </w:rPr>
              <w:t xml:space="preserve">Daňové výnosy samosprávy spolu </w:t>
            </w:r>
          </w:p>
        </w:tc>
        <w:tc>
          <w:tcPr>
            <w:tcW w:w="1827" w:type="dxa"/>
            <w:tcBorders>
              <w:top w:val="single" w:sz="4" w:space="0" w:color="auto"/>
              <w:left w:val="single" w:sz="4" w:space="0" w:color="auto"/>
              <w:bottom w:val="single" w:sz="4" w:space="0" w:color="auto"/>
              <w:right w:val="single" w:sz="4" w:space="0" w:color="auto"/>
            </w:tcBorders>
            <w:vAlign w:val="center"/>
            <w:hideMark/>
          </w:tcPr>
          <w:p w:rsidR="0012730D" w:rsidRDefault="0012730D" w:rsidP="0012730D">
            <w:pPr>
              <w:spacing w:line="254" w:lineRule="auto"/>
              <w:jc w:val="right"/>
              <w:rPr>
                <w:b/>
                <w:color w:val="000000"/>
                <w:sz w:val="24"/>
                <w:szCs w:val="24"/>
                <w:lang w:eastAsia="en-US"/>
              </w:rPr>
            </w:pPr>
            <w:r>
              <w:rPr>
                <w:b/>
                <w:color w:val="000000"/>
                <w:sz w:val="24"/>
                <w:szCs w:val="24"/>
                <w:lang w:eastAsia="en-US"/>
              </w:rPr>
              <w:t>414 288,48</w:t>
            </w:r>
          </w:p>
        </w:tc>
        <w:tc>
          <w:tcPr>
            <w:tcW w:w="1995" w:type="dxa"/>
            <w:tcBorders>
              <w:top w:val="single" w:sz="4" w:space="0" w:color="auto"/>
              <w:left w:val="single" w:sz="4" w:space="0" w:color="auto"/>
              <w:bottom w:val="single" w:sz="4" w:space="0" w:color="auto"/>
              <w:right w:val="single" w:sz="4" w:space="0" w:color="auto"/>
            </w:tcBorders>
            <w:vAlign w:val="center"/>
            <w:hideMark/>
          </w:tcPr>
          <w:p w:rsidR="0012730D" w:rsidRDefault="0012730D" w:rsidP="0012730D">
            <w:pPr>
              <w:spacing w:line="254" w:lineRule="auto"/>
              <w:jc w:val="right"/>
              <w:rPr>
                <w:b/>
                <w:color w:val="000000"/>
                <w:sz w:val="24"/>
                <w:szCs w:val="24"/>
                <w:lang w:eastAsia="en-US"/>
              </w:rPr>
            </w:pPr>
            <w:r>
              <w:rPr>
                <w:b/>
                <w:color w:val="000000"/>
                <w:sz w:val="24"/>
                <w:szCs w:val="24"/>
                <w:lang w:eastAsia="en-US"/>
              </w:rPr>
              <w:t>386 471,02</w:t>
            </w:r>
          </w:p>
        </w:tc>
      </w:tr>
    </w:tbl>
    <w:p w:rsidR="00A362B9" w:rsidRDefault="00A362B9" w:rsidP="00A362B9">
      <w:pPr>
        <w:tabs>
          <w:tab w:val="left" w:pos="0"/>
          <w:tab w:val="left" w:pos="360"/>
          <w:tab w:val="left" w:pos="420"/>
        </w:tabs>
        <w:ind w:left="-14" w:hanging="70"/>
        <w:rPr>
          <w:b/>
          <w:sz w:val="24"/>
          <w:szCs w:val="24"/>
        </w:rPr>
      </w:pPr>
    </w:p>
    <w:p w:rsidR="00A362B9" w:rsidRDefault="00A362B9" w:rsidP="00A362B9">
      <w:pPr>
        <w:rPr>
          <w:sz w:val="24"/>
          <w:szCs w:val="24"/>
        </w:rPr>
      </w:pPr>
      <w:r>
        <w:rPr>
          <w:sz w:val="24"/>
          <w:szCs w:val="24"/>
        </w:rPr>
        <w:t>Ďalšie podrobnejšie informácie k nákladom a výnosom sú uvedené v tabuľkovej časti</w:t>
      </w:r>
    </w:p>
    <w:p w:rsidR="00A362B9" w:rsidRDefault="00A362B9" w:rsidP="00A362B9">
      <w:pPr>
        <w:rPr>
          <w:sz w:val="24"/>
          <w:szCs w:val="24"/>
        </w:rPr>
      </w:pPr>
    </w:p>
    <w:p w:rsidR="00A362B9" w:rsidRDefault="00A362B9" w:rsidP="00A362B9">
      <w:pPr>
        <w:jc w:val="center"/>
        <w:rPr>
          <w:b/>
          <w:sz w:val="24"/>
          <w:szCs w:val="24"/>
        </w:rPr>
      </w:pPr>
      <w:r>
        <w:rPr>
          <w:b/>
          <w:sz w:val="24"/>
          <w:szCs w:val="24"/>
        </w:rPr>
        <w:t>Čl. VI</w:t>
      </w:r>
    </w:p>
    <w:p w:rsidR="00A362B9" w:rsidRDefault="00A362B9" w:rsidP="00A362B9">
      <w:pPr>
        <w:tabs>
          <w:tab w:val="left" w:pos="462"/>
        </w:tabs>
        <w:jc w:val="center"/>
        <w:rPr>
          <w:b/>
          <w:sz w:val="24"/>
          <w:szCs w:val="24"/>
        </w:rPr>
      </w:pPr>
      <w:r>
        <w:rPr>
          <w:b/>
          <w:sz w:val="24"/>
          <w:szCs w:val="24"/>
        </w:rPr>
        <w:t>INFORMÁCIE NA PODSÚVAHOVÝCH ÚČTOCH</w:t>
      </w:r>
    </w:p>
    <w:p w:rsidR="00A362B9" w:rsidRDefault="00A362B9" w:rsidP="00A362B9">
      <w:pPr>
        <w:jc w:val="both"/>
        <w:rPr>
          <w:sz w:val="24"/>
          <w:szCs w:val="24"/>
        </w:rPr>
      </w:pPr>
    </w:p>
    <w:p w:rsidR="00A362B9" w:rsidRDefault="00A362B9" w:rsidP="00A362B9">
      <w:pPr>
        <w:pStyle w:val="Zkladntext"/>
        <w:rPr>
          <w:sz w:val="24"/>
          <w:szCs w:val="24"/>
          <w:lang w:eastAsia="x-none"/>
        </w:rPr>
      </w:pPr>
    </w:p>
    <w:p w:rsidR="00A362B9" w:rsidRDefault="00A362B9" w:rsidP="00A362B9">
      <w:pPr>
        <w:pStyle w:val="Zkladntext"/>
        <w:ind w:left="0"/>
        <w:rPr>
          <w:sz w:val="24"/>
          <w:szCs w:val="24"/>
          <w:lang w:eastAsia="x-none"/>
        </w:rPr>
      </w:pPr>
      <w:r>
        <w:rPr>
          <w:sz w:val="24"/>
          <w:szCs w:val="24"/>
          <w:lang w:eastAsia="x-none"/>
        </w:rPr>
        <w:t>Prehľad o iných aktívach a iných pasívach a o kultúrnych pamiatkach konsolidovaného celku je uvedený v tabuľkovej časti.</w:t>
      </w:r>
    </w:p>
    <w:p w:rsidR="00A362B9" w:rsidRDefault="00A362B9" w:rsidP="00A362B9">
      <w:pPr>
        <w:tabs>
          <w:tab w:val="left" w:pos="462"/>
        </w:tabs>
        <w:rPr>
          <w:b/>
          <w:sz w:val="24"/>
          <w:szCs w:val="24"/>
          <w:highlight w:val="red"/>
        </w:rPr>
      </w:pPr>
    </w:p>
    <w:p w:rsidR="00A362B9" w:rsidRDefault="00A362B9" w:rsidP="00A362B9">
      <w:pPr>
        <w:tabs>
          <w:tab w:val="left" w:pos="448"/>
        </w:tabs>
        <w:jc w:val="center"/>
        <w:rPr>
          <w:b/>
          <w:sz w:val="24"/>
          <w:szCs w:val="24"/>
        </w:rPr>
      </w:pPr>
      <w:r>
        <w:rPr>
          <w:b/>
          <w:sz w:val="24"/>
          <w:szCs w:val="24"/>
        </w:rPr>
        <w:t>Čl. VII</w:t>
      </w:r>
    </w:p>
    <w:p w:rsidR="00A362B9" w:rsidRDefault="00A362B9" w:rsidP="00A362B9">
      <w:pPr>
        <w:tabs>
          <w:tab w:val="left" w:pos="448"/>
        </w:tabs>
        <w:ind w:left="425" w:hanging="425"/>
        <w:jc w:val="center"/>
        <w:rPr>
          <w:b/>
          <w:sz w:val="24"/>
          <w:szCs w:val="24"/>
        </w:rPr>
      </w:pPr>
      <w:r>
        <w:rPr>
          <w:b/>
          <w:sz w:val="24"/>
          <w:szCs w:val="24"/>
        </w:rPr>
        <w:t>SKUTOČNOSTI, KTORÉ NASTALI PO DNI, KU KTORÉMU SA ZOSTAVUJE</w:t>
      </w:r>
    </w:p>
    <w:p w:rsidR="00A362B9" w:rsidRDefault="00A362B9" w:rsidP="00A362B9">
      <w:pPr>
        <w:tabs>
          <w:tab w:val="left" w:pos="448"/>
        </w:tabs>
        <w:ind w:left="425" w:hanging="425"/>
        <w:jc w:val="center"/>
        <w:rPr>
          <w:b/>
          <w:sz w:val="24"/>
          <w:szCs w:val="24"/>
        </w:rPr>
      </w:pPr>
      <w:r>
        <w:rPr>
          <w:b/>
          <w:sz w:val="24"/>
          <w:szCs w:val="24"/>
        </w:rPr>
        <w:t>KONSOLIDOVANA ÚČTOVNÁ ZÁVIERKA, DO DŇA JEJ ZOSTAVENIA</w:t>
      </w:r>
    </w:p>
    <w:p w:rsidR="00A362B9" w:rsidRDefault="00A362B9" w:rsidP="00A362B9">
      <w:pPr>
        <w:pStyle w:val="odstavec"/>
      </w:pPr>
    </w:p>
    <w:p w:rsidR="00A362B9" w:rsidRDefault="00A362B9" w:rsidP="00A362B9">
      <w:pPr>
        <w:pStyle w:val="odstavec"/>
      </w:pPr>
      <w:r>
        <w:t xml:space="preserve">Po 31. decembri </w:t>
      </w:r>
      <w:r>
        <w:rPr>
          <w:iCs/>
        </w:rPr>
        <w:t>201</w:t>
      </w:r>
      <w:r w:rsidR="0012730D">
        <w:rPr>
          <w:iCs/>
        </w:rPr>
        <w:t>5</w:t>
      </w:r>
      <w:r>
        <w:t xml:space="preserve"> nenastali také udalosti, ktoré by si vyžadovali zverejnenie alebo vykázanie v konsolidovanej účtovnej závierke za rok 201</w:t>
      </w:r>
      <w:r w:rsidR="0012730D">
        <w:t>5</w:t>
      </w:r>
      <w:r>
        <w:t>.</w:t>
      </w:r>
    </w:p>
    <w:p w:rsidR="00A362B9" w:rsidRDefault="00A362B9" w:rsidP="00A362B9">
      <w:pPr>
        <w:rPr>
          <w:sz w:val="24"/>
          <w:szCs w:val="24"/>
        </w:rPr>
      </w:pPr>
    </w:p>
    <w:p w:rsidR="00A362B9" w:rsidRDefault="00A362B9" w:rsidP="00A362B9">
      <w:pPr>
        <w:rPr>
          <w:sz w:val="24"/>
          <w:szCs w:val="24"/>
        </w:rPr>
      </w:pPr>
    </w:p>
    <w:p w:rsidR="00A362B9" w:rsidRDefault="00A362B9" w:rsidP="00A362B9">
      <w:pPr>
        <w:rPr>
          <w:sz w:val="24"/>
          <w:szCs w:val="24"/>
        </w:rPr>
      </w:pPr>
    </w:p>
    <w:p w:rsidR="00A362B9" w:rsidRDefault="00A362B9" w:rsidP="00A362B9">
      <w:pPr>
        <w:tabs>
          <w:tab w:val="left" w:pos="0"/>
          <w:tab w:val="left" w:pos="360"/>
          <w:tab w:val="left" w:pos="420"/>
        </w:tabs>
        <w:ind w:left="-14" w:hanging="70"/>
        <w:rPr>
          <w:b/>
          <w:caps/>
          <w:sz w:val="24"/>
          <w:szCs w:val="24"/>
        </w:rPr>
      </w:pPr>
    </w:p>
    <w:p w:rsidR="00A362B9" w:rsidRDefault="00A362B9" w:rsidP="00A362B9"/>
    <w:p w:rsidR="001C590A" w:rsidRDefault="001C590A"/>
    <w:sectPr w:rsidR="001C590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FuturaTEE-Demi">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7639"/>
    <w:rsid w:val="000003A8"/>
    <w:rsid w:val="0012730D"/>
    <w:rsid w:val="001B7BCA"/>
    <w:rsid w:val="001C590A"/>
    <w:rsid w:val="00747639"/>
    <w:rsid w:val="00A362B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4DDFA83-DAD0-4393-8270-B761A32839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362B9"/>
    <w:pPr>
      <w:spacing w:after="0" w:line="240" w:lineRule="auto"/>
    </w:pPr>
    <w:rPr>
      <w:rFonts w:ascii="Times New Roman" w:eastAsia="Times New Roman" w:hAnsi="Times New Roman" w:cs="Times New Roman"/>
      <w:sz w:val="20"/>
      <w:szCs w:val="20"/>
      <w:lang w:eastAsia="sk-SK"/>
    </w:rPr>
  </w:style>
  <w:style w:type="paragraph" w:styleId="Nadpis1">
    <w:name w:val="heading 1"/>
    <w:basedOn w:val="Normlny"/>
    <w:next w:val="Normlny"/>
    <w:link w:val="Nadpis1Char"/>
    <w:autoRedefine/>
    <w:qFormat/>
    <w:rsid w:val="00A362B9"/>
    <w:pPr>
      <w:keepNext/>
      <w:ind w:left="-14"/>
      <w:jc w:val="center"/>
      <w:outlineLvl w:val="0"/>
    </w:pPr>
    <w:rPr>
      <w:b/>
      <w:bCs/>
      <w:kern w:val="32"/>
      <w:sz w:val="24"/>
      <w:szCs w:val="24"/>
      <w:lang w:val="x-none" w:eastAsia="x-none"/>
    </w:rPr>
  </w:style>
  <w:style w:type="paragraph" w:styleId="Nadpis2">
    <w:name w:val="heading 2"/>
    <w:basedOn w:val="Normlny"/>
    <w:next w:val="Normlny"/>
    <w:link w:val="Nadpis2Char"/>
    <w:autoRedefine/>
    <w:semiHidden/>
    <w:unhideWhenUsed/>
    <w:qFormat/>
    <w:rsid w:val="00A362B9"/>
    <w:pPr>
      <w:keepNext/>
      <w:spacing w:before="60" w:after="240"/>
      <w:outlineLvl w:val="1"/>
    </w:pPr>
    <w:rPr>
      <w:bCs/>
      <w:i/>
      <w:iCs/>
      <w:sz w:val="24"/>
      <w:szCs w:val="24"/>
      <w:u w:val="single"/>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362B9"/>
    <w:rPr>
      <w:rFonts w:ascii="Times New Roman" w:eastAsia="Times New Roman" w:hAnsi="Times New Roman" w:cs="Times New Roman"/>
      <w:b/>
      <w:bCs/>
      <w:kern w:val="32"/>
      <w:sz w:val="24"/>
      <w:szCs w:val="24"/>
      <w:lang w:val="x-none" w:eastAsia="x-none"/>
    </w:rPr>
  </w:style>
  <w:style w:type="character" w:customStyle="1" w:styleId="Nadpis2Char">
    <w:name w:val="Nadpis 2 Char"/>
    <w:basedOn w:val="Predvolenpsmoodseku"/>
    <w:link w:val="Nadpis2"/>
    <w:semiHidden/>
    <w:rsid w:val="00A362B9"/>
    <w:rPr>
      <w:rFonts w:ascii="Times New Roman" w:eastAsia="Times New Roman" w:hAnsi="Times New Roman" w:cs="Times New Roman"/>
      <w:bCs/>
      <w:i/>
      <w:iCs/>
      <w:sz w:val="24"/>
      <w:szCs w:val="24"/>
      <w:u w:val="single"/>
      <w:lang w:val="x-none" w:eastAsia="x-none"/>
    </w:rPr>
  </w:style>
  <w:style w:type="paragraph" w:styleId="Zkladntext">
    <w:name w:val="Body Text"/>
    <w:basedOn w:val="Normlny"/>
    <w:link w:val="ZkladntextChar"/>
    <w:uiPriority w:val="99"/>
    <w:semiHidden/>
    <w:unhideWhenUsed/>
    <w:rsid w:val="00A362B9"/>
    <w:pPr>
      <w:ind w:left="426"/>
      <w:jc w:val="both"/>
    </w:pPr>
  </w:style>
  <w:style w:type="character" w:customStyle="1" w:styleId="ZkladntextChar">
    <w:name w:val="Základný text Char"/>
    <w:basedOn w:val="Predvolenpsmoodseku"/>
    <w:link w:val="Zkladntext"/>
    <w:uiPriority w:val="99"/>
    <w:semiHidden/>
    <w:rsid w:val="00A362B9"/>
    <w:rPr>
      <w:rFonts w:ascii="Times New Roman" w:eastAsia="Times New Roman" w:hAnsi="Times New Roman" w:cs="Times New Roman"/>
      <w:sz w:val="20"/>
      <w:szCs w:val="20"/>
      <w:lang w:eastAsia="sk-SK"/>
    </w:rPr>
  </w:style>
  <w:style w:type="paragraph" w:customStyle="1" w:styleId="Pismenka">
    <w:name w:val="Pismenka"/>
    <w:basedOn w:val="Zkladntext"/>
    <w:uiPriority w:val="99"/>
    <w:rsid w:val="00A362B9"/>
    <w:pPr>
      <w:tabs>
        <w:tab w:val="num" w:pos="426"/>
      </w:tabs>
      <w:ind w:hanging="426"/>
    </w:pPr>
    <w:rPr>
      <w:b/>
      <w:bCs/>
    </w:rPr>
  </w:style>
  <w:style w:type="paragraph" w:customStyle="1" w:styleId="odstavec">
    <w:name w:val="odstavec"/>
    <w:basedOn w:val="Normlny"/>
    <w:autoRedefine/>
    <w:rsid w:val="00A362B9"/>
    <w:pPr>
      <w:ind w:right="-79"/>
      <w:jc w:val="both"/>
    </w:pPr>
    <w:rPr>
      <w:sz w:val="24"/>
      <w:szCs w:val="24"/>
    </w:rPr>
  </w:style>
  <w:style w:type="paragraph" w:customStyle="1" w:styleId="Default">
    <w:name w:val="Default"/>
    <w:rsid w:val="00A362B9"/>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abulka">
    <w:name w:val="Tabulka"/>
    <w:basedOn w:val="Normlny"/>
    <w:rsid w:val="00A362B9"/>
    <w:rPr>
      <w:color w:val="000000"/>
      <w:sz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6871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5</Pages>
  <Words>1619</Words>
  <Characters>9233</Characters>
  <Application>Microsoft Office Word</Application>
  <DocSecurity>0</DocSecurity>
  <Lines>76</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10831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GONOSOVÁ Tatiana</dc:creator>
  <cp:keywords/>
  <dc:description/>
  <cp:lastModifiedBy>GONOSOVÁ Tatiana</cp:lastModifiedBy>
  <cp:revision>3</cp:revision>
  <dcterms:created xsi:type="dcterms:W3CDTF">2016-05-31T08:11:00Z</dcterms:created>
  <dcterms:modified xsi:type="dcterms:W3CDTF">2016-05-31T08:38:00Z</dcterms:modified>
</cp:coreProperties>
</file>