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CDF" w:rsidRPr="00402A07" w:rsidRDefault="00E73CDF" w:rsidP="000B082D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  <w:bookmarkStart w:id="0" w:name="_GoBack"/>
      <w:bookmarkEnd w:id="0"/>
    </w:p>
    <w:p w:rsidR="00E73CDF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 w:rsidR="000728B8">
        <w:rPr>
          <w:rFonts w:ascii="Book Antiqua" w:hAnsi="Book Antiqua" w:cs="Arial"/>
          <w:b/>
          <w:bCs/>
          <w:sz w:val="24"/>
          <w:szCs w:val="24"/>
        </w:rPr>
        <w:t xml:space="preserve"> k 31.12.</w:t>
      </w:r>
      <w:r w:rsidR="00523D8D">
        <w:rPr>
          <w:rFonts w:ascii="Book Antiqua" w:hAnsi="Book Antiqua" w:cs="Arial"/>
          <w:b/>
          <w:bCs/>
          <w:sz w:val="24"/>
          <w:szCs w:val="24"/>
        </w:rPr>
        <w:t>2015</w:t>
      </w:r>
    </w:p>
    <w:p w:rsidR="00E73CDF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</w:t>
      </w:r>
      <w:r w:rsidR="00CF6600" w:rsidRPr="00402A07">
        <w:rPr>
          <w:rFonts w:ascii="Book Antiqua" w:hAnsi="Book Antiqua" w:cs="Arial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bCs/>
          <w:sz w:val="24"/>
          <w:szCs w:val="24"/>
        </w:rPr>
        <w:t>konsolidovanej účtovnej závierky</w:t>
      </w:r>
    </w:p>
    <w:p w:rsidR="00423928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:rsidR="00FC3946" w:rsidRPr="00402A07" w:rsidRDefault="008511CD" w:rsidP="000B082D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 xml:space="preserve">Obce </w:t>
      </w:r>
      <w:r w:rsidR="001E288A">
        <w:rPr>
          <w:rFonts w:ascii="Book Antiqua" w:hAnsi="Book Antiqua" w:cs="Arial"/>
          <w:b/>
          <w:bCs/>
          <w:i/>
          <w:sz w:val="28"/>
          <w:szCs w:val="28"/>
        </w:rPr>
        <w:t>Staré Hory</w:t>
      </w:r>
    </w:p>
    <w:p w:rsidR="00CF6600" w:rsidRPr="00402A07" w:rsidRDefault="00CF6600" w:rsidP="000B082D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:rsidR="00EF314E" w:rsidRPr="00402A07" w:rsidRDefault="00EF314E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621E74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 xml:space="preserve"> o 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konsolidujúcej účtovnej jednotke</w:t>
      </w:r>
    </w:p>
    <w:p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930F58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Názov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8511CD" w:rsidP="008A1C0E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Obec 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Staré Hory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621E74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Sídlo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1E288A" w:rsidP="00786946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Staré Hory 317, 976 02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A9144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:rsidR="00930F58" w:rsidRPr="00402A07" w:rsidRDefault="007D541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1.1.1991</w:t>
            </w:r>
          </w:p>
        </w:tc>
      </w:tr>
    </w:tbl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9D33C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Identifikačné údaje o konsolidovaných  účtovných  jednotkách – </w:t>
      </w:r>
      <w:r w:rsidR="009D33C9">
        <w:rPr>
          <w:rFonts w:ascii="Book Antiqua" w:hAnsi="Book Antiqua" w:cs="Arial"/>
          <w:b/>
          <w:i/>
          <w:sz w:val="24"/>
          <w:szCs w:val="24"/>
        </w:rPr>
        <w:t>rozpočtovej organizáci</w:t>
      </w:r>
      <w:r w:rsidR="00F33E67">
        <w:rPr>
          <w:rFonts w:ascii="Book Antiqua" w:hAnsi="Book Antiqua" w:cs="Arial"/>
          <w:b/>
          <w:i/>
          <w:sz w:val="24"/>
          <w:szCs w:val="24"/>
        </w:rPr>
        <w:t>e</w:t>
      </w:r>
      <w:r w:rsidR="00D85448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i/>
          <w:sz w:val="24"/>
          <w:szCs w:val="24"/>
        </w:rPr>
        <w:t>v zriaďovateľskej pôsobnosti konsolidujú</w:t>
      </w:r>
      <w:r w:rsidR="00347A64" w:rsidRPr="00402A07">
        <w:rPr>
          <w:rFonts w:ascii="Book Antiqua" w:hAnsi="Book Antiqua" w:cs="Arial"/>
          <w:b/>
          <w:i/>
          <w:sz w:val="24"/>
          <w:szCs w:val="24"/>
        </w:rPr>
        <w:t>cej účtovnej jednotky</w:t>
      </w: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C836D2" w:rsidRPr="00402A07" w:rsidRDefault="001E288A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 škola</w:t>
            </w:r>
            <w:r w:rsidR="009D33C9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</w:tr>
      <w:tr w:rsidR="001E288A" w:rsidRPr="00402A07" w:rsidTr="0096070D">
        <w:tc>
          <w:tcPr>
            <w:tcW w:w="4781" w:type="dxa"/>
            <w:vAlign w:val="center"/>
          </w:tcPr>
          <w:p w:rsidR="001E288A" w:rsidRPr="00402A07" w:rsidRDefault="001E288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1E288A" w:rsidRPr="00402A07" w:rsidRDefault="001E288A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Staré Hory 327, 976 02</w:t>
            </w:r>
          </w:p>
        </w:tc>
      </w:tr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konsolid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>ovanej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účtovnej jednotky</w:t>
            </w:r>
          </w:p>
        </w:tc>
        <w:tc>
          <w:tcPr>
            <w:tcW w:w="5479" w:type="dxa"/>
          </w:tcPr>
          <w:p w:rsidR="00C836D2" w:rsidRPr="00402A07" w:rsidRDefault="00B03240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01.0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7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.20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02</w:t>
            </w:r>
          </w:p>
        </w:tc>
      </w:tr>
    </w:tbl>
    <w:p w:rsidR="00883949" w:rsidRPr="00402A07" w:rsidRDefault="0088394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347AA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883949" w:rsidRPr="00402A07">
        <w:rPr>
          <w:rFonts w:ascii="Book Antiqua" w:hAnsi="Book Antiqua" w:cs="Arial"/>
          <w:b/>
          <w:i/>
          <w:sz w:val="24"/>
          <w:szCs w:val="24"/>
        </w:rPr>
        <w:t> zamestnancoch konsolidovaného celku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</w:p>
    <w:p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3301C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Priemerný počet zamestnancov </w:t>
            </w:r>
            <w:r w:rsidR="00883949" w:rsidRPr="00402A07">
              <w:rPr>
                <w:rFonts w:ascii="Book Antiqua" w:hAnsi="Book Antiqua" w:cs="Arial"/>
                <w:sz w:val="24"/>
                <w:szCs w:val="24"/>
              </w:rPr>
              <w:t xml:space="preserve"> konsolidovaného celku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:rsidR="00524E49" w:rsidRPr="00F33E67" w:rsidRDefault="001E288A" w:rsidP="00B03240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8</w:t>
            </w:r>
          </w:p>
        </w:tc>
      </w:tr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</w:t>
            </w:r>
            <w:r w:rsidR="004C4C7A" w:rsidRPr="00402A07">
              <w:rPr>
                <w:rFonts w:ascii="Book Antiqua" w:hAnsi="Book Antiqua" w:cs="Arial"/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3347AA" w:rsidRPr="000A5748" w:rsidRDefault="001E288A" w:rsidP="00786946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5</w:t>
            </w:r>
          </w:p>
        </w:tc>
      </w:tr>
    </w:tbl>
    <w:p w:rsidR="00147361" w:rsidRPr="00402A07" w:rsidRDefault="00147361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lastRenderedPageBreak/>
        <w:t>Informácie o zostavení individuálnej účtovnej závierky konsolidovanej účtovnej jednotky – obchodnej spoločnosti, ak je iný ako 31.12.</w:t>
      </w:r>
      <w:r w:rsidR="00523D8D">
        <w:rPr>
          <w:rFonts w:ascii="Book Antiqua" w:hAnsi="Book Antiqua" w:cs="Arial"/>
          <w:b/>
          <w:i/>
          <w:sz w:val="24"/>
          <w:szCs w:val="24"/>
        </w:rPr>
        <w:t>2015</w:t>
      </w:r>
    </w:p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9" w:type="dxa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</w:tbl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0060A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 výške</w:t>
      </w:r>
      <w:r w:rsidR="0060060A" w:rsidRPr="00402A07">
        <w:rPr>
          <w:rFonts w:ascii="Book Antiqua" w:hAnsi="Book Antiqua" w:cs="Arial"/>
          <w:b/>
          <w:i/>
          <w:sz w:val="24"/>
          <w:szCs w:val="24"/>
        </w:rPr>
        <w:t xml:space="preserve"> podielov na výsledku hospodárenia konsolidovaných účtovných jednotiek (obchodných spoločností), ktoré konsolidujúca účtovná jednotka ovláda alebo vykonáva v nich podstatný vplyv, ktoré boli nadobudnuté  v priebehu účtovného obdobia</w:t>
      </w:r>
    </w:p>
    <w:p w:rsidR="0060060A" w:rsidRPr="00402A07" w:rsidRDefault="0060060A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Výška podielu na výsledku hospodárenia</w:t>
            </w:r>
          </w:p>
        </w:tc>
        <w:tc>
          <w:tcPr>
            <w:tcW w:w="5479" w:type="dxa"/>
          </w:tcPr>
          <w:p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E9707C" w:rsidRPr="00402A07" w:rsidRDefault="00E9707C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E9707C" w:rsidRPr="00402A07" w:rsidRDefault="00E9707C" w:rsidP="00F33E67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Informácie o výsledku hospodárenia z dôvodu predaja majetku medzi účtovnými jednotkami konsolidovaného celku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Informácie o metódach oceňovania použitých pri ocenení jednotlivých položiek konsolidovanej účtovnej závierky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b/>
          <w:i/>
          <w:sz w:val="24"/>
          <w:szCs w:val="24"/>
        </w:rPr>
        <w:t>Staré Hory</w:t>
      </w:r>
    </w:p>
    <w:p w:rsidR="0096070D" w:rsidRPr="00402A07" w:rsidRDefault="0096070D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402A07">
        <w:rPr>
          <w:rFonts w:ascii="Book Antiqua" w:hAnsi="Book Antiqua" w:cs="Arial"/>
          <w:bCs/>
          <w:sz w:val="24"/>
          <w:szCs w:val="24"/>
        </w:rPr>
        <w:t xml:space="preserve"> účtovnej</w:t>
      </w:r>
      <w:r w:rsidRPr="00402A07">
        <w:rPr>
          <w:rFonts w:ascii="Book Antiqua" w:hAnsi="Book Antiqua" w:cs="Arial"/>
          <w:bCs/>
          <w:sz w:val="24"/>
          <w:szCs w:val="24"/>
        </w:rPr>
        <w:t xml:space="preserve"> závierky.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lastRenderedPageBreak/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u sa oceňuje vlastnými nákladmi, ktoré predstavujú </w:t>
      </w:r>
      <w:r w:rsidRPr="00402A07">
        <w:rPr>
          <w:rFonts w:ascii="Book Antiqua" w:hAnsi="Book Antiqua" w:cs="Arial"/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</w:t>
      </w:r>
      <w:r w:rsidR="00D11935" w:rsidRPr="00402A07">
        <w:rPr>
          <w:rFonts w:ascii="Book Antiqua" w:hAnsi="Book Antiqua" w:cs="Arial"/>
          <w:iCs/>
          <w:sz w:val="24"/>
          <w:szCs w:val="24"/>
        </w:rPr>
        <w:t>odobý majetok nadobudnutý darovaním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 sa oceňuje reprodukčnou obstarávacou cenou, </w:t>
      </w:r>
      <w:r w:rsidR="00D11935" w:rsidRPr="00402A07">
        <w:rPr>
          <w:rFonts w:ascii="Book Antiqua" w:hAnsi="Book Antiqua" w:cs="Arial"/>
          <w:iCs/>
          <w:sz w:val="24"/>
          <w:szCs w:val="24"/>
        </w:rPr>
        <w:t>teda cenou</w:t>
      </w:r>
      <w:r w:rsidRPr="00402A07">
        <w:rPr>
          <w:rFonts w:ascii="Book Antiqua" w:hAnsi="Book Antiqua" w:cs="Arial"/>
          <w:iCs/>
          <w:sz w:val="24"/>
          <w:szCs w:val="24"/>
        </w:rPr>
        <w:t>, za ktorú by sa majetok obstaral v čase, keď sa o ňom účtuje.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:rsidR="00D11935" w:rsidRPr="00402A07" w:rsidRDefault="00D11935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>sa oceňujú obstarávacou cenou</w:t>
      </w:r>
      <w:r w:rsidR="00724046" w:rsidRPr="00402A07">
        <w:rPr>
          <w:rFonts w:ascii="Book Antiqua" w:hAnsi="Book Antiqua" w:cs="Arial"/>
          <w:sz w:val="24"/>
          <w:szCs w:val="24"/>
        </w:rPr>
        <w:t>,</w:t>
      </w:r>
      <w:r w:rsidRPr="00402A07">
        <w:rPr>
          <w:rFonts w:ascii="Book Antiqua" w:hAnsi="Book Antiqua" w:cs="Arial"/>
          <w:sz w:val="24"/>
          <w:szCs w:val="24"/>
        </w:rPr>
        <w:t xml:space="preserve"> ktorou je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 cena obstarania vrátane nákladov súvisiacich s obstaraním ako</w:t>
      </w:r>
      <w:r w:rsidRPr="00402A07">
        <w:rPr>
          <w:rFonts w:ascii="Book Antiqua" w:hAnsi="Book Antiqua" w:cs="Arial"/>
          <w:sz w:val="24"/>
          <w:szCs w:val="24"/>
        </w:rPr>
        <w:t xml:space="preserve"> napr. prepravné, provízia, poistné a zľavy.    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</w:t>
      </w:r>
      <w:r w:rsidR="00724046" w:rsidRPr="00402A07">
        <w:rPr>
          <w:rFonts w:ascii="Book Antiqua" w:hAnsi="Book Antiqua" w:cs="Arial"/>
          <w:sz w:val="24"/>
          <w:szCs w:val="24"/>
        </w:rPr>
        <w:t>ásoby vytvorené vlastnou činnosťou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sa oceňujú vlastnými nákladmi t.j. priamymi nákladmi vynaloženými na tvorbu zásob ako aj časťou nepriamych nákladov, ktoré sa k tvorbe zásob vzťahujú.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724046" w:rsidRPr="00402A07">
        <w:rPr>
          <w:rFonts w:ascii="Book Antiqua" w:hAnsi="Book Antiqua" w:cs="Arial"/>
          <w:sz w:val="24"/>
          <w:szCs w:val="24"/>
        </w:rPr>
        <w:t>ohľadávky</w:t>
      </w:r>
      <w:r w:rsidRPr="00402A07">
        <w:rPr>
          <w:rFonts w:ascii="Book Antiqua" w:hAnsi="Book Antiqua" w:cs="Arial"/>
          <w:sz w:val="24"/>
          <w:szCs w:val="24"/>
        </w:rPr>
        <w:t xml:space="preserve"> sa oceňujú v menovitej hodnote.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Cenné papiere a podiely sa oceňujú obstarávacími cenami, vrátane nákladov súvisiacich s</w:t>
      </w:r>
      <w:r w:rsidR="00D11935" w:rsidRPr="00402A07">
        <w:rPr>
          <w:rFonts w:ascii="Book Antiqua" w:hAnsi="Book Antiqua" w:cs="Arial"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>obstaraním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. 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Pohľadávky </w:t>
      </w:r>
      <w:r w:rsidR="00595034" w:rsidRPr="00402A07">
        <w:rPr>
          <w:rFonts w:ascii="Book Antiqua" w:hAnsi="Book Antiqua" w:cs="Arial"/>
          <w:sz w:val="24"/>
          <w:szCs w:val="24"/>
        </w:rPr>
        <w:t>sa pri ich vzniku oceňujú menovitou hodnotou.</w:t>
      </w:r>
    </w:p>
    <w:p w:rsid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:rsidR="00595034" w:rsidRP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Záväzky 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sa pri ich vzniku </w:t>
      </w:r>
      <w:r w:rsidRPr="00402A07">
        <w:rPr>
          <w:rFonts w:ascii="Book Antiqua" w:hAnsi="Book Antiqua" w:cs="Arial"/>
          <w:sz w:val="24"/>
          <w:szCs w:val="24"/>
        </w:rPr>
        <w:t>oceňujú menovitou hodnotou.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 sa pri ich prevzatí </w:t>
      </w:r>
      <w:r w:rsidRPr="00402A07">
        <w:rPr>
          <w:rFonts w:ascii="Book Antiqua" w:hAnsi="Book Antiqua" w:cs="Arial"/>
          <w:sz w:val="24"/>
          <w:szCs w:val="24"/>
        </w:rPr>
        <w:t>oceňujú obstarávacou cenou.</w:t>
      </w:r>
    </w:p>
    <w:p w:rsidR="0096070D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347A64" w:rsidRPr="00402A07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b/>
          <w:i/>
          <w:sz w:val="24"/>
          <w:szCs w:val="24"/>
        </w:rPr>
        <w:t>Staré Hory</w:t>
      </w:r>
      <w:r w:rsidR="00F33E6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sz w:val="24"/>
          <w:szCs w:val="24"/>
        </w:rPr>
        <w:t>zahŕňa</w:t>
      </w:r>
      <w:r w:rsidR="00F33E67">
        <w:rPr>
          <w:rFonts w:ascii="Book Antiqua" w:hAnsi="Book Antiqua" w:cs="Arial"/>
          <w:b/>
          <w:sz w:val="24"/>
          <w:szCs w:val="24"/>
        </w:rPr>
        <w:t xml:space="preserve"> </w:t>
      </w:r>
      <w:r w:rsidR="007D5417">
        <w:rPr>
          <w:rFonts w:ascii="Book Antiqua" w:hAnsi="Book Antiqua" w:cs="Arial"/>
          <w:b/>
          <w:sz w:val="24"/>
          <w:szCs w:val="24"/>
        </w:rPr>
        <w:t>1</w:t>
      </w:r>
      <w:r w:rsidRPr="00402A07">
        <w:rPr>
          <w:rFonts w:ascii="Book Antiqua" w:hAnsi="Book Antiqua" w:cs="Arial"/>
          <w:b/>
          <w:sz w:val="24"/>
          <w:szCs w:val="24"/>
        </w:rPr>
        <w:t xml:space="preserve"> </w:t>
      </w:r>
      <w:r w:rsidR="00B03240">
        <w:rPr>
          <w:rFonts w:ascii="Book Antiqua" w:hAnsi="Book Antiqua" w:cs="Arial"/>
          <w:b/>
          <w:sz w:val="24"/>
          <w:szCs w:val="24"/>
        </w:rPr>
        <w:t>rozpočtovú organizáciu</w:t>
      </w:r>
      <w:r w:rsidR="00786946">
        <w:rPr>
          <w:rFonts w:ascii="Book Antiqua" w:hAnsi="Book Antiqua" w:cs="Arial"/>
          <w:b/>
          <w:sz w:val="24"/>
          <w:szCs w:val="24"/>
        </w:rPr>
        <w:t>.</w:t>
      </w:r>
      <w:r w:rsidRPr="00402A07">
        <w:rPr>
          <w:rFonts w:ascii="Book Antiqua" w:hAnsi="Book Antiqua" w:cs="Arial"/>
          <w:b/>
          <w:sz w:val="24"/>
          <w:szCs w:val="24"/>
        </w:rPr>
        <w:t xml:space="preserve">;  </w:t>
      </w:r>
      <w:r w:rsidR="007D5417">
        <w:rPr>
          <w:rFonts w:ascii="Book Antiqua" w:hAnsi="Book Antiqua" w:cs="Arial"/>
          <w:b/>
          <w:sz w:val="24"/>
          <w:szCs w:val="24"/>
        </w:rPr>
        <w:t>jej</w:t>
      </w:r>
      <w:r w:rsidRPr="00402A07">
        <w:rPr>
          <w:rFonts w:ascii="Book Antiqua" w:hAnsi="Book Antiqua" w:cs="Arial"/>
          <w:b/>
          <w:sz w:val="24"/>
          <w:szCs w:val="24"/>
        </w:rPr>
        <w:t xml:space="preserve"> identifikačné údaje sa nachádzajú v úvode.</w:t>
      </w:r>
    </w:p>
    <w:p w:rsidR="00347A64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C85B98" w:rsidRPr="00402A07" w:rsidRDefault="0096070D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="00C85B98" w:rsidRPr="00402A07">
        <w:rPr>
          <w:rFonts w:ascii="Book Antiqua" w:hAnsi="Book Antiqua" w:cs="Arial"/>
          <w:b/>
          <w:sz w:val="24"/>
          <w:szCs w:val="24"/>
        </w:rPr>
        <w:t>Čl. II</w:t>
      </w:r>
    </w:p>
    <w:p w:rsidR="00C85B98" w:rsidRPr="00402A07" w:rsidRDefault="00C85B98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:rsidR="00DE59D4" w:rsidRPr="00402A07" w:rsidRDefault="00DE59D4" w:rsidP="00DE59D4">
      <w:pPr>
        <w:jc w:val="both"/>
        <w:rPr>
          <w:rFonts w:ascii="Book Antiqua" w:hAnsi="Book Antiqua"/>
          <w:sz w:val="24"/>
          <w:szCs w:val="24"/>
        </w:rPr>
      </w:pP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 w:rsidR="007D5417">
        <w:rPr>
          <w:rFonts w:ascii="Book Antiqua" w:hAnsi="Book Antiqua" w:cs="Arial"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i/>
          <w:sz w:val="24"/>
          <w:szCs w:val="24"/>
        </w:rPr>
        <w:t>Staré Hory</w:t>
      </w:r>
      <w:r w:rsidR="009314B1" w:rsidRPr="00402A07">
        <w:rPr>
          <w:rFonts w:ascii="Book Antiqua" w:hAnsi="Book Antiqua" w:cs="Arial"/>
          <w:i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 bola zostavená v súlade </w:t>
      </w:r>
      <w:r w:rsidR="000B082D" w:rsidRPr="00402A07">
        <w:rPr>
          <w:rFonts w:ascii="Book Antiqua" w:hAnsi="Book Antiqua" w:cs="Arial"/>
          <w:sz w:val="24"/>
          <w:szCs w:val="24"/>
        </w:rPr>
        <w:t>so zákonom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č. 431/2002 Z. z. o účtovníctve v znení neskorších predpisov </w:t>
      </w:r>
      <w:r w:rsidR="00C82159" w:rsidRPr="00402A07">
        <w:rPr>
          <w:rFonts w:ascii="Book Antiqua" w:hAnsi="Book Antiqua" w:cs="Arial"/>
          <w:sz w:val="24"/>
          <w:szCs w:val="24"/>
        </w:rPr>
        <w:t>v súlade s Opatrením Ministerstva financií Slovenskej repu</w:t>
      </w:r>
      <w:r w:rsidR="00167FE7">
        <w:rPr>
          <w:rFonts w:ascii="Book Antiqua" w:hAnsi="Book Antiqua" w:cs="Arial"/>
          <w:sz w:val="24"/>
          <w:szCs w:val="24"/>
        </w:rPr>
        <w:t>bliky  zo dňa 17. decembra 2008</w:t>
      </w:r>
      <w:r w:rsidR="00347A64" w:rsidRPr="00402A07">
        <w:rPr>
          <w:rFonts w:ascii="Book Antiqua" w:hAnsi="Book Antiqua" w:cs="Arial"/>
          <w:sz w:val="24"/>
          <w:szCs w:val="24"/>
        </w:rPr>
        <w:t xml:space="preserve"> </w:t>
      </w:r>
      <w:r w:rsidR="00C82159" w:rsidRPr="00402A07">
        <w:rPr>
          <w:rFonts w:ascii="Book Antiqua" w:hAnsi="Book Antiqua" w:cs="Arial"/>
          <w:sz w:val="24"/>
          <w:szCs w:val="24"/>
        </w:rPr>
        <w:t>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C82159" w:rsidRPr="00402A07" w:rsidRDefault="00C82159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konsolidovanej účtovnej závierky</w:t>
      </w:r>
    </w:p>
    <w:p w:rsidR="00F77526" w:rsidRPr="00402A07" w:rsidRDefault="00F77526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1537"/>
        <w:gridCol w:w="1559"/>
        <w:gridCol w:w="1620"/>
      </w:tblGrid>
      <w:tr w:rsidR="00C82159" w:rsidRPr="00402A07" w:rsidTr="009314B1">
        <w:tc>
          <w:tcPr>
            <w:tcW w:w="510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vlastného imania</w:t>
            </w:r>
          </w:p>
        </w:tc>
      </w:tr>
      <w:tr w:rsidR="00C82159" w:rsidRPr="00402A07" w:rsidTr="009314B1">
        <w:tc>
          <w:tcPr>
            <w:tcW w:w="5100" w:type="dxa"/>
          </w:tcPr>
          <w:p w:rsidR="00C82159" w:rsidRPr="00402A07" w:rsidRDefault="001E288A" w:rsidP="00786946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</w:t>
            </w:r>
            <w:r w:rsidR="00B03240">
              <w:rPr>
                <w:rFonts w:ascii="Book Antiqua" w:hAnsi="Book Antiqua" w:cs="Arial"/>
                <w:i/>
                <w:sz w:val="24"/>
                <w:szCs w:val="24"/>
              </w:rPr>
              <w:t xml:space="preserve"> škola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Staré Hory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537" w:type="dxa"/>
          </w:tcPr>
          <w:p w:rsidR="00C82159" w:rsidRPr="00402A07" w:rsidRDefault="009314B1" w:rsidP="005D3A4C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</w:tbl>
    <w:p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</w:t>
      </w:r>
      <w:r w:rsidR="00347A64" w:rsidRPr="00402A07">
        <w:rPr>
          <w:rFonts w:ascii="Book Antiqua" w:hAnsi="Book Antiqua" w:cs="Arial"/>
          <w:sz w:val="24"/>
          <w:szCs w:val="24"/>
        </w:rPr>
        <w:t>ej konsolidácie bola použitá pri</w:t>
      </w:r>
      <w:r w:rsidRPr="00402A07">
        <w:rPr>
          <w:rFonts w:ascii="Book Antiqua" w:hAnsi="Book Antiqua" w:cs="Arial"/>
          <w:sz w:val="24"/>
          <w:szCs w:val="24"/>
        </w:rPr>
        <w:t xml:space="preserve"> dcérsk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účtovn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jednotk</w:t>
      </w:r>
      <w:r w:rsidR="007F6396">
        <w:rPr>
          <w:rFonts w:ascii="Book Antiqua" w:hAnsi="Book Antiqua" w:cs="Arial"/>
          <w:sz w:val="24"/>
          <w:szCs w:val="24"/>
        </w:rPr>
        <w:t>e</w:t>
      </w:r>
      <w:r w:rsidRPr="00402A07">
        <w:rPr>
          <w:rFonts w:ascii="Book Antiqua" w:hAnsi="Book Antiqua" w:cs="Arial"/>
          <w:sz w:val="24"/>
          <w:szCs w:val="24"/>
        </w:rPr>
        <w:t>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</w:t>
      </w:r>
      <w:r w:rsidRPr="00402A07">
        <w:rPr>
          <w:rFonts w:ascii="Book Antiqua" w:hAnsi="Book Antiqua" w:cs="Arial"/>
          <w:sz w:val="24"/>
          <w:szCs w:val="24"/>
        </w:rPr>
        <w:t xml:space="preserve"> bola použitá pri spoločných účtovných jednotkách.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 </w:t>
      </w:r>
      <w:r w:rsidRPr="00402A07">
        <w:rPr>
          <w:rFonts w:ascii="Book Antiqua" w:hAnsi="Book Antiqua" w:cs="Arial"/>
          <w:sz w:val="24"/>
          <w:szCs w:val="24"/>
        </w:rPr>
        <w:t>bola použitá pri pridružených účtovných jednotkách.</w:t>
      </w:r>
    </w:p>
    <w:p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p w:rsidR="00AE0EA6" w:rsidRPr="00402A07" w:rsidRDefault="00AE0EA6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Moment prvej konsolidácie kapitálu :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rozpočtových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príspevkových 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</w:t>
      </w:r>
      <w:r w:rsidR="00347A64" w:rsidRPr="00402A07">
        <w:rPr>
          <w:rFonts w:ascii="Book Antiqua" w:hAnsi="Book Antiqua" w:cs="Arial"/>
          <w:sz w:val="24"/>
          <w:szCs w:val="24"/>
        </w:rPr>
        <w:t>i obchodných spoločnostiach je t</w:t>
      </w:r>
      <w:r w:rsidRPr="00402A07">
        <w:rPr>
          <w:rFonts w:ascii="Book Antiqua" w:hAnsi="Book Antiqua" w:cs="Arial"/>
          <w:sz w:val="24"/>
          <w:szCs w:val="24"/>
        </w:rPr>
        <w:t>o deň obstarania podielov.</w:t>
      </w:r>
    </w:p>
    <w:p w:rsidR="00402A07" w:rsidRPr="00402A07" w:rsidRDefault="00402A07" w:rsidP="00AE0EA6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0B082D" w:rsidRPr="00402A07">
        <w:rPr>
          <w:rFonts w:ascii="Book Antiqua" w:hAnsi="Book Antiqua" w:cs="Arial"/>
          <w:b/>
          <w:i/>
          <w:sz w:val="24"/>
          <w:szCs w:val="24"/>
        </w:rPr>
        <w:t> </w:t>
      </w:r>
      <w:r w:rsidRPr="00402A07">
        <w:rPr>
          <w:rFonts w:ascii="Book Antiqua" w:hAnsi="Book Antiqua" w:cs="Arial"/>
          <w:b/>
          <w:i/>
          <w:sz w:val="24"/>
          <w:szCs w:val="24"/>
        </w:rPr>
        <w:t>goodwille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nevzniká pri konsolidovanej účtovnej  jednotke, ktorou je rozpočtová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nevzniká pri konsolidovanej účtovnej  jednotke, ktorou je príspevková 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Goodwill nevzniká pri založení konsolidovanej účtovnej  jednotky, ktorou je obchodná spoločnosť. </w:t>
      </w:r>
    </w:p>
    <w:p w:rsidR="000B082D" w:rsidRPr="00402A07" w:rsidRDefault="000B082D" w:rsidP="000B082D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vzniká pri kúpe už existujúcej konsolidovanej účtovnej  jednotky, ktorou je obchodná spoločnosť.</w:t>
      </w:r>
    </w:p>
    <w:p w:rsidR="000B082D" w:rsidRPr="00402A07" w:rsidRDefault="000B082D" w:rsidP="000B082D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hanging="1156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sa odpisuje do 5 rokov.</w:t>
      </w:r>
    </w:p>
    <w:p w:rsidR="00402A07" w:rsidRP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A7847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:rsidR="00A4312C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</w:t>
      </w:r>
      <w:r w:rsidR="00CE5157" w:rsidRPr="00402A07">
        <w:rPr>
          <w:rFonts w:ascii="Book Antiqua" w:hAnsi="Book Antiqua" w:cs="Arial"/>
          <w:b/>
          <w:sz w:val="24"/>
          <w:szCs w:val="24"/>
        </w:rPr>
        <w:t xml:space="preserve"> údajoch </w:t>
      </w:r>
      <w:r w:rsidR="00AA4068" w:rsidRPr="00402A07">
        <w:rPr>
          <w:rFonts w:ascii="Book Antiqua" w:hAnsi="Book Antiqua" w:cs="Arial"/>
          <w:b/>
          <w:sz w:val="24"/>
          <w:szCs w:val="24"/>
        </w:rPr>
        <w:t>aktív a pasív</w:t>
      </w:r>
    </w:p>
    <w:p w:rsidR="00A4312C" w:rsidRPr="00402A07" w:rsidRDefault="00B03240" w:rsidP="00B03240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>Tabuľková časť tvorí samostatnú časť konsolidovaných poznámok</w:t>
      </w:r>
      <w:r w:rsidR="00167FE7">
        <w:rPr>
          <w:rFonts w:ascii="Book Antiqua" w:hAnsi="Book Antiqua" w:cs="Arial"/>
          <w:b/>
          <w:sz w:val="24"/>
          <w:szCs w:val="24"/>
        </w:rPr>
        <w:t>.</w:t>
      </w:r>
    </w:p>
    <w:sectPr w:rsidR="00A4312C" w:rsidRPr="00402A07" w:rsidSect="005E267B"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1E0" w:rsidRDefault="00CA51E0">
      <w:r>
        <w:separator/>
      </w:r>
    </w:p>
  </w:endnote>
  <w:endnote w:type="continuationSeparator" w:id="0">
    <w:p w:rsidR="00CA51E0" w:rsidRDefault="00CA5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E04" w:rsidRDefault="00C6616A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014E0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9F4192">
      <w:rPr>
        <w:rStyle w:val="slostrany"/>
        <w:noProof/>
      </w:rPr>
      <w:t>1</w:t>
    </w:r>
    <w:r>
      <w:rPr>
        <w:rStyle w:val="slostrany"/>
      </w:rPr>
      <w:fldChar w:fldCharType="end"/>
    </w:r>
  </w:p>
  <w:p w:rsidR="00014E04" w:rsidRDefault="00014E04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1E0" w:rsidRDefault="00CA51E0">
      <w:r>
        <w:separator/>
      </w:r>
    </w:p>
  </w:footnote>
  <w:footnote w:type="continuationSeparator" w:id="0">
    <w:p w:rsidR="00CA51E0" w:rsidRDefault="00CA51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36"/>
  </w:num>
  <w:num w:numId="4">
    <w:abstractNumId w:val="10"/>
  </w:num>
  <w:num w:numId="5">
    <w:abstractNumId w:val="37"/>
  </w:num>
  <w:num w:numId="6">
    <w:abstractNumId w:val="39"/>
  </w:num>
  <w:num w:numId="7">
    <w:abstractNumId w:val="27"/>
  </w:num>
  <w:num w:numId="8">
    <w:abstractNumId w:val="33"/>
  </w:num>
  <w:num w:numId="9">
    <w:abstractNumId w:val="16"/>
  </w:num>
  <w:num w:numId="10">
    <w:abstractNumId w:val="28"/>
  </w:num>
  <w:num w:numId="11">
    <w:abstractNumId w:val="7"/>
  </w:num>
  <w:num w:numId="12">
    <w:abstractNumId w:val="26"/>
  </w:num>
  <w:num w:numId="13">
    <w:abstractNumId w:val="41"/>
  </w:num>
  <w:num w:numId="14">
    <w:abstractNumId w:val="21"/>
  </w:num>
  <w:num w:numId="15">
    <w:abstractNumId w:val="22"/>
  </w:num>
  <w:num w:numId="16">
    <w:abstractNumId w:val="14"/>
  </w:num>
  <w:num w:numId="17">
    <w:abstractNumId w:val="35"/>
  </w:num>
  <w:num w:numId="18">
    <w:abstractNumId w:val="8"/>
  </w:num>
  <w:num w:numId="19">
    <w:abstractNumId w:val="5"/>
  </w:num>
  <w:num w:numId="20">
    <w:abstractNumId w:val="15"/>
  </w:num>
  <w:num w:numId="21">
    <w:abstractNumId w:val="4"/>
  </w:num>
  <w:num w:numId="22">
    <w:abstractNumId w:val="6"/>
  </w:num>
  <w:num w:numId="23">
    <w:abstractNumId w:val="29"/>
  </w:num>
  <w:num w:numId="24">
    <w:abstractNumId w:val="31"/>
  </w:num>
  <w:num w:numId="25">
    <w:abstractNumId w:val="23"/>
  </w:num>
  <w:num w:numId="26">
    <w:abstractNumId w:val="13"/>
  </w:num>
  <w:num w:numId="27">
    <w:abstractNumId w:val="20"/>
  </w:num>
  <w:num w:numId="28">
    <w:abstractNumId w:val="18"/>
  </w:num>
  <w:num w:numId="29">
    <w:abstractNumId w:val="32"/>
  </w:num>
  <w:num w:numId="30">
    <w:abstractNumId w:val="19"/>
  </w:num>
  <w:num w:numId="31">
    <w:abstractNumId w:val="0"/>
  </w:num>
  <w:num w:numId="32">
    <w:abstractNumId w:val="43"/>
  </w:num>
  <w:num w:numId="33">
    <w:abstractNumId w:val="17"/>
  </w:num>
  <w:num w:numId="34">
    <w:abstractNumId w:val="24"/>
  </w:num>
  <w:num w:numId="35">
    <w:abstractNumId w:val="25"/>
  </w:num>
  <w:num w:numId="36">
    <w:abstractNumId w:val="40"/>
  </w:num>
  <w:num w:numId="37">
    <w:abstractNumId w:val="2"/>
  </w:num>
  <w:num w:numId="38">
    <w:abstractNumId w:val="12"/>
  </w:num>
  <w:num w:numId="39">
    <w:abstractNumId w:val="3"/>
  </w:num>
  <w:num w:numId="40">
    <w:abstractNumId w:val="44"/>
  </w:num>
  <w:num w:numId="41">
    <w:abstractNumId w:val="11"/>
  </w:num>
  <w:num w:numId="42">
    <w:abstractNumId w:val="42"/>
  </w:num>
  <w:num w:numId="43">
    <w:abstractNumId w:val="9"/>
  </w:num>
  <w:num w:numId="44">
    <w:abstractNumId w:val="1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946"/>
    <w:rsid w:val="00001515"/>
    <w:rsid w:val="00002D6C"/>
    <w:rsid w:val="0000311D"/>
    <w:rsid w:val="00003160"/>
    <w:rsid w:val="00003F88"/>
    <w:rsid w:val="00004C74"/>
    <w:rsid w:val="00005521"/>
    <w:rsid w:val="000117CC"/>
    <w:rsid w:val="00011C00"/>
    <w:rsid w:val="000124A2"/>
    <w:rsid w:val="00012CF4"/>
    <w:rsid w:val="00014499"/>
    <w:rsid w:val="00014E04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28B8"/>
    <w:rsid w:val="00073181"/>
    <w:rsid w:val="000734F7"/>
    <w:rsid w:val="00084E0C"/>
    <w:rsid w:val="0008765A"/>
    <w:rsid w:val="00090478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A5748"/>
    <w:rsid w:val="000B082D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C6AAF"/>
    <w:rsid w:val="000D1882"/>
    <w:rsid w:val="000D1CEA"/>
    <w:rsid w:val="000D7785"/>
    <w:rsid w:val="000E0B80"/>
    <w:rsid w:val="000E1AB7"/>
    <w:rsid w:val="000E4A24"/>
    <w:rsid w:val="000E6E05"/>
    <w:rsid w:val="000E70AC"/>
    <w:rsid w:val="000F5702"/>
    <w:rsid w:val="000F5C2F"/>
    <w:rsid w:val="000F6C9C"/>
    <w:rsid w:val="000F7FB4"/>
    <w:rsid w:val="0010030B"/>
    <w:rsid w:val="00100DB4"/>
    <w:rsid w:val="001056E1"/>
    <w:rsid w:val="00110AE5"/>
    <w:rsid w:val="0011496E"/>
    <w:rsid w:val="00115AC6"/>
    <w:rsid w:val="00120BA4"/>
    <w:rsid w:val="00121C23"/>
    <w:rsid w:val="00122700"/>
    <w:rsid w:val="00124BD6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67FE7"/>
    <w:rsid w:val="00170501"/>
    <w:rsid w:val="001705EA"/>
    <w:rsid w:val="001709BA"/>
    <w:rsid w:val="001720E9"/>
    <w:rsid w:val="001723AD"/>
    <w:rsid w:val="00175FB8"/>
    <w:rsid w:val="00180AB6"/>
    <w:rsid w:val="00180D8C"/>
    <w:rsid w:val="00182FFB"/>
    <w:rsid w:val="001842CF"/>
    <w:rsid w:val="00184661"/>
    <w:rsid w:val="00184AF3"/>
    <w:rsid w:val="001870A5"/>
    <w:rsid w:val="0018715C"/>
    <w:rsid w:val="00190DAF"/>
    <w:rsid w:val="001926E4"/>
    <w:rsid w:val="0019515D"/>
    <w:rsid w:val="001A5069"/>
    <w:rsid w:val="001A55D7"/>
    <w:rsid w:val="001A5C81"/>
    <w:rsid w:val="001B0433"/>
    <w:rsid w:val="001B2089"/>
    <w:rsid w:val="001B331A"/>
    <w:rsid w:val="001B3714"/>
    <w:rsid w:val="001B4220"/>
    <w:rsid w:val="001B6514"/>
    <w:rsid w:val="001C1DFE"/>
    <w:rsid w:val="001C320F"/>
    <w:rsid w:val="001C390A"/>
    <w:rsid w:val="001C4623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88A"/>
    <w:rsid w:val="001E2C2A"/>
    <w:rsid w:val="001E5157"/>
    <w:rsid w:val="001E7435"/>
    <w:rsid w:val="001E7DD6"/>
    <w:rsid w:val="001F0DF9"/>
    <w:rsid w:val="001F3097"/>
    <w:rsid w:val="001F49CB"/>
    <w:rsid w:val="0020080C"/>
    <w:rsid w:val="00203366"/>
    <w:rsid w:val="00203609"/>
    <w:rsid w:val="00205598"/>
    <w:rsid w:val="0020591D"/>
    <w:rsid w:val="00205DA7"/>
    <w:rsid w:val="002071D9"/>
    <w:rsid w:val="00207817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1DDC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2398"/>
    <w:rsid w:val="002734F2"/>
    <w:rsid w:val="00273D60"/>
    <w:rsid w:val="00276769"/>
    <w:rsid w:val="002774D1"/>
    <w:rsid w:val="002836B1"/>
    <w:rsid w:val="00284FC4"/>
    <w:rsid w:val="002901EE"/>
    <w:rsid w:val="00290521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3AD6"/>
    <w:rsid w:val="002D5868"/>
    <w:rsid w:val="002D6454"/>
    <w:rsid w:val="002E0AE8"/>
    <w:rsid w:val="002E1E9E"/>
    <w:rsid w:val="002E7548"/>
    <w:rsid w:val="002F0458"/>
    <w:rsid w:val="002F6C41"/>
    <w:rsid w:val="0030409F"/>
    <w:rsid w:val="003045C2"/>
    <w:rsid w:val="003050C0"/>
    <w:rsid w:val="00306F05"/>
    <w:rsid w:val="0030741D"/>
    <w:rsid w:val="003125B2"/>
    <w:rsid w:val="00312978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B06"/>
    <w:rsid w:val="00324CBD"/>
    <w:rsid w:val="00326482"/>
    <w:rsid w:val="00326E54"/>
    <w:rsid w:val="00327799"/>
    <w:rsid w:val="003301C3"/>
    <w:rsid w:val="00331319"/>
    <w:rsid w:val="00333251"/>
    <w:rsid w:val="00333362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3837"/>
    <w:rsid w:val="003653B5"/>
    <w:rsid w:val="00366930"/>
    <w:rsid w:val="00372681"/>
    <w:rsid w:val="00376BFB"/>
    <w:rsid w:val="00381316"/>
    <w:rsid w:val="00385410"/>
    <w:rsid w:val="003917EC"/>
    <w:rsid w:val="0039293C"/>
    <w:rsid w:val="003A0D9C"/>
    <w:rsid w:val="003A1ACB"/>
    <w:rsid w:val="003A28B1"/>
    <w:rsid w:val="003A4603"/>
    <w:rsid w:val="003A470A"/>
    <w:rsid w:val="003A6192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E0343"/>
    <w:rsid w:val="003E1C62"/>
    <w:rsid w:val="003E2E8B"/>
    <w:rsid w:val="003E3641"/>
    <w:rsid w:val="003E3951"/>
    <w:rsid w:val="003E6DDE"/>
    <w:rsid w:val="003F0F76"/>
    <w:rsid w:val="003F1D27"/>
    <w:rsid w:val="003F37E9"/>
    <w:rsid w:val="00400F4F"/>
    <w:rsid w:val="00402A07"/>
    <w:rsid w:val="00403209"/>
    <w:rsid w:val="0040431A"/>
    <w:rsid w:val="00405786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E47"/>
    <w:rsid w:val="00456E91"/>
    <w:rsid w:val="00461AFE"/>
    <w:rsid w:val="004620A6"/>
    <w:rsid w:val="00464ACE"/>
    <w:rsid w:val="00464D36"/>
    <w:rsid w:val="004652A9"/>
    <w:rsid w:val="00471206"/>
    <w:rsid w:val="00471365"/>
    <w:rsid w:val="00474010"/>
    <w:rsid w:val="004760F2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1ED1"/>
    <w:rsid w:val="004A2076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5204"/>
    <w:rsid w:val="004F79A7"/>
    <w:rsid w:val="00503649"/>
    <w:rsid w:val="005058CC"/>
    <w:rsid w:val="00506E27"/>
    <w:rsid w:val="00507B63"/>
    <w:rsid w:val="00511307"/>
    <w:rsid w:val="00511F84"/>
    <w:rsid w:val="00513645"/>
    <w:rsid w:val="00513990"/>
    <w:rsid w:val="0051580A"/>
    <w:rsid w:val="005216B6"/>
    <w:rsid w:val="00521CED"/>
    <w:rsid w:val="00522575"/>
    <w:rsid w:val="00522F84"/>
    <w:rsid w:val="00523D8D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4A60"/>
    <w:rsid w:val="00546686"/>
    <w:rsid w:val="00550752"/>
    <w:rsid w:val="00550A3C"/>
    <w:rsid w:val="00550A76"/>
    <w:rsid w:val="005515E0"/>
    <w:rsid w:val="00552C2A"/>
    <w:rsid w:val="00554592"/>
    <w:rsid w:val="005547E2"/>
    <w:rsid w:val="00554B96"/>
    <w:rsid w:val="005555D8"/>
    <w:rsid w:val="00555680"/>
    <w:rsid w:val="00556AC1"/>
    <w:rsid w:val="0056274B"/>
    <w:rsid w:val="00565668"/>
    <w:rsid w:val="00566A81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3825"/>
    <w:rsid w:val="005C6C9C"/>
    <w:rsid w:val="005C7AFE"/>
    <w:rsid w:val="005D105A"/>
    <w:rsid w:val="005D3A4C"/>
    <w:rsid w:val="005D77A2"/>
    <w:rsid w:val="005E267B"/>
    <w:rsid w:val="005E604C"/>
    <w:rsid w:val="005E6FE5"/>
    <w:rsid w:val="005F08B2"/>
    <w:rsid w:val="005F26FF"/>
    <w:rsid w:val="005F3319"/>
    <w:rsid w:val="005F4B86"/>
    <w:rsid w:val="005F57EC"/>
    <w:rsid w:val="0060016B"/>
    <w:rsid w:val="0060029C"/>
    <w:rsid w:val="0060060A"/>
    <w:rsid w:val="006010B6"/>
    <w:rsid w:val="00604314"/>
    <w:rsid w:val="00605FBD"/>
    <w:rsid w:val="00610E04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46F6B"/>
    <w:rsid w:val="00651253"/>
    <w:rsid w:val="00651669"/>
    <w:rsid w:val="00652F9D"/>
    <w:rsid w:val="00656520"/>
    <w:rsid w:val="006569C1"/>
    <w:rsid w:val="00656C44"/>
    <w:rsid w:val="00657EB3"/>
    <w:rsid w:val="00660F10"/>
    <w:rsid w:val="006617F2"/>
    <w:rsid w:val="00671BD2"/>
    <w:rsid w:val="00672250"/>
    <w:rsid w:val="00674275"/>
    <w:rsid w:val="006753AF"/>
    <w:rsid w:val="006779A5"/>
    <w:rsid w:val="006807C7"/>
    <w:rsid w:val="00683161"/>
    <w:rsid w:val="00684C3E"/>
    <w:rsid w:val="00686C1A"/>
    <w:rsid w:val="006915E8"/>
    <w:rsid w:val="00692466"/>
    <w:rsid w:val="006937CA"/>
    <w:rsid w:val="00695E3B"/>
    <w:rsid w:val="006A06CA"/>
    <w:rsid w:val="006A3228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C5D9D"/>
    <w:rsid w:val="006C6888"/>
    <w:rsid w:val="006C7022"/>
    <w:rsid w:val="006D27D8"/>
    <w:rsid w:val="006D6F67"/>
    <w:rsid w:val="006E048F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4CA1"/>
    <w:rsid w:val="007259D1"/>
    <w:rsid w:val="007329A6"/>
    <w:rsid w:val="00732C9E"/>
    <w:rsid w:val="00735C0E"/>
    <w:rsid w:val="00736743"/>
    <w:rsid w:val="00737A65"/>
    <w:rsid w:val="00740C6B"/>
    <w:rsid w:val="007437F7"/>
    <w:rsid w:val="00754364"/>
    <w:rsid w:val="0075460E"/>
    <w:rsid w:val="007600DC"/>
    <w:rsid w:val="0076024E"/>
    <w:rsid w:val="00760897"/>
    <w:rsid w:val="00761610"/>
    <w:rsid w:val="0076235B"/>
    <w:rsid w:val="007649ED"/>
    <w:rsid w:val="00765E81"/>
    <w:rsid w:val="0076654E"/>
    <w:rsid w:val="00766641"/>
    <w:rsid w:val="0077227C"/>
    <w:rsid w:val="0077375D"/>
    <w:rsid w:val="0078059A"/>
    <w:rsid w:val="00783B4F"/>
    <w:rsid w:val="007849FD"/>
    <w:rsid w:val="00786946"/>
    <w:rsid w:val="007869BD"/>
    <w:rsid w:val="00793198"/>
    <w:rsid w:val="007A0ADA"/>
    <w:rsid w:val="007A1FEF"/>
    <w:rsid w:val="007A4108"/>
    <w:rsid w:val="007A65C6"/>
    <w:rsid w:val="007A6710"/>
    <w:rsid w:val="007B0548"/>
    <w:rsid w:val="007B2DDB"/>
    <w:rsid w:val="007B473F"/>
    <w:rsid w:val="007B4BA9"/>
    <w:rsid w:val="007B6013"/>
    <w:rsid w:val="007B6DF0"/>
    <w:rsid w:val="007B71B1"/>
    <w:rsid w:val="007C5BC9"/>
    <w:rsid w:val="007C6223"/>
    <w:rsid w:val="007D21C8"/>
    <w:rsid w:val="007D21D5"/>
    <w:rsid w:val="007D39F1"/>
    <w:rsid w:val="007D433B"/>
    <w:rsid w:val="007D5417"/>
    <w:rsid w:val="007D798C"/>
    <w:rsid w:val="007E2317"/>
    <w:rsid w:val="007E6A67"/>
    <w:rsid w:val="007E6CA7"/>
    <w:rsid w:val="007F2DB6"/>
    <w:rsid w:val="007F2FEA"/>
    <w:rsid w:val="007F52F6"/>
    <w:rsid w:val="007F6396"/>
    <w:rsid w:val="007F704A"/>
    <w:rsid w:val="007F7D11"/>
    <w:rsid w:val="00800B5E"/>
    <w:rsid w:val="00801973"/>
    <w:rsid w:val="00801C3A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D8"/>
    <w:rsid w:val="00826E49"/>
    <w:rsid w:val="00840EEE"/>
    <w:rsid w:val="00845C4E"/>
    <w:rsid w:val="0084746C"/>
    <w:rsid w:val="008505A5"/>
    <w:rsid w:val="008511CD"/>
    <w:rsid w:val="00851842"/>
    <w:rsid w:val="00852FE5"/>
    <w:rsid w:val="00854869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0FF0"/>
    <w:rsid w:val="00891577"/>
    <w:rsid w:val="00895DF0"/>
    <w:rsid w:val="008962AF"/>
    <w:rsid w:val="008A07CD"/>
    <w:rsid w:val="008A091D"/>
    <w:rsid w:val="008A1C0E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2BB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120"/>
    <w:rsid w:val="009105AE"/>
    <w:rsid w:val="00910F9E"/>
    <w:rsid w:val="009139EC"/>
    <w:rsid w:val="009142D8"/>
    <w:rsid w:val="0091457C"/>
    <w:rsid w:val="00915208"/>
    <w:rsid w:val="00917208"/>
    <w:rsid w:val="00920821"/>
    <w:rsid w:val="00922B67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0549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EE3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33C9"/>
    <w:rsid w:val="009D58CC"/>
    <w:rsid w:val="009D68B1"/>
    <w:rsid w:val="009E32B8"/>
    <w:rsid w:val="009E3B89"/>
    <w:rsid w:val="009E4113"/>
    <w:rsid w:val="009E5A8D"/>
    <w:rsid w:val="009E75A2"/>
    <w:rsid w:val="009E7D4E"/>
    <w:rsid w:val="009F0666"/>
    <w:rsid w:val="009F0B62"/>
    <w:rsid w:val="009F0C1A"/>
    <w:rsid w:val="009F105B"/>
    <w:rsid w:val="009F2A54"/>
    <w:rsid w:val="009F4192"/>
    <w:rsid w:val="00A0540B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1AB0"/>
    <w:rsid w:val="00A53252"/>
    <w:rsid w:val="00A57783"/>
    <w:rsid w:val="00A60F53"/>
    <w:rsid w:val="00A614DA"/>
    <w:rsid w:val="00A61CEE"/>
    <w:rsid w:val="00A6418B"/>
    <w:rsid w:val="00A707E8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B0DD9"/>
    <w:rsid w:val="00AB3B16"/>
    <w:rsid w:val="00AB54CA"/>
    <w:rsid w:val="00AB66E9"/>
    <w:rsid w:val="00AC1B28"/>
    <w:rsid w:val="00AC3183"/>
    <w:rsid w:val="00AD14C6"/>
    <w:rsid w:val="00AD1C46"/>
    <w:rsid w:val="00AD2212"/>
    <w:rsid w:val="00AD3B7F"/>
    <w:rsid w:val="00AD6AD6"/>
    <w:rsid w:val="00AE05B2"/>
    <w:rsid w:val="00AE0EA6"/>
    <w:rsid w:val="00AE28EC"/>
    <w:rsid w:val="00AE4596"/>
    <w:rsid w:val="00AE635D"/>
    <w:rsid w:val="00AE7AE7"/>
    <w:rsid w:val="00AF2461"/>
    <w:rsid w:val="00AF5E6D"/>
    <w:rsid w:val="00AF6A01"/>
    <w:rsid w:val="00AF6E15"/>
    <w:rsid w:val="00B01E4E"/>
    <w:rsid w:val="00B031CD"/>
    <w:rsid w:val="00B03240"/>
    <w:rsid w:val="00B077B5"/>
    <w:rsid w:val="00B117F1"/>
    <w:rsid w:val="00B120E5"/>
    <w:rsid w:val="00B17B7E"/>
    <w:rsid w:val="00B20C9B"/>
    <w:rsid w:val="00B21289"/>
    <w:rsid w:val="00B2557D"/>
    <w:rsid w:val="00B30A2E"/>
    <w:rsid w:val="00B34693"/>
    <w:rsid w:val="00B347BD"/>
    <w:rsid w:val="00B35CF5"/>
    <w:rsid w:val="00B4641B"/>
    <w:rsid w:val="00B469FB"/>
    <w:rsid w:val="00B5245E"/>
    <w:rsid w:val="00B53439"/>
    <w:rsid w:val="00B56DD7"/>
    <w:rsid w:val="00B57046"/>
    <w:rsid w:val="00B5719F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1325"/>
    <w:rsid w:val="00B816C0"/>
    <w:rsid w:val="00B831FA"/>
    <w:rsid w:val="00B834B8"/>
    <w:rsid w:val="00B84371"/>
    <w:rsid w:val="00B8455D"/>
    <w:rsid w:val="00B863F2"/>
    <w:rsid w:val="00B90721"/>
    <w:rsid w:val="00B91EB3"/>
    <w:rsid w:val="00BA0250"/>
    <w:rsid w:val="00BA05E0"/>
    <w:rsid w:val="00BA14C2"/>
    <w:rsid w:val="00BA158A"/>
    <w:rsid w:val="00BA1694"/>
    <w:rsid w:val="00BA3042"/>
    <w:rsid w:val="00BA39AE"/>
    <w:rsid w:val="00BA49DA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71C6"/>
    <w:rsid w:val="00BE1B53"/>
    <w:rsid w:val="00BE64EF"/>
    <w:rsid w:val="00BF2DFA"/>
    <w:rsid w:val="00BF71F6"/>
    <w:rsid w:val="00C01347"/>
    <w:rsid w:val="00C013C4"/>
    <w:rsid w:val="00C015F7"/>
    <w:rsid w:val="00C039B9"/>
    <w:rsid w:val="00C0439A"/>
    <w:rsid w:val="00C04D62"/>
    <w:rsid w:val="00C067CC"/>
    <w:rsid w:val="00C122A6"/>
    <w:rsid w:val="00C1333F"/>
    <w:rsid w:val="00C15453"/>
    <w:rsid w:val="00C21DB8"/>
    <w:rsid w:val="00C2324D"/>
    <w:rsid w:val="00C2415A"/>
    <w:rsid w:val="00C256C2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54F4"/>
    <w:rsid w:val="00C6616A"/>
    <w:rsid w:val="00C66EF2"/>
    <w:rsid w:val="00C67A40"/>
    <w:rsid w:val="00C71CEF"/>
    <w:rsid w:val="00C723D8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A51E0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D7F42"/>
    <w:rsid w:val="00CE0413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E1F"/>
    <w:rsid w:val="00D50B77"/>
    <w:rsid w:val="00D513DB"/>
    <w:rsid w:val="00D5238E"/>
    <w:rsid w:val="00D54E80"/>
    <w:rsid w:val="00D57F88"/>
    <w:rsid w:val="00D60465"/>
    <w:rsid w:val="00D6313A"/>
    <w:rsid w:val="00D6547B"/>
    <w:rsid w:val="00D65F31"/>
    <w:rsid w:val="00D660E7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85448"/>
    <w:rsid w:val="00D91019"/>
    <w:rsid w:val="00D9184F"/>
    <w:rsid w:val="00D92820"/>
    <w:rsid w:val="00D93F4B"/>
    <w:rsid w:val="00D94DA0"/>
    <w:rsid w:val="00D9563C"/>
    <w:rsid w:val="00D96B28"/>
    <w:rsid w:val="00DA104E"/>
    <w:rsid w:val="00DA3B4E"/>
    <w:rsid w:val="00DA4D1C"/>
    <w:rsid w:val="00DB2548"/>
    <w:rsid w:val="00DB6FD2"/>
    <w:rsid w:val="00DB749E"/>
    <w:rsid w:val="00DC0DE4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5E7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9C8"/>
    <w:rsid w:val="00E97EC3"/>
    <w:rsid w:val="00EA190B"/>
    <w:rsid w:val="00EA352E"/>
    <w:rsid w:val="00EA51A5"/>
    <w:rsid w:val="00EA52C1"/>
    <w:rsid w:val="00EA7ED8"/>
    <w:rsid w:val="00EB057D"/>
    <w:rsid w:val="00EB09C7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11C7"/>
    <w:rsid w:val="00F229A2"/>
    <w:rsid w:val="00F22BC0"/>
    <w:rsid w:val="00F257E8"/>
    <w:rsid w:val="00F25BED"/>
    <w:rsid w:val="00F27A1A"/>
    <w:rsid w:val="00F312D4"/>
    <w:rsid w:val="00F33BDC"/>
    <w:rsid w:val="00F33E67"/>
    <w:rsid w:val="00F34A7F"/>
    <w:rsid w:val="00F35032"/>
    <w:rsid w:val="00F36039"/>
    <w:rsid w:val="00F37249"/>
    <w:rsid w:val="00F40BBB"/>
    <w:rsid w:val="00F40F12"/>
    <w:rsid w:val="00F50023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526"/>
    <w:rsid w:val="00F7761D"/>
    <w:rsid w:val="00F813E7"/>
    <w:rsid w:val="00F81BE6"/>
    <w:rsid w:val="00F8726E"/>
    <w:rsid w:val="00F90935"/>
    <w:rsid w:val="00F92A6F"/>
    <w:rsid w:val="00F93CFC"/>
    <w:rsid w:val="00F95813"/>
    <w:rsid w:val="00FA5FD0"/>
    <w:rsid w:val="00FB127E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244E"/>
    <w:rsid w:val="00FE289D"/>
    <w:rsid w:val="00FE3843"/>
    <w:rsid w:val="00FE3DE1"/>
    <w:rsid w:val="00FE3FFB"/>
    <w:rsid w:val="00FE6D96"/>
    <w:rsid w:val="00FE7F0E"/>
    <w:rsid w:val="00FF4FD5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5709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Hýbl</dc:creator>
  <cp:lastModifiedBy> </cp:lastModifiedBy>
  <cp:revision>2</cp:revision>
  <cp:lastPrinted>2013-05-31T09:48:00Z</cp:lastPrinted>
  <dcterms:created xsi:type="dcterms:W3CDTF">2016-06-14T08:16:00Z</dcterms:created>
  <dcterms:modified xsi:type="dcterms:W3CDTF">2016-06-14T08:16:00Z</dcterms:modified>
</cp:coreProperties>
</file>