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sz w:val="36"/>
          <w:szCs w:val="36"/>
        </w:rPr>
      </w:pPr>
      <w:r>
        <w:rPr>
          <w:sz w:val="36"/>
          <w:szCs w:val="36"/>
        </w:rPr>
        <w:t>Výročná správa za účtovné obdobie</w:t>
      </w:r>
    </w:p>
    <w:p>
      <w:pPr>
        <w:pStyle w:val="Normal"/>
        <w:jc w:val="center"/>
        <w:rPr>
          <w:sz w:val="36"/>
          <w:szCs w:val="36"/>
          <w:u w:val="dottedHeavy"/>
        </w:rPr>
      </w:pPr>
      <w:r>
        <w:rPr>
          <w:sz w:val="36"/>
          <w:szCs w:val="36"/>
        </w:rPr>
        <w:t>k</w:t>
      </w:r>
      <w:r>
        <w:rPr>
          <w:sz w:val="36"/>
          <w:szCs w:val="36"/>
          <w:u w:val="dottedHeavy"/>
        </w:rPr>
        <w:tab/>
        <w:t>31.12.2014</w:t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Obchodné meno (názov)</w:t>
      </w:r>
    </w:p>
    <w:p>
      <w:pPr>
        <w:pStyle w:val="Normal"/>
        <w:rPr>
          <w:sz w:val="28"/>
          <w:szCs w:val="28"/>
          <w:u w:val="dotted"/>
        </w:rPr>
      </w:pPr>
      <w:r>
        <w:rPr>
          <w:sz w:val="28"/>
          <w:szCs w:val="28"/>
        </w:rPr>
        <w:t xml:space="preserve">účtovnej jednotky: </w:t>
      </w:r>
      <w:r>
        <w:rPr>
          <w:sz w:val="28"/>
          <w:szCs w:val="28"/>
          <w:u w:val="dotted"/>
        </w:rPr>
        <w:tab/>
        <w:t>I. P. A. - Kovovýroba spol. s r.o.</w:t>
        <w:tab/>
        <w:tab/>
        <w:tab/>
        <w:tab/>
        <w:tab/>
        <w:tab/>
        <w:tab/>
        <w:tab/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8"/>
          <w:szCs w:val="28"/>
          <w:u w:val="dotted"/>
        </w:rPr>
      </w:pPr>
      <w:r>
        <w:rPr>
          <w:sz w:val="28"/>
          <w:szCs w:val="28"/>
        </w:rPr>
        <w:t xml:space="preserve">Sídlo: </w:t>
      </w:r>
      <w:r>
        <w:rPr>
          <w:sz w:val="28"/>
          <w:szCs w:val="28"/>
          <w:u w:val="dotted"/>
        </w:rPr>
        <w:tab/>
        <w:t>Železničiarska 7,   97901 Rimavská Sobota</w:t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ind w:right="0" w:hanging="0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 xml:space="preserve">Vyhotovená dňa: </w:t>
      </w:r>
      <w:r>
        <w:rPr>
          <w:u w:val="dotted"/>
        </w:rPr>
        <w:tab/>
        <w:t>04.03.2015</w:t>
        <w:tab/>
        <w:tab/>
      </w:r>
      <w:r>
        <w:rPr/>
        <w:tab/>
        <w:t xml:space="preserve">Podpis člena štatutárneho orgánu 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 xml:space="preserve">Prerokovaná dňa: </w:t>
      </w:r>
      <w:r>
        <w:rPr>
          <w:u w:val="dotted"/>
        </w:rPr>
        <w:tab/>
        <w:t>28.05.2015</w:t>
        <w:tab/>
        <w:tab/>
      </w:r>
      <w:r>
        <w:rPr/>
        <w:tab/>
        <w:t>účtovnej jednotky:</w:t>
      </w:r>
    </w:p>
    <w:p>
      <w:pPr>
        <w:pStyle w:val="Normal"/>
        <w:spacing w:lineRule="auto" w:line="360"/>
        <w:jc w:val="both"/>
        <w:rPr>
          <w:u w:val="dotted"/>
        </w:rPr>
      </w:pPr>
      <w:r>
        <w:rPr/>
        <w:tab/>
        <w:tab/>
        <w:tab/>
        <w:tab/>
        <w:tab/>
        <w:tab/>
        <w:tab/>
      </w:r>
      <w:r>
        <w:rPr>
          <w:u w:val="dotted"/>
        </w:rPr>
        <w:tab/>
        <w:tab/>
        <w:tab/>
        <w:tab/>
        <w:tab/>
      </w:r>
    </w:p>
    <w:p>
      <w:pPr>
        <w:pStyle w:val="Normal"/>
        <w:spacing w:lineRule="auto" w:line="360"/>
        <w:jc w:val="both"/>
        <w:rPr/>
      </w:pPr>
      <w:r>
        <w:rPr/>
        <w:tab/>
        <w:tab/>
        <w:tab/>
        <w:tab/>
        <w:tab/>
        <w:tab/>
        <w:tab/>
        <w:t>Podpis osoby zodpovednej za vyhotovenie</w:t>
      </w:r>
    </w:p>
    <w:p>
      <w:pPr>
        <w:pStyle w:val="Normal"/>
        <w:spacing w:lineRule="auto" w:line="360"/>
        <w:jc w:val="both"/>
        <w:rPr/>
      </w:pPr>
      <w:r>
        <w:rPr/>
        <w:t xml:space="preserve">Overená audítorom dňa: </w:t>
      </w:r>
      <w:r>
        <w:rPr>
          <w:u w:val="dotted"/>
        </w:rPr>
        <w:tab/>
        <w:tab/>
        <w:tab/>
      </w:r>
      <w:r>
        <w:rPr/>
        <w:tab/>
        <w:t>výročnej správy:</w:t>
      </w:r>
    </w:p>
    <w:p>
      <w:pPr>
        <w:pStyle w:val="Normal"/>
        <w:jc w:val="center"/>
        <w:rPr>
          <w:u w:val="dotted"/>
        </w:rPr>
      </w:pPr>
      <w:r>
        <w:rPr/>
        <w:t xml:space="preserve">Podpis: </w:t>
      </w:r>
      <w:r>
        <w:rPr>
          <w:u w:val="dotted"/>
        </w:rPr>
        <w:tab/>
        <w:tab/>
        <w:tab/>
        <w:tab/>
        <w:tab/>
      </w:r>
      <w:r>
        <w:rPr/>
        <w:tab/>
      </w:r>
      <w:r>
        <w:rPr>
          <w:u w:val="dotted"/>
        </w:rPr>
        <w:tab/>
        <w:tab/>
        <w:tab/>
        <w:tab/>
        <w:tab/>
      </w:r>
    </w:p>
    <w:p>
      <w:pPr>
        <w:pStyle w:val="Normal"/>
        <w:widowControl/>
        <w:suppressAutoHyphens w:val="false"/>
        <w:spacing w:lineRule="auto" w:line="259" w:before="0" w:after="160"/>
        <w:textAlignment w:val="auto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</w:r>
      <w:r>
        <w:br w:type="page"/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1. Účtovná závierka</w:t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Účtovná závierka spoločnosti k 31.12.2014 je zostavená ako riadna účtovná závierka podľa § 18  zákon a o účtovníctve č. 431/2002 Z.z. 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Bola zostavená za predpokladu nepretržitého trvania spoločnosti.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Súčasťou výročnej správy je Súvaha, Výkaz ziskov a strát, Poznámky k 31.12.2014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Uvedená účtovná závierka bola vypracovaná 04.03.2015 a bola schválená 28.05.2015.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u w:val="single"/>
        </w:rPr>
      </w:pPr>
      <w:r>
        <w:rPr>
          <w:rFonts w:ascii="Antique Olive" w:hAnsi="Antique Olive"/>
          <w:b/>
          <w:u w:val="single"/>
        </w:rPr>
        <w:t>2. História spoločnosti</w:t>
      </w:r>
      <w:bookmarkStart w:id="0" w:name="_GoBack"/>
      <w:bookmarkEnd w:id="0"/>
      <w:r>
        <w:rPr>
          <w:rFonts w:ascii="Antique Olive" w:hAnsi="Antique Olive"/>
          <w:u w:val="single"/>
        </w:rPr>
        <w:t xml:space="preserve"> </w:t>
      </w:r>
    </w:p>
    <w:p>
      <w:pPr>
        <w:pStyle w:val="Normal"/>
        <w:rPr>
          <w:rFonts w:ascii="Antique Olive" w:hAnsi="Antique Olive"/>
          <w:u w:val="single"/>
        </w:rPr>
      </w:pPr>
      <w:r>
        <w:rPr>
          <w:rFonts w:ascii="Antique Olive" w:hAnsi="Antique Olive"/>
          <w:u w:val="singl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Spoločnosť bola založená v roku 2001.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Predmet činnosti je výroba krbových kachlí a vložiek.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Súčasná činnosť firmy I.P.A. – Kovovýroba spol. s r.o. nadväzuje na predchodcu firmy I.P.A.-Pelle, ktorá bola založená v roku 1990. Vtedy majitelia spoločnosti začali svoje podnikanie popri zamestnaní s výrobným programom, ktorý sa zameral na spracovanie súčiastok z umelej hmoty k výrobe kuchynských stolov.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V roku 1991 firma začala so sériovou výrobou. Najprv sa navrhovali a vyrábali prídavné zariadenia pre malú záhradnú techniku. Distribúcia sa zabezpečovala pomocou obchodnej organizácie, ktorá bola na trhu známa a etablovaná.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Tradícia súčasného výrobného programu sa začala v roku 1992, keď sa zahájila výroba úzkorozchodných koľajových vozov – hlavne pre bane – a výroba kotlov Rimatherm. V tomto období sa zároveň začala aj kooperačná výroba regulátorov ťahu typu TH-1 a TH-3 v spolupráci s jednou zahraničnou firmou. Od roku 1995 sa vykryštalizoval výrobný program: výroba krbových kachlí a vložiek.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3.Vývoj činnosť účtovnej jednotky a jej finančná situác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 w:cs="Antique Olive"/>
        </w:rPr>
      </w:pPr>
      <w:r>
        <w:rPr>
          <w:rFonts w:cs="Antique Olive" w:ascii="Antique Olive" w:hAnsi="Antique Olive"/>
        </w:rPr>
      </w:r>
    </w:p>
    <w:p>
      <w:pPr>
        <w:pStyle w:val="Normal"/>
        <w:rPr>
          <w:rFonts w:ascii="Antique Olive" w:hAnsi="Antique Olive" w:cs="Antique Olive"/>
        </w:rPr>
      </w:pPr>
      <w:r>
        <w:rPr>
          <w:rFonts w:cs="Antique Olive" w:ascii="Antique Olive" w:hAnsi="Antique Olive"/>
        </w:rPr>
      </w:r>
    </w:p>
    <w:p>
      <w:pPr>
        <w:pStyle w:val="Normal"/>
        <w:rPr>
          <w:rFonts w:ascii="Antique Olive" w:hAnsi="Antique Olive" w:cs="Antique Olive"/>
          <w:b/>
          <w:b/>
        </w:rPr>
      </w:pPr>
      <w:r>
        <w:rPr>
          <w:rFonts w:cs="Antique Olive" w:ascii="Antique Olive" w:hAnsi="Antique Olive"/>
          <w:b/>
        </w:rPr>
        <w:t>Hlavné ekonomické ukazovatele</w:t>
      </w:r>
    </w:p>
    <w:p>
      <w:pPr>
        <w:pStyle w:val="Normal"/>
        <w:rPr>
          <w:rFonts w:ascii="Antique Olive" w:hAnsi="Antique Olive" w:cs="Antique Olive"/>
          <w:b/>
          <w:b/>
        </w:rPr>
      </w:pPr>
      <w:r>
        <w:rPr>
          <w:rFonts w:cs="Antique Olive" w:ascii="Antique Olive" w:hAnsi="Antique Olive"/>
          <w:b/>
        </w:rPr>
      </w:r>
    </w:p>
    <w:tbl>
      <w:tblPr>
        <w:tblW w:w="9262" w:type="dxa"/>
        <w:jc w:val="left"/>
        <w:tblInd w:w="-4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2303"/>
        <w:gridCol w:w="2303"/>
        <w:gridCol w:w="2357"/>
        <w:gridCol w:w="2298"/>
      </w:tblGrid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88" w:type="dxa"/>
            </w:tcMar>
            <w:vAlign w:val="center"/>
          </w:tcPr>
          <w:p>
            <w:pPr>
              <w:pStyle w:val="Normal"/>
              <w:jc w:val="center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  <w:t>V  €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88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ntique Olive" w:ascii="Antique Olive" w:hAnsi="Antique Olive"/>
              </w:rPr>
              <w:t>2014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88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ntique Olive" w:ascii="Antique Olive" w:hAnsi="Antique Olive"/>
              </w:rPr>
              <w:t xml:space="preserve">   </w:t>
            </w:r>
            <w:r>
              <w:rPr>
                <w:rFonts w:cs="Antique Olive" w:ascii="Antique Olive" w:hAnsi="Antique Olive"/>
              </w:rPr>
              <w:t>2013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CCCCCC" w:val="clear"/>
            <w:tcMar>
              <w:left w:w="88" w:type="dxa"/>
            </w:tcMar>
            <w:vAlign w:val="center"/>
          </w:tcPr>
          <w:p>
            <w:pPr>
              <w:pStyle w:val="Normal"/>
              <w:jc w:val="center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  <w:t>index</w:t>
            </w:r>
          </w:p>
        </w:tc>
      </w:tr>
      <w:tr>
        <w:trPr>
          <w:trHeight w:val="269" w:hRule="atLeast"/>
        </w:trPr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b/>
                <w:b/>
                <w:sz w:val="20"/>
                <w:szCs w:val="20"/>
              </w:rPr>
            </w:pPr>
            <w:r>
              <w:rPr>
                <w:rFonts w:cs="Antique Olive" w:ascii="Antique Olive" w:hAnsi="Antique Olive"/>
                <w:b/>
                <w:sz w:val="20"/>
                <w:szCs w:val="20"/>
              </w:rPr>
              <w:t>Aktíva celkom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  <w:b/>
                <w:b/>
                <w:bCs/>
              </w:rPr>
            </w:pPr>
            <w:r>
              <w:rPr>
                <w:rFonts w:cs="Antique Olive" w:ascii="Arial CE" w:hAnsi="Arial CE"/>
                <w:b/>
                <w:bCs/>
                <w:sz w:val="20"/>
                <w:szCs w:val="20"/>
              </w:rPr>
              <w:t>1369972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b/>
                <w:b/>
                <w:bCs/>
                <w:sz w:val="20"/>
                <w:szCs w:val="20"/>
              </w:rPr>
            </w:pPr>
            <w:r>
              <w:rPr>
                <w:rFonts w:ascii="Arial CE" w:hAnsi="Arial CE"/>
                <w:b/>
                <w:bCs/>
                <w:sz w:val="20"/>
                <w:szCs w:val="20"/>
              </w:rPr>
              <w:t>1163471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  <w:b/>
                <w:b/>
                <w:bCs/>
              </w:rPr>
            </w:pPr>
            <w:r>
              <w:rPr>
                <w:rFonts w:cs="Antique Olive" w:ascii="Arial CE" w:hAnsi="Arial CE"/>
                <w:b/>
                <w:bCs/>
                <w:sz w:val="20"/>
                <w:szCs w:val="20"/>
              </w:rPr>
              <w:t>117,75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Neobežný majetok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923438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538681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171,43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Obežný majetok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445839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620257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71,88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Časové rozlíšenie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/>
            </w:pPr>
            <w:r>
              <w:rPr>
                <w:rFonts w:cs="Antique Olive" w:ascii="Antique Olive" w:hAnsi="Antique Olive"/>
                <w:sz w:val="20"/>
                <w:szCs w:val="20"/>
              </w:rPr>
              <w:t>695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4533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15,33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b/>
                <w:b/>
                <w:sz w:val="20"/>
                <w:szCs w:val="20"/>
              </w:rPr>
            </w:pPr>
            <w:r>
              <w:rPr>
                <w:rFonts w:cs="Antique Olive" w:ascii="Antique Olive" w:hAnsi="Antique Olive"/>
                <w:b/>
                <w:sz w:val="20"/>
                <w:szCs w:val="20"/>
              </w:rPr>
              <w:t>Pasíva celkom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/>
            </w:pPr>
            <w:r>
              <w:rPr>
                <w:rFonts w:cs="Antique Olive" w:ascii="Antique Olive" w:hAnsi="Antique Olive"/>
                <w:b/>
                <w:sz w:val="20"/>
                <w:szCs w:val="20"/>
              </w:rPr>
              <w:t>1369972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1163471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117,75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Základné imanie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      </w:t>
            </w:r>
            <w:r>
              <w:rPr>
                <w:rFonts w:cs="Antique Olive" w:ascii="Arial CE" w:hAnsi="Arial CE"/>
                <w:sz w:val="20"/>
                <w:szCs w:val="20"/>
              </w:rPr>
              <w:t>6640</w:t>
            </w:r>
            <w:r>
              <w:rPr>
                <w:rFonts w:cs="Antique Olive" w:ascii="Arial CE" w:hAnsi="Arial CE"/>
              </w:rPr>
              <w:t xml:space="preserve"> 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6640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100,00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Kapitálové fondy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  <w:t>0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/>
            </w:pPr>
            <w:r>
              <w:rPr/>
              <w:t xml:space="preserve"> </w:t>
            </w:r>
            <w:r>
              <w:rPr/>
              <w:t>0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0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Fondy zo zisku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</w:t>
            </w:r>
            <w:r>
              <w:rPr>
                <w:rFonts w:eastAsia="Antique Olive" w:cs="Antique Olive" w:ascii="Arial CE" w:hAnsi="Arial CE"/>
              </w:rPr>
              <w:t xml:space="preserve">   </w:t>
            </w:r>
            <w:r>
              <w:rPr>
                <w:rFonts w:cs="Antique Olive" w:ascii="Arial CE" w:hAnsi="Arial CE"/>
                <w:sz w:val="20"/>
                <w:szCs w:val="20"/>
              </w:rPr>
              <w:t>1125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 xml:space="preserve">1125 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100,00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Výsledok hospod.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115807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55254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209,59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Výsled. Min. rokov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</w:t>
            </w:r>
            <w:r>
              <w:rPr>
                <w:rFonts w:eastAsia="Antique Olive" w:cs="Antique Olive" w:ascii="Arial CE" w:hAnsi="Arial CE"/>
              </w:rPr>
              <w:t xml:space="preserve"> </w:t>
            </w:r>
            <w:r>
              <w:rPr>
                <w:rFonts w:cs="Antique Olive" w:ascii="Arial CE" w:hAnsi="Arial CE"/>
                <w:sz w:val="20"/>
                <w:szCs w:val="20"/>
              </w:rPr>
              <w:t>131801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131801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100,00</w:t>
            </w:r>
          </w:p>
        </w:tc>
      </w:tr>
      <w:tr>
        <w:trPr/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Cudzie zdroje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1114598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968651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115,07</w:t>
            </w:r>
          </w:p>
        </w:tc>
      </w:tr>
      <w:tr>
        <w:trPr>
          <w:trHeight w:val="223" w:hRule="atLeast"/>
        </w:trPr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 xml:space="preserve">Časové rozlís </w:t>
            </w:r>
          </w:p>
        </w:tc>
        <w:tc>
          <w:tcPr>
            <w:tcW w:w="2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30" w:hanging="0"/>
              <w:jc w:val="right"/>
              <w:rPr>
                <w:rFonts w:ascii="Arial CE" w:hAnsi="Arial CE"/>
              </w:rPr>
            </w:pPr>
            <w:r>
              <w:rPr>
                <w:rFonts w:eastAsia="Antique Olive" w:cs="Antique Olive" w:ascii="Arial CE" w:hAnsi="Arial CE"/>
              </w:rPr>
              <w:t xml:space="preserve"> 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>0</w:t>
            </w:r>
          </w:p>
        </w:tc>
        <w:tc>
          <w:tcPr>
            <w:tcW w:w="23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342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ascii="Arial CE" w:hAnsi="Arial CE"/>
                <w:sz w:val="20"/>
                <w:szCs w:val="20"/>
              </w:rPr>
              <w:t>0</w:t>
            </w:r>
          </w:p>
        </w:tc>
        <w:tc>
          <w:tcPr>
            <w:tcW w:w="22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536" w:hanging="0"/>
              <w:jc w:val="right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0</w:t>
            </w:r>
          </w:p>
        </w:tc>
      </w:tr>
    </w:tbl>
    <w:p>
      <w:pPr>
        <w:pStyle w:val="Normal"/>
        <w:rPr>
          <w:rFonts w:ascii="Antique Olive" w:hAnsi="Antique Olive" w:eastAsia="Antique Olive" w:cs="Antique Olive"/>
        </w:rPr>
      </w:pPr>
      <w:r>
        <w:rPr>
          <w:rFonts w:eastAsia="Antique Olive" w:cs="Antique Olive" w:ascii="Antique Olive" w:hAnsi="Antique Olive"/>
        </w:rPr>
        <w:t xml:space="preserve"> </w:t>
      </w:r>
    </w:p>
    <w:p>
      <w:pPr>
        <w:pStyle w:val="Normal"/>
        <w:rPr>
          <w:rFonts w:ascii="Antique Olive" w:hAnsi="Antique Olive" w:eastAsia="Antique Olive" w:cs="Antique Olive"/>
        </w:rPr>
      </w:pPr>
      <w:r>
        <w:rPr>
          <w:rFonts w:eastAsia="Antique Olive" w:cs="Antique Olive" w:ascii="Antique Olive" w:hAnsi="Antique Olive"/>
        </w:rPr>
      </w:r>
    </w:p>
    <w:p>
      <w:pPr>
        <w:pStyle w:val="Normal"/>
        <w:rPr>
          <w:rFonts w:ascii="Antique Olive" w:hAnsi="Antique Olive" w:cs="Antique Olive"/>
        </w:rPr>
      </w:pPr>
      <w:r>
        <w:rPr>
          <w:rFonts w:cs="Antique Olive" w:ascii="Antique Olive" w:hAnsi="Antique Olive"/>
        </w:rPr>
      </w:r>
    </w:p>
    <w:p>
      <w:pPr>
        <w:pStyle w:val="Normal"/>
        <w:rPr/>
      </w:pPr>
      <w:r>
        <w:rPr>
          <w:rFonts w:cs="Antique Olive" w:ascii="Antique Olive" w:hAnsi="Antique Olive"/>
          <w:b/>
        </w:rPr>
        <w:t>Ukazovatele finančne situácie</w:t>
      </w:r>
      <w:r>
        <w:rPr>
          <w:rFonts w:cs="Antique Olive" w:ascii="Antique Olive" w:hAnsi="Antique Olive"/>
        </w:rPr>
        <w:t xml:space="preserve"> </w:t>
      </w:r>
    </w:p>
    <w:p>
      <w:pPr>
        <w:pStyle w:val="Normal"/>
        <w:rPr>
          <w:rFonts w:ascii="Antique Olive" w:hAnsi="Antique Olive" w:cs="Antique Olive"/>
        </w:rPr>
      </w:pPr>
      <w:r>
        <w:rPr>
          <w:rFonts w:cs="Antique Olive" w:ascii="Antique Olive" w:hAnsi="Antique Olive"/>
        </w:rPr>
      </w:r>
    </w:p>
    <w:tbl>
      <w:tblPr>
        <w:tblW w:w="9262" w:type="dxa"/>
        <w:jc w:val="left"/>
        <w:tblInd w:w="-4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3070"/>
        <w:gridCol w:w="3071"/>
        <w:gridCol w:w="3121"/>
      </w:tblGrid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</w:rPr>
            </w:pPr>
            <w:r>
              <w:rPr>
                <w:rFonts w:cs="Antique Olive" w:ascii="Antique Olive" w:hAnsi="Antique Olive"/>
              </w:rPr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88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ntique Olive" w:ascii="Antique Olive" w:hAnsi="Antique Olive"/>
              </w:rPr>
              <w:t>2014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CCCCCC" w:val="clear"/>
            <w:tcMar>
              <w:left w:w="88" w:type="dxa"/>
            </w:tcMar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ntique Olive" w:ascii="Antique Olive" w:hAnsi="Antique Olive"/>
              </w:rPr>
              <w:t>2013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Celková zadlženosť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tabs>
                <w:tab w:val="left" w:pos="1610" w:leader="none"/>
              </w:tabs>
              <w:ind w:left="0" w:right="1065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</w:t>
            </w:r>
            <w:r>
              <w:rPr>
                <w:rFonts w:eastAsia="Antique Olive" w:cs="Antique Olive" w:ascii="Arial CE" w:hAnsi="Arial CE"/>
                <w:sz w:val="18"/>
                <w:szCs w:val="18"/>
              </w:rPr>
              <w:t xml:space="preserve">   </w:t>
            </w:r>
            <w:r>
              <w:rPr>
                <w:rFonts w:eastAsia="Antique Olive" w:cs="Antique Olive" w:ascii="Arial CE" w:hAnsi="Arial CE"/>
                <w:sz w:val="18"/>
                <w:szCs w:val="18"/>
              </w:rPr>
              <w:t>81,36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107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83,25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/>
            </w:pPr>
            <w:r>
              <w:rPr>
                <w:rFonts w:cs="Antique Olive" w:ascii="Antique Olive" w:hAnsi="Antique Olive"/>
                <w:sz w:val="20"/>
                <w:szCs w:val="20"/>
              </w:rPr>
              <w:t>Dlhodobá zadlženosť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tabs>
                <w:tab w:val="left" w:pos="1610" w:leader="none"/>
              </w:tabs>
              <w:ind w:left="0" w:right="1065" w:hanging="0"/>
              <w:jc w:val="right"/>
              <w:rPr>
                <w:rFonts w:ascii="Arial CE" w:hAnsi="Arial CE"/>
                <w:sz w:val="20"/>
                <w:szCs w:val="20"/>
              </w:rPr>
            </w:pP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>14,27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1076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>10,15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Okamžitá likvidita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tabs>
                <w:tab w:val="left" w:pos="1610" w:leader="none"/>
              </w:tabs>
              <w:ind w:left="0" w:right="1065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 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    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13,85 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1076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>27,99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Bežná likvidita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tabs>
                <w:tab w:val="left" w:pos="1610" w:leader="none"/>
              </w:tabs>
              <w:ind w:left="0" w:right="1065" w:hanging="0"/>
              <w:jc w:val="right"/>
              <w:rPr/>
            </w:pP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                 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35,99     </w:t>
            </w:r>
            <w:r>
              <w:rPr>
                <w:rFonts w:eastAsia="Antique Olive" w:cs="Antique Olive" w:ascii="Antique Olive" w:hAnsi="Antique Olive"/>
              </w:rPr>
              <w:t xml:space="preserve">  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1076" w:hanging="0"/>
              <w:jc w:val="right"/>
              <w:rPr>
                <w:rFonts w:ascii="Arial CE" w:hAnsi="Arial CE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45,41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88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Celková likvidita</w:t>
            </w:r>
          </w:p>
        </w:tc>
        <w:tc>
          <w:tcPr>
            <w:tcW w:w="3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tabs>
                <w:tab w:val="left" w:pos="1610" w:leader="none"/>
              </w:tabs>
              <w:ind w:left="0" w:right="1065" w:hanging="0"/>
              <w:jc w:val="right"/>
              <w:rPr/>
            </w:pPr>
            <w:r>
              <w:rPr>
                <w:rFonts w:eastAsia="Antique Olive" w:cs="Antique Olive" w:ascii="Antique Olive" w:hAnsi="Antique Olive"/>
              </w:rPr>
              <w:t xml:space="preserve">   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 xml:space="preserve">   </w:t>
            </w:r>
            <w:r>
              <w:rPr>
                <w:rFonts w:eastAsia="Antique Olive" w:cs="Antique Olive" w:ascii="Arial CE" w:hAnsi="Arial CE"/>
                <w:sz w:val="20"/>
                <w:szCs w:val="20"/>
              </w:rPr>
              <w:t>52,12</w:t>
            </w:r>
          </w:p>
        </w:tc>
        <w:tc>
          <w:tcPr>
            <w:tcW w:w="31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1076" w:hanging="0"/>
              <w:jc w:val="right"/>
              <w:rPr/>
            </w:pPr>
            <w:r>
              <w:rPr>
                <w:rFonts w:cs="Antique Olive" w:ascii="Antique Olive" w:hAnsi="Antique Olive"/>
                <w:sz w:val="20"/>
                <w:szCs w:val="20"/>
              </w:rPr>
              <w:t>76,14</w:t>
            </w:r>
          </w:p>
        </w:tc>
      </w:tr>
    </w:tbl>
    <w:p>
      <w:pPr>
        <w:pStyle w:val="Normal"/>
        <w:rPr>
          <w:rFonts w:ascii="Antique Olive" w:hAnsi="Antique Olive"/>
          <w:sz w:val="20"/>
          <w:szCs w:val="20"/>
        </w:rPr>
      </w:pPr>
      <w:r>
        <w:rPr>
          <w:rFonts w:ascii="Antique Olive" w:hAnsi="Antique Olive"/>
          <w:sz w:val="20"/>
          <w:szCs w:val="20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</w:rPr>
      </w:pPr>
      <w:r>
        <w:rPr>
          <w:rFonts w:ascii="Antique Olive" w:hAnsi="Antique Olive"/>
          <w:b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  <w:b/>
        </w:rPr>
        <w:t>Ukazovatele finančnej situácie</w:t>
      </w:r>
      <w:r>
        <w:rPr>
          <w:rFonts w:ascii="Antique Olive" w:hAnsi="Antique Olive"/>
        </w:rPr>
        <w:t xml:space="preserve">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/>
      </w:pPr>
      <w:r>
        <w:rPr/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Celková zadĹženosť = záväzky/spolu majetok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Dlhodobá zadĺženosť = (dlhodobé záväzky + bankové úvery  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        </w:t>
      </w:r>
      <w:r>
        <w:rPr>
          <w:rFonts w:ascii="Antique Olive" w:hAnsi="Antique Olive"/>
        </w:rPr>
        <w:t>dlhodobé)/spolu majetok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okamžitá likvidita = finančné účty / (krátkodobé záväzky + bežné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  </w:t>
      </w:r>
      <w:r>
        <w:rPr>
          <w:rFonts w:ascii="Antique Olive" w:hAnsi="Antique Olive"/>
        </w:rPr>
        <w:t xml:space="preserve">bankové úvery + krátkodobé finančné výpomoci)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bežná likvidita = (finančné účty + krátkodobé pohľadávky) /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</w:t>
      </w:r>
      <w:r>
        <w:rPr>
          <w:rFonts w:ascii="Antique Olive" w:hAnsi="Antique Olive"/>
        </w:rPr>
        <w:t xml:space="preserve">(krátkodobé záväzky + bežné bankové úvery +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</w:t>
      </w:r>
      <w:r>
        <w:rPr>
          <w:rFonts w:ascii="Antique Olive" w:hAnsi="Antique Olive"/>
        </w:rPr>
        <w:t>krátkodobé finančné výpomoci)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celková likvidita =(finančné účty + krátkodobé pohľadávky + zásoby) /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</w:t>
      </w:r>
      <w:r>
        <w:rPr>
          <w:rFonts w:ascii="Antique Olive" w:hAnsi="Antique Olive"/>
        </w:rPr>
        <w:t xml:space="preserve">(krátkodobé záväzky + bežné bankové úvery +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</w:t>
      </w:r>
      <w:r>
        <w:rPr>
          <w:rFonts w:ascii="Antique Olive" w:hAnsi="Antique Olive"/>
        </w:rPr>
        <w:t xml:space="preserve">krátkodobé finančné výpomoci)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</w:rPr>
      </w:pPr>
      <w:r>
        <w:rPr>
          <w:rFonts w:ascii="Antique Olive" w:hAnsi="Antique Olive"/>
          <w:b/>
        </w:rPr>
        <w:t>Ukazovatele efektívnosti hospodárenia</w:t>
      </w:r>
    </w:p>
    <w:p>
      <w:pPr>
        <w:pStyle w:val="Normal"/>
        <w:rPr>
          <w:rFonts w:ascii="Antique Olive" w:hAnsi="Antique Olive"/>
          <w:b/>
          <w:b/>
        </w:rPr>
      </w:pPr>
      <w:r>
        <w:rPr>
          <w:rFonts w:ascii="Antique Olive" w:hAnsi="Antique Olive"/>
          <w:b/>
        </w:rPr>
      </w:r>
    </w:p>
    <w:tbl>
      <w:tblPr>
        <w:tblW w:w="9338" w:type="dxa"/>
        <w:jc w:val="left"/>
        <w:tblInd w:w="-3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526"/>
        <w:gridCol w:w="2802"/>
        <w:gridCol w:w="3010"/>
      </w:tblGrid>
      <w:tr>
        <w:trPr/>
        <w:tc>
          <w:tcPr>
            <w:tcW w:w="3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</w:r>
          </w:p>
        </w:tc>
        <w:tc>
          <w:tcPr>
            <w:tcW w:w="2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CCCCCC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rFonts w:ascii="Antique Olive" w:hAnsi="Antique Olive" w:cs="Antique Olive"/>
                <w:b/>
                <w:b/>
                <w:sz w:val="20"/>
                <w:szCs w:val="20"/>
              </w:rPr>
            </w:pPr>
            <w:r>
              <w:rPr>
                <w:rFonts w:cs="Antique Olive" w:ascii="Antique Olive" w:hAnsi="Antique Olive"/>
                <w:b/>
                <w:sz w:val="20"/>
                <w:szCs w:val="20"/>
              </w:rPr>
              <w:t>2014</w:t>
            </w:r>
          </w:p>
        </w:tc>
        <w:tc>
          <w:tcPr>
            <w:tcW w:w="30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CCCCCC" w:val="clear"/>
            <w:tcMar>
              <w:left w:w="93" w:type="dxa"/>
            </w:tcMar>
          </w:tcPr>
          <w:p>
            <w:pPr>
              <w:pStyle w:val="Normal"/>
              <w:jc w:val="center"/>
              <w:rPr>
                <w:rFonts w:ascii="Antique Olive" w:hAnsi="Antique Olive" w:cs="Antique Olive"/>
                <w:b/>
                <w:b/>
                <w:sz w:val="20"/>
                <w:szCs w:val="20"/>
              </w:rPr>
            </w:pPr>
            <w:r>
              <w:rPr>
                <w:rFonts w:cs="Antique Olive" w:ascii="Antique Olive" w:hAnsi="Antique Olive"/>
                <w:b/>
                <w:sz w:val="20"/>
                <w:szCs w:val="20"/>
              </w:rPr>
              <w:t>2013</w:t>
            </w:r>
          </w:p>
        </w:tc>
      </w:tr>
      <w:tr>
        <w:trPr/>
        <w:tc>
          <w:tcPr>
            <w:tcW w:w="3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Rentabilita celkového kap. ROA</w:t>
            </w:r>
          </w:p>
        </w:tc>
        <w:tc>
          <w:tcPr>
            <w:tcW w:w="2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073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9,34</w:t>
            </w:r>
          </w:p>
        </w:tc>
        <w:tc>
          <w:tcPr>
            <w:tcW w:w="30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332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5,58</w:t>
            </w:r>
          </w:p>
        </w:tc>
      </w:tr>
      <w:tr>
        <w:trPr/>
        <w:tc>
          <w:tcPr>
            <w:tcW w:w="3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Rentabilita tržieb</w:t>
            </w:r>
          </w:p>
        </w:tc>
        <w:tc>
          <w:tcPr>
            <w:tcW w:w="2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073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3,12</w:t>
            </w:r>
          </w:p>
        </w:tc>
        <w:tc>
          <w:tcPr>
            <w:tcW w:w="30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332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1,66</w:t>
            </w:r>
          </w:p>
        </w:tc>
      </w:tr>
      <w:tr>
        <w:trPr/>
        <w:tc>
          <w:tcPr>
            <w:tcW w:w="3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Rentabilita zákl. imania</w:t>
            </w:r>
          </w:p>
        </w:tc>
        <w:tc>
          <w:tcPr>
            <w:tcW w:w="2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073" w:hanging="0"/>
              <w:jc w:val="right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1743,82</w:t>
            </w:r>
          </w:p>
        </w:tc>
        <w:tc>
          <w:tcPr>
            <w:tcW w:w="30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332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832,14</w:t>
            </w:r>
          </w:p>
        </w:tc>
      </w:tr>
      <w:tr>
        <w:trPr>
          <w:trHeight w:val="90" w:hRule="atLeast"/>
        </w:trPr>
        <w:tc>
          <w:tcPr>
            <w:tcW w:w="35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E6E6E6" w:val="clear"/>
            <w:tcMar>
              <w:left w:w="93" w:type="dxa"/>
            </w:tcMar>
          </w:tcPr>
          <w:p>
            <w:pPr>
              <w:pStyle w:val="Normal"/>
              <w:rPr>
                <w:rFonts w:ascii="Antique Olive" w:hAnsi="Antique Olive" w:cs="Antique Olive"/>
                <w:sz w:val="20"/>
                <w:szCs w:val="20"/>
              </w:rPr>
            </w:pPr>
            <w:r>
              <w:rPr>
                <w:rFonts w:cs="Antique Olive" w:ascii="Antique Olive" w:hAnsi="Antique Olive"/>
                <w:sz w:val="20"/>
                <w:szCs w:val="20"/>
              </w:rPr>
              <w:t>Rentabilita vlast. Kap. ROE</w:t>
            </w:r>
          </w:p>
        </w:tc>
        <w:tc>
          <w:tcPr>
            <w:tcW w:w="2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073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45,35</w:t>
            </w:r>
          </w:p>
        </w:tc>
        <w:tc>
          <w:tcPr>
            <w:tcW w:w="30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ind w:left="0" w:right="1332" w:hanging="0"/>
              <w:jc w:val="right"/>
              <w:rPr>
                <w:rFonts w:ascii="Arial CE" w:hAnsi="Arial CE" w:cs="Antique Olive"/>
                <w:sz w:val="20"/>
                <w:szCs w:val="20"/>
              </w:rPr>
            </w:pPr>
            <w:r>
              <w:rPr>
                <w:rFonts w:cs="Antique Olive" w:ascii="Arial CE" w:hAnsi="Arial CE"/>
                <w:sz w:val="20"/>
                <w:szCs w:val="20"/>
              </w:rPr>
              <w:t>28,36</w:t>
            </w:r>
          </w:p>
        </w:tc>
      </w:tr>
    </w:tbl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Rentabilita celkového kapitálu EOA = (výsl. Hospodárenia za účtovné obdobie + nákladové úroky)  / spolu vlastné imanie a záväzky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Rentabilita tržieb = výsl. hospodárenia za účtovné obdobie / (tržby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</w:t>
      </w:r>
      <w:r>
        <w:rPr>
          <w:rFonts w:ascii="Antique Olive" w:hAnsi="Antique Olive"/>
        </w:rPr>
        <w:t xml:space="preserve">z predaja tovaru + tržby z predaja vlastných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</w:t>
      </w:r>
      <w:r>
        <w:rPr>
          <w:rFonts w:ascii="Antique Olive" w:hAnsi="Antique Olive"/>
        </w:rPr>
        <w:t>výrobkov a služieb)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Rentabilita základného imania = výsledok hospodárenia / základné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                       </w:t>
      </w:r>
      <w:r>
        <w:rPr>
          <w:rFonts w:ascii="Antique Olive" w:hAnsi="Antique Olive"/>
        </w:rPr>
        <w:t>Imanie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Rentabilita vlastného kapitálu ROE = výsledok hospodárenia za účtovné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                                                                 </w:t>
      </w:r>
      <w:r>
        <w:rPr>
          <w:rFonts w:ascii="Antique Olive" w:hAnsi="Antique Olive"/>
        </w:rPr>
        <w:t>obdobie / vlastné imanie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4. Udalosti osobitného významu, ktoré nastali po skončení účtovného obdobia</w:t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Po skončení účtovného obdobia nenastali žiadne významné udalosti, ktoré by mali vplyv na účtovnú závierku roku 2014. Všetky doklady týkajúce sa tohto účtovného obdobia boli zaúčtované.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5. Predpokladaný budúci vývoj činnosti účtovnej jednotky</w:t>
      </w:r>
    </w:p>
    <w:p>
      <w:pPr>
        <w:pStyle w:val="Normal"/>
        <w:rPr>
          <w:rFonts w:ascii="Antique Olive" w:hAnsi="Antique Olive"/>
          <w:color w:val="000000"/>
        </w:rPr>
      </w:pPr>
      <w:r>
        <w:rPr>
          <w:rFonts w:ascii="Antique Olive" w:hAnsi="Antique Olive"/>
          <w:color w:val="000000"/>
        </w:rPr>
        <w:t>Účtovná jednotka je výrobcom krbových kachlí a vložiek a táto výroba zaberá 98%</w:t>
      </w:r>
    </w:p>
    <w:p>
      <w:pPr>
        <w:pStyle w:val="Normal"/>
        <w:rPr>
          <w:rFonts w:ascii="Antique Olive" w:hAnsi="Antique Olive"/>
          <w:color w:val="000000"/>
        </w:rPr>
      </w:pPr>
      <w:r>
        <w:rPr>
          <w:rFonts w:ascii="Antique Olive" w:hAnsi="Antique Olive"/>
          <w:color w:val="000000"/>
        </w:rPr>
        <w:t>svojej výrobnej kapacity.  V roku 2015  plánujeme vyrábať naďalej krby, krbové vložky, krbové súčiastky a polotovary – súčiastky pálené s laserom. V roku 2015 sa očakáva podobný dopyt po výrobkoch, ktoré sme vyrábali v roku 2014.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6. Návrh na rozdelenie hospodárskeho výsledku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Disponabilný zisk ktorý vznikol po zdanení rozdelíme medzi spoločníkmi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podľa majetkového podielu.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rPr>
          <w:rFonts w:ascii="Antique Olive" w:hAnsi="Antique Olive"/>
          <w:b/>
          <w:b/>
          <w:u w:val="single"/>
        </w:rPr>
      </w:pPr>
      <w:r>
        <w:rPr>
          <w:rFonts w:ascii="Antique Olive" w:hAnsi="Antique Olive"/>
          <w:b/>
          <w:u w:val="single"/>
        </w:rPr>
        <w:t>7. Organizačná štruktúra spoločnosti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Naša spoločnosť sa zaoberá výrobou krbových kachlí, ale táto výroba je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 xml:space="preserve">sezonného charakteru a kvôli plynulosti dodávky sa vyrába na sklad v období mimo 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sezóny. Mimo sezóny sa zároveň zníži aj počet zamestnancov účtovnej jednotky.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  <w:t>V roku 2014 bol priemerný počet zamestnancov 89.Predávame svoje výrobky veľkoobchodným distribútorom hlavne do Dánska, tiež do tuzemska a v menšom množstve pre občanov SR.Spoločnosť v zahraničí  nemá žiadne organizačné zložky.</w:t>
      </w:r>
    </w:p>
    <w:p>
      <w:pPr>
        <w:pStyle w:val="Normal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ind w:left="5664" w:firstLine="708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ind w:left="5664" w:firstLine="708"/>
        <w:rPr>
          <w:rFonts w:ascii="Antique Olive" w:hAnsi="Antique Olive"/>
        </w:rPr>
      </w:pPr>
      <w:r>
        <w:rPr>
          <w:rFonts w:ascii="Antique Olive" w:hAnsi="Antique Olive"/>
        </w:rPr>
      </w:r>
    </w:p>
    <w:p>
      <w:pPr>
        <w:pStyle w:val="Normal"/>
        <w:ind w:left="5664" w:firstLine="708"/>
        <w:rPr>
          <w:rFonts w:ascii="Antique Olive" w:hAnsi="Antique Olive"/>
        </w:rPr>
      </w:pPr>
      <w:r>
        <w:rPr>
          <w:rFonts w:ascii="Antique Olive" w:hAnsi="Antique Olive"/>
        </w:rPr>
        <w:t>Zsuzsanna Bihari</w:t>
      </w:r>
    </w:p>
    <w:p>
      <w:pPr>
        <w:pStyle w:val="Normal"/>
        <w:rPr/>
      </w:pPr>
      <w:r>
        <w:rPr>
          <w:rFonts w:ascii="Antique Olive" w:hAnsi="Antique Olive"/>
        </w:rPr>
        <w:tab/>
        <w:tab/>
        <w:tab/>
        <w:tab/>
        <w:tab/>
        <w:tab/>
        <w:tab/>
        <w:tab/>
        <w:tab/>
        <w:t xml:space="preserve">   konateľka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ntique Olive">
    <w:charset w:val="ee"/>
    <w:family w:val="roman"/>
    <w:pitch w:val="variable"/>
  </w:font>
  <w:font w:name="Arial CE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hu-H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hu-HU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078e7"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Lucida Sans Unicode" w:cs="Mangal"/>
      <w:color w:val="00000A"/>
      <w:sz w:val="24"/>
      <w:szCs w:val="24"/>
      <w:lang w:val="sk-SK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Lucida Sans Unicode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2021</TotalTime>
  <Application>LibreOffice/4.4.1.2$Windows_x86 LibreOffice_project/45e2de17089c24a1fa810c8f975a7171ba4cd432</Application>
  <Paragraphs>146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2014-12-18T09:16:00Z</dcterms:created>
  <dc:creator>Bihari Zsuzsa</dc:creator>
  <dc:language>sk-SK</dc:language>
  <cp:lastModifiedBy>Edit Edit</cp:lastModifiedBy>
  <cp:lastPrinted>2015-07-03T09:51:00Z</cp:lastPrinted>
  <dcterms:modified xsi:type="dcterms:W3CDTF">2015-12-16T14:12:03Z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