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E227CC" w:rsidRPr="00E227CC" w:rsidTr="00E227CC">
        <w:tc>
          <w:tcPr>
            <w:tcW w:w="2660" w:type="dxa"/>
          </w:tcPr>
          <w:p w:rsidR="00E227CC" w:rsidRPr="00E227CC" w:rsidRDefault="00E227CC" w:rsidP="00E227CC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E227CC" w:rsidRPr="00E227CC" w:rsidRDefault="00E227CC" w:rsidP="00E227CC">
      <w:pPr>
        <w:jc w:val="right"/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>str.1</w:t>
      </w:r>
    </w:p>
    <w:tbl>
      <w:tblPr>
        <w:tblStyle w:val="Mriekatabuky"/>
        <w:tblpPr w:leftFromText="141" w:rightFromText="141" w:vertAnchor="text" w:tblpXSpec="right" w:tblpY="1"/>
        <w:tblOverlap w:val="never"/>
        <w:tblW w:w="3070" w:type="dxa"/>
        <w:tblLayout w:type="fixed"/>
        <w:tblLook w:val="04A0" w:firstRow="1" w:lastRow="0" w:firstColumn="1" w:lastColumn="0" w:noHBand="0" w:noVBand="1"/>
      </w:tblPr>
      <w:tblGrid>
        <w:gridCol w:w="436"/>
        <w:gridCol w:w="283"/>
        <w:gridCol w:w="284"/>
        <w:gridCol w:w="283"/>
        <w:gridCol w:w="284"/>
        <w:gridCol w:w="283"/>
        <w:gridCol w:w="284"/>
        <w:gridCol w:w="283"/>
        <w:gridCol w:w="324"/>
        <w:gridCol w:w="326"/>
      </w:tblGrid>
      <w:tr w:rsidR="000A7861" w:rsidRPr="00E227CC" w:rsidTr="00AE08C6">
        <w:tc>
          <w:tcPr>
            <w:tcW w:w="436" w:type="dxa"/>
          </w:tcPr>
          <w:p w:rsidR="00E227CC" w:rsidRPr="00E227CC" w:rsidRDefault="007C6C9D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E227CC" w:rsidRPr="00E227CC" w:rsidRDefault="00AE08C6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" w:type="dxa"/>
          </w:tcPr>
          <w:p w:rsidR="00E227CC" w:rsidRPr="00E227CC" w:rsidRDefault="00AE08C6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E227CC" w:rsidRPr="00E227CC" w:rsidRDefault="00AE08C6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" w:type="dxa"/>
          </w:tcPr>
          <w:p w:rsidR="00E227CC" w:rsidRPr="00E227CC" w:rsidRDefault="00AE08C6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" w:type="dxa"/>
          </w:tcPr>
          <w:p w:rsidR="00E227CC" w:rsidRPr="00E227CC" w:rsidRDefault="00AE08C6" w:rsidP="000A7861">
            <w:pPr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" w:type="dxa"/>
          </w:tcPr>
          <w:p w:rsidR="00E227CC" w:rsidRPr="00E227CC" w:rsidRDefault="00AE08C6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E227CC" w:rsidRPr="00E227CC" w:rsidRDefault="000A7861" w:rsidP="000A7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E227CC">
        <w:rPr>
          <w:rFonts w:ascii="Times New Roman" w:hAnsi="Times New Roman" w:cs="Times New Roman"/>
        </w:rPr>
        <w:t>DIČ</w:t>
      </w:r>
      <w:r w:rsidR="00E227CC"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35EB3">
        <w:rPr>
          <w:rFonts w:ascii="Times New Roman" w:hAnsi="Times New Roman" w:cs="Times New Roman"/>
        </w:rPr>
        <w:t xml:space="preserve">                                                                 </w:t>
      </w:r>
      <w:r w:rsidR="00E227CC" w:rsidRPr="00E227CC">
        <w:rPr>
          <w:rFonts w:ascii="Times New Roman" w:hAnsi="Times New Roman" w:cs="Times New Roman"/>
        </w:rPr>
        <w:br w:type="textWrapping" w:clear="all"/>
      </w:r>
    </w:p>
    <w:p w:rsidR="00E227CC" w:rsidRDefault="00E227CC" w:rsidP="00E227CC">
      <w:pPr>
        <w:pStyle w:val="Odsekzoznamu"/>
        <w:numPr>
          <w:ilvl w:val="0"/>
          <w:numId w:val="4"/>
        </w:numPr>
        <w:ind w:left="284" w:hanging="29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 účtovnej jednotke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A13FD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meno: Inter Waldorf Investment s.r.o.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</w:t>
            </w:r>
            <w:r w:rsidR="00A13FD9">
              <w:rPr>
                <w:rFonts w:ascii="Times New Roman" w:hAnsi="Times New Roman" w:cs="Times New Roman"/>
              </w:rPr>
              <w:t xml:space="preserve">lo: Gorkého 10, 811 01 Bratislava </w:t>
            </w:r>
          </w:p>
          <w:p w:rsidR="007F5D85" w:rsidRDefault="00A13FD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47502991</w:t>
            </w:r>
          </w:p>
          <w:p w:rsidR="007F5D85" w:rsidRDefault="00A13FD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2023938268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3F749C">
              <w:rPr>
                <w:rFonts w:ascii="Times New Roman" w:hAnsi="Times New Roman" w:cs="Times New Roman"/>
              </w:rPr>
              <w:t xml:space="preserve">odnej </w:t>
            </w:r>
            <w:r w:rsidR="00A13FD9">
              <w:rPr>
                <w:rFonts w:ascii="Times New Roman" w:hAnsi="Times New Roman" w:cs="Times New Roman"/>
              </w:rPr>
              <w:t xml:space="preserve">činnosti spoločnosti Inter Waldorf Investment </w:t>
            </w:r>
            <w:r>
              <w:rPr>
                <w:rFonts w:ascii="Times New Roman" w:hAnsi="Times New Roman" w:cs="Times New Roman"/>
              </w:rPr>
              <w:t xml:space="preserve"> s.r.o.: veľkoobchod a  maloobchod, sprostredkovateľská činnosť v oblasti obchodu </w:t>
            </w:r>
            <w:r w:rsidR="000D20B2">
              <w:rPr>
                <w:rFonts w:ascii="Times New Roman" w:hAnsi="Times New Roman" w:cs="Times New Roman"/>
              </w:rPr>
              <w:t xml:space="preserve">a služieb, </w:t>
            </w:r>
            <w:r w:rsidR="0004061D">
              <w:rPr>
                <w:rFonts w:ascii="Times New Roman" w:hAnsi="Times New Roman" w:cs="Times New Roman"/>
              </w:rPr>
              <w:t xml:space="preserve"> prenájom hnuteľných vecí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>,</w:t>
            </w:r>
            <w:r w:rsidR="000D20B2">
              <w:rPr>
                <w:rFonts w:ascii="Times New Roman" w:hAnsi="Times New Roman" w:cs="Times New Roman"/>
              </w:rPr>
              <w:t xml:space="preserve"> reklamné amarketin</w:t>
            </w:r>
            <w:r w:rsidR="00A13FD9">
              <w:rPr>
                <w:rFonts w:ascii="Times New Roman" w:hAnsi="Times New Roman" w:cs="Times New Roman"/>
              </w:rPr>
              <w:t>gové služby,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schválenia účtovnej závierky za bezprostredne predchádzajúce účtovné obdobie  : Účtovná závierka k 31.12.201</w:t>
            </w:r>
            <w:r w:rsidR="00A13FD9">
              <w:rPr>
                <w:rFonts w:ascii="Times New Roman" w:hAnsi="Times New Roman" w:cs="Times New Roman"/>
              </w:rPr>
              <w:t>4 bola schválená dňa 12.06.2015.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 účtovnej závierky: k 31.12.2015 je účtovna závierka zostavená ako riadna účtovná závierka za účtovné obdobie od 01.01.2015 do 31.12.2015.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A13FD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A13FD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A13FD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A13FD9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Kollár Robert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35EB3" w:rsidRPr="00E227CC" w:rsidTr="0026690F">
        <w:tc>
          <w:tcPr>
            <w:tcW w:w="2660" w:type="dxa"/>
          </w:tcPr>
          <w:p w:rsidR="00A35EB3" w:rsidRPr="00E227CC" w:rsidRDefault="00A35EB3" w:rsidP="0026690F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str.2</w:t>
      </w:r>
    </w:p>
    <w:tbl>
      <w:tblPr>
        <w:tblStyle w:val="Mriekatabuky"/>
        <w:tblpPr w:leftFromText="141" w:rightFromText="141" w:vertAnchor="text" w:tblpXSpec="right" w:tblpY="1"/>
        <w:tblOverlap w:val="never"/>
        <w:tblW w:w="3402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A15998" w:rsidRPr="00E227CC" w:rsidTr="00AE08C6"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" w:type="dxa"/>
          </w:tcPr>
          <w:p w:rsidR="00A35EB3" w:rsidRPr="00E227CC" w:rsidRDefault="00AE08C6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1" w:type="dxa"/>
          </w:tcPr>
          <w:p w:rsidR="00A35EB3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AE08C6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" w:type="dxa"/>
          </w:tcPr>
          <w:p w:rsidR="00A35EB3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8" w:type="dxa"/>
          </w:tcPr>
          <w:p w:rsidR="00A35EB3" w:rsidRPr="00E227CC" w:rsidRDefault="00AE08C6" w:rsidP="0026690F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7116</w:t>
            </w:r>
          </w:p>
        </w:tc>
        <w:tc>
          <w:tcPr>
            <w:tcW w:w="326" w:type="dxa"/>
          </w:tcPr>
          <w:p w:rsidR="00A35EB3" w:rsidRPr="00E227CC" w:rsidRDefault="00AE08C6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A35EB3" w:rsidRDefault="00A35EB3" w:rsidP="00C76E03">
      <w:pPr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C76E03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A35EB3" w:rsidRDefault="00A35EB3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D. Ďalšie informácie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Táto účtovná závierka bola vypracovaná na základe historických cien a za predpokladu nepretržitého trvania účtovnej jednotky</w:t>
            </w:r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Dlhodobí hmotný</w:t>
            </w:r>
            <w:r w:rsidR="00604DBC">
              <w:rPr>
                <w:rFonts w:ascii="Times New Roman" w:hAnsi="Times New Roman" w:cs="Times New Roman"/>
              </w:rPr>
              <w:t xml:space="preserve"> a nehmotný</w:t>
            </w:r>
            <w:r>
              <w:rPr>
                <w:rFonts w:ascii="Times New Roman" w:hAnsi="Times New Roman" w:cs="Times New Roman"/>
              </w:rPr>
              <w:t xml:space="preserve"> majetok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nakupovaný sa oceňuje obstarávacou cenou, ktorá zahrňa cenu obstarávania a náklady súvisiace s obstaraním ( clo, prepravu, montáž, poistné a pod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 dlhodobého hmotného a nehmotného majetku sú stanovené vychádzajúc z predpokladanej doby jej používania. Odpisovať sa začína počnúc mesiacom zaradenia dlhodobého majetku do používania. Ročná výška odpisov dlhodobého majetku predstavuje 12-násobok mesačného odpisu vypočítaného rovnomerným sp</w:t>
            </w:r>
            <w:r w:rsidR="00D910C8">
              <w:rPr>
                <w:rFonts w:ascii="Times New Roman" w:hAnsi="Times New Roman" w:cs="Times New Roman"/>
              </w:rPr>
              <w:t xml:space="preserve">ôsobom zo vstupnej ceny majetku, ktorá pripadá na zostatok doby odpisovania.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Zásoby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( nakupovan</w:t>
            </w:r>
            <w:r w:rsidR="00D910C8">
              <w:rPr>
                <w:rFonts w:ascii="Times New Roman" w:hAnsi="Times New Roman" w:cs="Times New Roman"/>
              </w:rPr>
              <w:t>é zásoby ) sa účtujú na sklad v obstarávacích cenách.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sa pri ich vzniku oceňujú ich menovitou hodnotou. Spooločnosť netvorila opravnú položku k pohľadávke.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Rezervy </w:t>
            </w:r>
            <w:r w:rsidR="00105505">
              <w:rPr>
                <w:rFonts w:ascii="Times New Roman" w:hAnsi="Times New Roman" w:cs="Times New Roman"/>
              </w:rPr>
              <w:t>: Rezervy spoločnosť netvorila okrem Zákonného rezervného fondu.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Informácie o záväzkoch: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 sa oceňujú menovitou hodnotou.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záväzkov so zostatkovou dobou splatnosti</w:t>
            </w:r>
            <w:r w:rsidR="00105505">
              <w:rPr>
                <w:rFonts w:ascii="Times New Roman" w:hAnsi="Times New Roman" w:cs="Times New Roman"/>
              </w:rPr>
              <w:t xml:space="preserve"> dlhšou ako 1rok  vo výške 805040</w:t>
            </w:r>
            <w:r>
              <w:rPr>
                <w:rFonts w:ascii="Times New Roman" w:hAnsi="Times New Roman" w:cs="Times New Roman"/>
              </w:rPr>
              <w:t xml:space="preserve"> eur.</w:t>
            </w:r>
            <w:r w:rsidR="008B4AFD">
              <w:rPr>
                <w:rFonts w:ascii="Times New Roman" w:hAnsi="Times New Roman" w:cs="Times New Roman"/>
              </w:rPr>
              <w:t xml:space="preserve"> V predchádzajúcom účtovnom období spoločnosť neúčtovala o záväzkoch so zostatkovou dobou splatnosti dlhšou ako 1 rok.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nevykazuje so zostatkovou dobou splatnosti viac ako 5 rokov.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z príjmov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príjmov sa skladá zo splatnej dane, o odloženej dani spoločnosť neúčtuje. Splatná daň z príjmov sa počíta vo výške 22 % daňového základu, ktorý sa vypočítal úpravou účtovného výsledku hospodárenia pred daňou o pripočítateľné a odpočítateľné položky.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jednotka neúčtuje o časovom rozlíšení výnosov a nákladov.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15998" w:rsidRPr="00E227CC" w:rsidTr="008F36EB">
        <w:tc>
          <w:tcPr>
            <w:tcW w:w="2660" w:type="dxa"/>
          </w:tcPr>
          <w:p w:rsidR="00A15998" w:rsidRPr="00E227CC" w:rsidRDefault="00A15998" w:rsidP="008F36EB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604DBC" w:rsidRPr="00E227CC" w:rsidRDefault="00604DBC" w:rsidP="00604D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str.3</w:t>
      </w:r>
    </w:p>
    <w:tbl>
      <w:tblPr>
        <w:tblStyle w:val="Mriekatabuky"/>
        <w:tblpPr w:leftFromText="141" w:rightFromText="141" w:vertAnchor="text" w:tblpXSpec="right" w:tblpY="1"/>
        <w:tblOverlap w:val="never"/>
        <w:tblW w:w="2817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436"/>
      </w:tblGrid>
      <w:tr w:rsidR="00604DBC" w:rsidRPr="00E227CC" w:rsidTr="008F36EB"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AE08C6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" w:type="dxa"/>
          </w:tcPr>
          <w:p w:rsidR="00604DBC" w:rsidRPr="00E227CC" w:rsidRDefault="002D543A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AE08C6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:rsidR="00604DBC" w:rsidRPr="00E227CC" w:rsidRDefault="002D543A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" w:type="dxa"/>
          </w:tcPr>
          <w:p w:rsidR="00604DBC" w:rsidRPr="00E227CC" w:rsidRDefault="00AE08C6" w:rsidP="008F36EB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</w:t>
            </w:r>
          </w:p>
        </w:tc>
        <w:tc>
          <w:tcPr>
            <w:tcW w:w="239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E08C6">
              <w:rPr>
                <w:rFonts w:ascii="Times New Roman" w:hAnsi="Times New Roman" w:cs="Times New Roman"/>
              </w:rPr>
              <w:t>8</w:t>
            </w:r>
          </w:p>
        </w:tc>
      </w:tr>
    </w:tbl>
    <w:p w:rsidR="00604DBC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5998" w:rsidRPr="00E227CC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</w:t>
      </w:r>
      <w:r w:rsidR="007D63D9">
        <w:rPr>
          <w:rFonts w:ascii="Times New Roman" w:hAnsi="Times New Roman" w:cs="Times New Roman"/>
        </w:rPr>
        <w:t xml:space="preserve">                                     </w:t>
      </w:r>
      <w:r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105505">
        <w:trPr>
          <w:trHeight w:val="539"/>
        </w:trPr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12632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2759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2779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12632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2759</w:t>
            </w:r>
          </w:p>
        </w:tc>
        <w:tc>
          <w:tcPr>
            <w:tcW w:w="1286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Daňová licencia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10550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10550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2759</w:t>
            </w:r>
          </w:p>
        </w:tc>
        <w:tc>
          <w:tcPr>
            <w:tcW w:w="1297" w:type="dxa"/>
          </w:tcPr>
          <w:p w:rsidR="00CC57E3" w:rsidRDefault="0010550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12632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10550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15391</w:t>
            </w:r>
            <w:bookmarkStart w:id="0" w:name="_GoBack"/>
            <w:bookmarkEnd w:id="0"/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C136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933" w:rsidRDefault="00C93933" w:rsidP="00E227CC">
      <w:pPr>
        <w:spacing w:after="0" w:line="240" w:lineRule="auto"/>
      </w:pPr>
      <w:r>
        <w:separator/>
      </w:r>
    </w:p>
  </w:endnote>
  <w:endnote w:type="continuationSeparator" w:id="0">
    <w:p w:rsidR="00C93933" w:rsidRDefault="00C93933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933" w:rsidRDefault="00C93933" w:rsidP="00E227CC">
      <w:pPr>
        <w:spacing w:after="0" w:line="240" w:lineRule="auto"/>
      </w:pPr>
      <w:r>
        <w:separator/>
      </w:r>
    </w:p>
  </w:footnote>
  <w:footnote w:type="continuationSeparator" w:id="0">
    <w:p w:rsidR="00C93933" w:rsidRDefault="00C93933" w:rsidP="00E2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A7861"/>
    <w:rsid w:val="000D0FF3"/>
    <w:rsid w:val="000D20B2"/>
    <w:rsid w:val="00105505"/>
    <w:rsid w:val="00173455"/>
    <w:rsid w:val="001E6303"/>
    <w:rsid w:val="002D543A"/>
    <w:rsid w:val="00303B95"/>
    <w:rsid w:val="003A2A6C"/>
    <w:rsid w:val="003F749C"/>
    <w:rsid w:val="00560FD4"/>
    <w:rsid w:val="00604DBC"/>
    <w:rsid w:val="00645EF7"/>
    <w:rsid w:val="006716C1"/>
    <w:rsid w:val="006C4C23"/>
    <w:rsid w:val="007171C2"/>
    <w:rsid w:val="00772648"/>
    <w:rsid w:val="007C6C9D"/>
    <w:rsid w:val="007D63D9"/>
    <w:rsid w:val="007F5D85"/>
    <w:rsid w:val="0089570C"/>
    <w:rsid w:val="008B4AFD"/>
    <w:rsid w:val="008F4E9B"/>
    <w:rsid w:val="009747DE"/>
    <w:rsid w:val="009C6A55"/>
    <w:rsid w:val="00A13FD9"/>
    <w:rsid w:val="00A15998"/>
    <w:rsid w:val="00A35EB3"/>
    <w:rsid w:val="00A91485"/>
    <w:rsid w:val="00A96B85"/>
    <w:rsid w:val="00AE08C6"/>
    <w:rsid w:val="00B23CDF"/>
    <w:rsid w:val="00BB7F25"/>
    <w:rsid w:val="00BD6418"/>
    <w:rsid w:val="00C13637"/>
    <w:rsid w:val="00C76E03"/>
    <w:rsid w:val="00C8118C"/>
    <w:rsid w:val="00C93933"/>
    <w:rsid w:val="00CC57E3"/>
    <w:rsid w:val="00D25E90"/>
    <w:rsid w:val="00D910C8"/>
    <w:rsid w:val="00E227CC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1321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CC69-F399-4078-A6FA-550D93B7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3</cp:revision>
  <dcterms:created xsi:type="dcterms:W3CDTF">2016-06-20T15:32:00Z</dcterms:created>
  <dcterms:modified xsi:type="dcterms:W3CDTF">2016-06-20T15:39:00Z</dcterms:modified>
</cp:coreProperties>
</file>