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0031" w:rsidRDefault="00F90031">
      <w:pPr>
        <w:widowControl/>
        <w:jc w:val="center"/>
        <w:rPr>
          <w:rFonts w:cs="Arial"/>
          <w:b/>
          <w:lang w:eastAsia="sk-SK" w:bidi="ar-SA"/>
        </w:rPr>
      </w:pPr>
      <w:r>
        <w:rPr>
          <w:rFonts w:cs="Arial"/>
          <w:b/>
          <w:lang w:eastAsia="sk-SK" w:bidi="ar-SA"/>
        </w:rPr>
        <w:t>Poznámky  konsolidovanej účtovnej závierky</w:t>
      </w:r>
    </w:p>
    <w:p w:rsidR="00F90031" w:rsidRDefault="00F90031">
      <w:pPr>
        <w:widowControl/>
        <w:jc w:val="center"/>
        <w:rPr>
          <w:rFonts w:cs="Arial"/>
        </w:rPr>
      </w:pPr>
      <w:r>
        <w:rPr>
          <w:rFonts w:cs="Arial"/>
          <w:b/>
          <w:lang w:eastAsia="sk-SK" w:bidi="ar-SA"/>
        </w:rPr>
        <w:t xml:space="preserve">zostavenej k 31. decembru </w:t>
      </w:r>
      <w:r>
        <w:rPr>
          <w:rFonts w:cs="Arial"/>
          <w:b/>
          <w:iCs/>
          <w:lang w:eastAsia="sk-SK" w:bidi="ar-SA"/>
        </w:rPr>
        <w:t>2015</w:t>
      </w:r>
    </w:p>
    <w:p w:rsidR="00F90031" w:rsidRDefault="00F90031">
      <w:pPr>
        <w:pStyle w:val="odstavec"/>
        <w:jc w:val="left"/>
        <w:rPr>
          <w:rFonts w:cs="Arial"/>
          <w:sz w:val="24"/>
        </w:rPr>
      </w:pPr>
    </w:p>
    <w:p w:rsidR="00F90031" w:rsidRDefault="00F90031">
      <w:pPr>
        <w:pStyle w:val="odstavec"/>
        <w:rPr>
          <w:rFonts w:cs="Arial"/>
          <w:sz w:val="24"/>
        </w:rPr>
      </w:pPr>
    </w:p>
    <w:p w:rsidR="00F90031" w:rsidRDefault="00F90031">
      <w:pPr>
        <w:pStyle w:val="Nadpis1"/>
        <w:numPr>
          <w:ilvl w:val="0"/>
          <w:numId w:val="2"/>
        </w:numPr>
        <w:ind w:left="706"/>
        <w:rPr>
          <w:rFonts w:ascii="Times New Roman" w:hAnsi="Times New Roman"/>
          <w:sz w:val="24"/>
          <w:szCs w:val="24"/>
        </w:rPr>
      </w:pPr>
      <w:bookmarkStart w:id="0" w:name="OLE_LINK5"/>
      <w:bookmarkStart w:id="1" w:name="OLE_LINK6"/>
      <w:r>
        <w:rPr>
          <w:rFonts w:ascii="Times New Roman" w:hAnsi="Times New Roman"/>
          <w:sz w:val="24"/>
          <w:szCs w:val="24"/>
        </w:rPr>
        <w:t>I.</w:t>
      </w:r>
      <w:bookmarkEnd w:id="0"/>
      <w:bookmarkEnd w:id="1"/>
      <w:r>
        <w:rPr>
          <w:rFonts w:ascii="Times New Roman" w:hAnsi="Times New Roman"/>
          <w:sz w:val="24"/>
          <w:szCs w:val="24"/>
        </w:rPr>
        <w:t xml:space="preserve">      VŠEOBECNÉ ÚDAJE</w:t>
      </w:r>
    </w:p>
    <w:p w:rsidR="00F90031" w:rsidRDefault="00F90031">
      <w:pPr>
        <w:pStyle w:val="Nadpis2"/>
        <w:numPr>
          <w:ilvl w:val="1"/>
          <w:numId w:val="2"/>
        </w:numPr>
        <w:ind w:left="1506"/>
        <w:rPr>
          <w:sz w:val="24"/>
        </w:rPr>
      </w:pPr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z w:val="24"/>
          <w:szCs w:val="24"/>
        </w:rPr>
        <w:tab/>
        <w:t>Identifikačné údaje konsolidujúcej účtovnej jednotky:</w:t>
      </w:r>
    </w:p>
    <w:p w:rsidR="00F90031" w:rsidRDefault="00F90031">
      <w:pPr>
        <w:pStyle w:val="odstavec"/>
        <w:rPr>
          <w:rFonts w:cs="Arial"/>
          <w:sz w:val="24"/>
        </w:rPr>
      </w:pPr>
      <w:r>
        <w:rPr>
          <w:rFonts w:cs="Arial"/>
          <w:sz w:val="24"/>
        </w:rPr>
        <w:t>Názov konsolidujúcej účtovnej jednotky: Obec M</w:t>
      </w:r>
      <w:r w:rsidR="00AF0BCC">
        <w:rPr>
          <w:rFonts w:cs="Arial"/>
          <w:sz w:val="24"/>
        </w:rPr>
        <w:t>alinovo</w:t>
      </w:r>
    </w:p>
    <w:p w:rsidR="00AF0BCC" w:rsidRDefault="00AF0BCC">
      <w:pPr>
        <w:pStyle w:val="odstavec"/>
        <w:rPr>
          <w:rFonts w:cs="Arial"/>
          <w:sz w:val="24"/>
        </w:rPr>
      </w:pPr>
    </w:p>
    <w:p w:rsidR="00F90031" w:rsidRDefault="00F90031">
      <w:pPr>
        <w:pStyle w:val="odstavec"/>
        <w:rPr>
          <w:rFonts w:cs="Arial"/>
          <w:sz w:val="24"/>
        </w:rPr>
      </w:pPr>
      <w:r>
        <w:rPr>
          <w:rFonts w:cs="Arial"/>
          <w:sz w:val="24"/>
        </w:rPr>
        <w:t>Sídlo konsolidujúcej účtovnej jed</w:t>
      </w:r>
      <w:r w:rsidR="00AF0BCC">
        <w:rPr>
          <w:rFonts w:cs="Arial"/>
          <w:sz w:val="24"/>
        </w:rPr>
        <w:t>notky: 900 45</w:t>
      </w:r>
      <w:r>
        <w:rPr>
          <w:rFonts w:cs="Arial"/>
          <w:sz w:val="24"/>
        </w:rPr>
        <w:t xml:space="preserve"> M</w:t>
      </w:r>
      <w:r w:rsidR="00AF0BCC">
        <w:rPr>
          <w:rFonts w:cs="Arial"/>
          <w:sz w:val="24"/>
        </w:rPr>
        <w:t>alinovo</w:t>
      </w:r>
    </w:p>
    <w:p w:rsidR="00F90031" w:rsidRDefault="00F90031">
      <w:pPr>
        <w:pStyle w:val="odstavec"/>
        <w:rPr>
          <w:rFonts w:cs="Arial"/>
          <w:sz w:val="24"/>
        </w:rPr>
      </w:pPr>
    </w:p>
    <w:p w:rsidR="00F90031" w:rsidRDefault="00F90031">
      <w:pPr>
        <w:pStyle w:val="odstavec"/>
        <w:rPr>
          <w:rFonts w:cs="Arial"/>
          <w:sz w:val="24"/>
        </w:rPr>
      </w:pPr>
      <w:r>
        <w:rPr>
          <w:rFonts w:cs="Arial"/>
          <w:sz w:val="24"/>
        </w:rPr>
        <w:t xml:space="preserve">IČO konsolidujúcej účtovnej jednotky:  00 304 </w:t>
      </w:r>
      <w:r w:rsidR="00AF0BCC">
        <w:rPr>
          <w:rFonts w:cs="Arial"/>
          <w:sz w:val="24"/>
        </w:rPr>
        <w:t>921</w:t>
      </w:r>
    </w:p>
    <w:p w:rsidR="00F90031" w:rsidRDefault="00F90031">
      <w:pPr>
        <w:pStyle w:val="odstavec"/>
        <w:rPr>
          <w:rFonts w:cs="Arial"/>
          <w:sz w:val="24"/>
        </w:rPr>
      </w:pPr>
    </w:p>
    <w:p w:rsidR="00F90031" w:rsidRDefault="00F90031">
      <w:pPr>
        <w:pStyle w:val="odstavec"/>
        <w:rPr>
          <w:rFonts w:cs="Arial"/>
          <w:sz w:val="24"/>
        </w:rPr>
      </w:pPr>
      <w:r>
        <w:rPr>
          <w:rFonts w:cs="Arial"/>
          <w:sz w:val="24"/>
        </w:rPr>
        <w:t xml:space="preserve">Dátum založenia/zriadenia konsolidujúcej účtovnej jednotky: </w:t>
      </w:r>
      <w:r w:rsidR="0093667F">
        <w:rPr>
          <w:rFonts w:cs="Arial"/>
          <w:sz w:val="24"/>
        </w:rPr>
        <w:t>1990</w:t>
      </w:r>
      <w:bookmarkStart w:id="2" w:name="_GoBack"/>
      <w:bookmarkEnd w:id="2"/>
    </w:p>
    <w:p w:rsidR="00F90031" w:rsidRDefault="00F90031">
      <w:pPr>
        <w:pStyle w:val="odstavec"/>
        <w:rPr>
          <w:rFonts w:cs="Arial"/>
          <w:sz w:val="24"/>
        </w:rPr>
      </w:pPr>
    </w:p>
    <w:p w:rsidR="00F90031" w:rsidRDefault="00F90031">
      <w:pPr>
        <w:pStyle w:val="odstavec"/>
        <w:rPr>
          <w:rFonts w:cs="Arial"/>
          <w:sz w:val="24"/>
        </w:rPr>
      </w:pPr>
    </w:p>
    <w:p w:rsidR="00F90031" w:rsidRDefault="00F90031">
      <w:pPr>
        <w:pStyle w:val="odstavec"/>
      </w:pPr>
      <w:r>
        <w:rPr>
          <w:rFonts w:cs="Arial"/>
          <w:sz w:val="24"/>
        </w:rPr>
        <w:t xml:space="preserve">Konsolidovaná účtovná závierka konsolidovaného celku obce </w:t>
      </w:r>
      <w:r w:rsidR="00AF0BCC">
        <w:rPr>
          <w:rFonts w:cs="Arial"/>
          <w:sz w:val="24"/>
        </w:rPr>
        <w:t>Malinovo</w:t>
      </w:r>
      <w:r>
        <w:rPr>
          <w:rFonts w:cs="Arial"/>
          <w:sz w:val="24"/>
        </w:rPr>
        <w:t xml:space="preserve">  bola zostavená v súlade so zákonom 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:rsidR="00F90031" w:rsidRDefault="00F90031">
      <w:pPr>
        <w:pStyle w:val="odstavec"/>
      </w:pPr>
    </w:p>
    <w:p w:rsidR="00F90031" w:rsidRDefault="00F90031">
      <w:pPr>
        <w:pStyle w:val="odstavec"/>
        <w:rPr>
          <w:rFonts w:cs="Arial"/>
          <w:sz w:val="24"/>
        </w:rPr>
      </w:pPr>
    </w:p>
    <w:p w:rsidR="00F90031" w:rsidRDefault="00F90031">
      <w:pPr>
        <w:pStyle w:val="Nadpis2"/>
        <w:numPr>
          <w:ilvl w:val="1"/>
          <w:numId w:val="2"/>
        </w:numPr>
        <w:ind w:left="1506"/>
      </w:pPr>
      <w:r>
        <w:rPr>
          <w:rFonts w:ascii="Times New Roman" w:hAnsi="Times New Roman"/>
          <w:sz w:val="24"/>
          <w:szCs w:val="24"/>
        </w:rPr>
        <w:t>2.     Informácie o konsolidovanom celku</w:t>
      </w:r>
    </w:p>
    <w:p w:rsidR="00F90031" w:rsidRDefault="00F90031">
      <w:pPr>
        <w:ind w:left="284"/>
      </w:pPr>
      <w:r>
        <w:t>Konsolidovaný celok obce M</w:t>
      </w:r>
      <w:r w:rsidR="00AF0BCC">
        <w:t>alinovo</w:t>
      </w:r>
      <w:r>
        <w:t xml:space="preserve"> obsahuje tieto účtovné jednotky:</w:t>
      </w:r>
    </w:p>
    <w:p w:rsidR="00F90031" w:rsidRDefault="00F90031">
      <w:pPr>
        <w:ind w:left="284"/>
      </w:pPr>
    </w:p>
    <w:p w:rsidR="00F90031" w:rsidRDefault="00F90031">
      <w:pPr>
        <w:ind w:left="284"/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993"/>
        <w:gridCol w:w="2555"/>
        <w:gridCol w:w="2669"/>
        <w:gridCol w:w="1124"/>
        <w:gridCol w:w="1731"/>
      </w:tblGrid>
      <w:tr w:rsidR="00F90031" w:rsidTr="00AF0BCC">
        <w:tc>
          <w:tcPr>
            <w:tcW w:w="993" w:type="dxa"/>
            <w:shd w:val="clear" w:color="auto" w:fill="auto"/>
          </w:tcPr>
          <w:p w:rsidR="00F90031" w:rsidRDefault="00F90031">
            <w:pPr>
              <w:pStyle w:val="Obsahtabuky"/>
            </w:pPr>
            <w:r>
              <w:t>Por. číslo</w:t>
            </w:r>
          </w:p>
        </w:tc>
        <w:tc>
          <w:tcPr>
            <w:tcW w:w="2555" w:type="dxa"/>
            <w:shd w:val="clear" w:color="auto" w:fill="auto"/>
          </w:tcPr>
          <w:p w:rsidR="00F90031" w:rsidRDefault="00F90031">
            <w:pPr>
              <w:pStyle w:val="Obsahtabuky"/>
            </w:pPr>
            <w:r>
              <w:t>Názov účtovnej jednotky</w:t>
            </w:r>
          </w:p>
        </w:tc>
        <w:tc>
          <w:tcPr>
            <w:tcW w:w="2669" w:type="dxa"/>
            <w:shd w:val="clear" w:color="auto" w:fill="auto"/>
          </w:tcPr>
          <w:p w:rsidR="00F90031" w:rsidRDefault="00F90031">
            <w:pPr>
              <w:pStyle w:val="Obsahtabuky"/>
            </w:pPr>
            <w:r>
              <w:t>Sídlo</w:t>
            </w:r>
          </w:p>
        </w:tc>
        <w:tc>
          <w:tcPr>
            <w:tcW w:w="1124" w:type="dxa"/>
            <w:shd w:val="clear" w:color="auto" w:fill="auto"/>
          </w:tcPr>
          <w:p w:rsidR="00F90031" w:rsidRDefault="00F90031">
            <w:pPr>
              <w:pStyle w:val="Obsahtabuky"/>
            </w:pPr>
            <w:r>
              <w:t>IČO</w:t>
            </w:r>
          </w:p>
        </w:tc>
        <w:tc>
          <w:tcPr>
            <w:tcW w:w="1731" w:type="dxa"/>
            <w:shd w:val="clear" w:color="auto" w:fill="auto"/>
          </w:tcPr>
          <w:p w:rsidR="00F90031" w:rsidRDefault="00F90031">
            <w:pPr>
              <w:pStyle w:val="Obsahtabuky"/>
            </w:pPr>
            <w:r>
              <w:t>Vplyv</w:t>
            </w:r>
          </w:p>
        </w:tc>
      </w:tr>
      <w:tr w:rsidR="00F90031" w:rsidTr="00AF0BCC">
        <w:tc>
          <w:tcPr>
            <w:tcW w:w="993" w:type="dxa"/>
            <w:shd w:val="clear" w:color="auto" w:fill="auto"/>
          </w:tcPr>
          <w:p w:rsidR="00F90031" w:rsidRDefault="00F90031">
            <w:pPr>
              <w:pStyle w:val="Obsahtabuky"/>
            </w:pPr>
            <w:r>
              <w:t>1.</w:t>
            </w:r>
          </w:p>
        </w:tc>
        <w:tc>
          <w:tcPr>
            <w:tcW w:w="2555" w:type="dxa"/>
            <w:shd w:val="clear" w:color="auto" w:fill="auto"/>
          </w:tcPr>
          <w:p w:rsidR="00F90031" w:rsidRDefault="00F90031" w:rsidP="00AF0BCC">
            <w:pPr>
              <w:pStyle w:val="Obsahtabuky"/>
            </w:pPr>
            <w:r>
              <w:t>Obec M</w:t>
            </w:r>
            <w:r w:rsidR="00AF0BCC">
              <w:t>alinovo</w:t>
            </w:r>
          </w:p>
        </w:tc>
        <w:tc>
          <w:tcPr>
            <w:tcW w:w="2669" w:type="dxa"/>
            <w:shd w:val="clear" w:color="auto" w:fill="auto"/>
          </w:tcPr>
          <w:p w:rsidR="00F90031" w:rsidRDefault="00F90031" w:rsidP="00AF0BCC">
            <w:pPr>
              <w:pStyle w:val="Obsahtabuky"/>
            </w:pPr>
            <w:r>
              <w:t>M</w:t>
            </w:r>
            <w:r w:rsidR="00AF0BCC">
              <w:t>alinovo</w:t>
            </w:r>
          </w:p>
        </w:tc>
        <w:tc>
          <w:tcPr>
            <w:tcW w:w="1124" w:type="dxa"/>
            <w:shd w:val="clear" w:color="auto" w:fill="auto"/>
          </w:tcPr>
          <w:p w:rsidR="00F90031" w:rsidRDefault="00F90031" w:rsidP="00AF0BCC">
            <w:pPr>
              <w:pStyle w:val="Obsahtabuky"/>
            </w:pPr>
            <w:r>
              <w:t>0</w:t>
            </w:r>
            <w:r w:rsidR="00AF0BCC">
              <w:t>0304921</w:t>
            </w:r>
          </w:p>
        </w:tc>
        <w:tc>
          <w:tcPr>
            <w:tcW w:w="1731" w:type="dxa"/>
            <w:shd w:val="clear" w:color="auto" w:fill="auto"/>
          </w:tcPr>
          <w:p w:rsidR="00F90031" w:rsidRDefault="00F90031">
            <w:pPr>
              <w:pStyle w:val="Obsahtabuky"/>
            </w:pPr>
            <w:r>
              <w:t>Rozpočtová organizácia - zriaďovateľ</w:t>
            </w:r>
          </w:p>
        </w:tc>
      </w:tr>
      <w:tr w:rsidR="00F90031" w:rsidTr="00AF0BCC">
        <w:tc>
          <w:tcPr>
            <w:tcW w:w="993" w:type="dxa"/>
            <w:shd w:val="clear" w:color="auto" w:fill="auto"/>
          </w:tcPr>
          <w:p w:rsidR="00AF0BCC" w:rsidRDefault="00F90031">
            <w:pPr>
              <w:pStyle w:val="Obsahtabuky"/>
            </w:pPr>
            <w:r>
              <w:t>2.</w:t>
            </w:r>
          </w:p>
          <w:p w:rsidR="00AF0BCC" w:rsidRDefault="00AF0BCC">
            <w:pPr>
              <w:pStyle w:val="Obsahtabuky"/>
            </w:pPr>
          </w:p>
          <w:p w:rsidR="00AF0BCC" w:rsidRDefault="00AF0BCC">
            <w:pPr>
              <w:pStyle w:val="Obsahtabuky"/>
            </w:pPr>
          </w:p>
          <w:p w:rsidR="00AF0BCC" w:rsidRDefault="00AF0BCC">
            <w:pPr>
              <w:pStyle w:val="Obsahtabuky"/>
            </w:pPr>
            <w:r>
              <w:t xml:space="preserve">3.                  </w:t>
            </w:r>
          </w:p>
          <w:p w:rsidR="00F90031" w:rsidRDefault="00F90031" w:rsidP="00AF0BCC">
            <w:pPr>
              <w:pStyle w:val="Obsahtabuky"/>
            </w:pPr>
          </w:p>
        </w:tc>
        <w:tc>
          <w:tcPr>
            <w:tcW w:w="2555" w:type="dxa"/>
            <w:shd w:val="clear" w:color="auto" w:fill="auto"/>
          </w:tcPr>
          <w:p w:rsidR="00F90031" w:rsidRDefault="00F90031" w:rsidP="00AF0BCC">
            <w:pPr>
              <w:pStyle w:val="Obsahtabuky"/>
            </w:pPr>
            <w:r w:rsidRPr="00AF0BCC">
              <w:rPr>
                <w:b/>
              </w:rPr>
              <w:t xml:space="preserve">Základná škola </w:t>
            </w:r>
            <w:r w:rsidR="00AF0BCC" w:rsidRPr="00AF0BCC">
              <w:rPr>
                <w:b/>
              </w:rPr>
              <w:t>M</w:t>
            </w:r>
            <w:r w:rsidR="00AF0BCC">
              <w:t>alinovo</w:t>
            </w:r>
          </w:p>
          <w:p w:rsidR="00AF0BCC" w:rsidRDefault="00AF0BCC" w:rsidP="00AF0BCC">
            <w:pPr>
              <w:pStyle w:val="Obsahtabuky"/>
            </w:pPr>
          </w:p>
          <w:p w:rsidR="00AF0BCC" w:rsidRDefault="00AF0BCC" w:rsidP="00AF0BCC">
            <w:pPr>
              <w:pStyle w:val="Obsahtabuky"/>
            </w:pPr>
            <w:r>
              <w:t xml:space="preserve">Materská škola – </w:t>
            </w:r>
            <w:proofErr w:type="spellStart"/>
            <w:r>
              <w:t>Óvoda</w:t>
            </w:r>
            <w:proofErr w:type="spellEnd"/>
            <w:r>
              <w:t xml:space="preserve">                                       Malinovo</w:t>
            </w:r>
          </w:p>
          <w:p w:rsidR="00AF0BCC" w:rsidRDefault="00AF0BCC" w:rsidP="00AF0BCC">
            <w:pPr>
              <w:pStyle w:val="Obsahtabuky"/>
            </w:pPr>
          </w:p>
          <w:p w:rsidR="00AF0BCC" w:rsidRDefault="00AF0BCC" w:rsidP="00AF0BCC">
            <w:pPr>
              <w:pStyle w:val="Obsahtabuky"/>
            </w:pPr>
          </w:p>
        </w:tc>
        <w:tc>
          <w:tcPr>
            <w:tcW w:w="2669" w:type="dxa"/>
            <w:shd w:val="clear" w:color="auto" w:fill="auto"/>
          </w:tcPr>
          <w:p w:rsidR="00F90031" w:rsidRDefault="00F90031" w:rsidP="00AF0BCC">
            <w:pPr>
              <w:pStyle w:val="Obsahtabuky"/>
            </w:pPr>
            <w:r>
              <w:t>M</w:t>
            </w:r>
            <w:r w:rsidR="00AF0BCC">
              <w:t>alinovo, Školská 11</w:t>
            </w:r>
          </w:p>
          <w:p w:rsidR="00AF0BCC" w:rsidRDefault="00AF0BCC" w:rsidP="00AF0BCC">
            <w:pPr>
              <w:pStyle w:val="Obsahtabuky"/>
            </w:pPr>
          </w:p>
          <w:p w:rsidR="00AF0BCC" w:rsidRDefault="00AF0BCC" w:rsidP="00AF0BCC">
            <w:pPr>
              <w:pStyle w:val="Obsahtabuky"/>
            </w:pPr>
          </w:p>
          <w:p w:rsidR="00AF0BCC" w:rsidRDefault="00AF0BCC" w:rsidP="00AF0BCC">
            <w:pPr>
              <w:pStyle w:val="Obsahtabuky"/>
            </w:pPr>
            <w:proofErr w:type="spellStart"/>
            <w:r>
              <w:t>L.Svobodu</w:t>
            </w:r>
            <w:proofErr w:type="spellEnd"/>
            <w:r>
              <w:t xml:space="preserve"> 22 </w:t>
            </w:r>
          </w:p>
        </w:tc>
        <w:tc>
          <w:tcPr>
            <w:tcW w:w="1124" w:type="dxa"/>
            <w:shd w:val="clear" w:color="auto" w:fill="auto"/>
          </w:tcPr>
          <w:p w:rsidR="00F90031" w:rsidRDefault="00AF0BCC" w:rsidP="00AF0BCC">
            <w:pPr>
              <w:pStyle w:val="Obsahtabuky"/>
            </w:pPr>
            <w:r>
              <w:t>42356831</w:t>
            </w:r>
          </w:p>
          <w:p w:rsidR="00AF0BCC" w:rsidRDefault="00AF0BCC" w:rsidP="00AF0BCC">
            <w:pPr>
              <w:pStyle w:val="Obsahtabuky"/>
            </w:pPr>
          </w:p>
          <w:p w:rsidR="00AF0BCC" w:rsidRDefault="00AF0BCC" w:rsidP="00AF0BCC">
            <w:pPr>
              <w:pStyle w:val="Obsahtabuky"/>
            </w:pPr>
          </w:p>
          <w:p w:rsidR="00AF0BCC" w:rsidRDefault="00AF0BCC" w:rsidP="00AF0BCC">
            <w:pPr>
              <w:pStyle w:val="Obsahtabuky"/>
            </w:pPr>
            <w:r>
              <w:t>48412741</w:t>
            </w:r>
          </w:p>
        </w:tc>
        <w:tc>
          <w:tcPr>
            <w:tcW w:w="1731" w:type="dxa"/>
            <w:shd w:val="clear" w:color="auto" w:fill="auto"/>
          </w:tcPr>
          <w:p w:rsidR="00F90031" w:rsidRDefault="00F90031">
            <w:pPr>
              <w:pStyle w:val="Obsahtabuky"/>
            </w:pPr>
            <w:r>
              <w:t>Rozpočtová organizácia obce</w:t>
            </w:r>
          </w:p>
          <w:p w:rsidR="00AF0BCC" w:rsidRDefault="00AF0BCC" w:rsidP="00AF0BCC">
            <w:pPr>
              <w:pStyle w:val="Obsahtabuky"/>
            </w:pPr>
          </w:p>
          <w:p w:rsidR="00AF0BCC" w:rsidRDefault="00AF0BCC" w:rsidP="00AF0BCC">
            <w:pPr>
              <w:pStyle w:val="Obsahtabuky"/>
            </w:pPr>
            <w:r>
              <w:t>Rozpočtová organizácia obce</w:t>
            </w:r>
          </w:p>
          <w:p w:rsidR="00AF0BCC" w:rsidRDefault="00AF0BCC" w:rsidP="00AF0BCC">
            <w:pPr>
              <w:pStyle w:val="Obsahtabuky"/>
            </w:pPr>
          </w:p>
          <w:p w:rsidR="00AF0BCC" w:rsidRDefault="00AF0BCC">
            <w:pPr>
              <w:pStyle w:val="Obsahtabuky"/>
            </w:pPr>
          </w:p>
          <w:p w:rsidR="00AF0BCC" w:rsidRDefault="00AF0BCC">
            <w:pPr>
              <w:pStyle w:val="Obsahtabuky"/>
            </w:pPr>
          </w:p>
        </w:tc>
      </w:tr>
      <w:tr w:rsidR="00F90031" w:rsidTr="00AF0BCC">
        <w:tc>
          <w:tcPr>
            <w:tcW w:w="993" w:type="dxa"/>
            <w:shd w:val="clear" w:color="auto" w:fill="auto"/>
          </w:tcPr>
          <w:p w:rsidR="00F90031" w:rsidRDefault="00AF0BCC">
            <w:pPr>
              <w:pStyle w:val="Obsahtabuky"/>
            </w:pPr>
            <w:r>
              <w:t>4.</w:t>
            </w:r>
          </w:p>
        </w:tc>
        <w:tc>
          <w:tcPr>
            <w:tcW w:w="2555" w:type="dxa"/>
            <w:shd w:val="clear" w:color="auto" w:fill="auto"/>
          </w:tcPr>
          <w:p w:rsidR="00F90031" w:rsidRDefault="00F90031">
            <w:pPr>
              <w:pStyle w:val="Obsahtabuky"/>
            </w:pPr>
            <w:r>
              <w:t>Kanalizácia M &amp; M</w:t>
            </w:r>
          </w:p>
        </w:tc>
        <w:tc>
          <w:tcPr>
            <w:tcW w:w="2669" w:type="dxa"/>
            <w:shd w:val="clear" w:color="auto" w:fill="auto"/>
          </w:tcPr>
          <w:p w:rsidR="00F90031" w:rsidRDefault="00F90031">
            <w:pPr>
              <w:pStyle w:val="Obsahtabuky"/>
            </w:pPr>
            <w:r>
              <w:t>Most pri Bratislave 96</w:t>
            </w:r>
          </w:p>
        </w:tc>
        <w:tc>
          <w:tcPr>
            <w:tcW w:w="1124" w:type="dxa"/>
            <w:shd w:val="clear" w:color="auto" w:fill="auto"/>
          </w:tcPr>
          <w:p w:rsidR="00F90031" w:rsidRDefault="00F90031">
            <w:pPr>
              <w:pStyle w:val="Obsahtabuky"/>
            </w:pPr>
            <w:r>
              <w:t>35776498</w:t>
            </w:r>
          </w:p>
        </w:tc>
        <w:tc>
          <w:tcPr>
            <w:tcW w:w="1731" w:type="dxa"/>
            <w:shd w:val="clear" w:color="auto" w:fill="auto"/>
          </w:tcPr>
          <w:p w:rsidR="00AF0BCC" w:rsidRDefault="00F90031">
            <w:pPr>
              <w:pStyle w:val="Obsahtabuky"/>
            </w:pPr>
            <w:r>
              <w:t xml:space="preserve">Spoločnosť s </w:t>
            </w:r>
          </w:p>
          <w:p w:rsidR="00F90031" w:rsidRDefault="00F90031">
            <w:pPr>
              <w:pStyle w:val="Obsahtabuky"/>
            </w:pPr>
            <w:r>
              <w:t>ručením obmedzeným</w:t>
            </w:r>
          </w:p>
        </w:tc>
      </w:tr>
    </w:tbl>
    <w:p w:rsidR="00F90031" w:rsidRDefault="00F90031">
      <w:pPr>
        <w:ind w:left="284"/>
      </w:pPr>
    </w:p>
    <w:p w:rsidR="00F90031" w:rsidRDefault="00F90031">
      <w:pPr>
        <w:ind w:left="284"/>
      </w:pPr>
    </w:p>
    <w:p w:rsidR="00F90031" w:rsidRDefault="00F90031">
      <w:pPr>
        <w:ind w:left="285"/>
        <w:rPr>
          <w:rFonts w:cs="Arial"/>
        </w:rPr>
      </w:pPr>
    </w:p>
    <w:p w:rsidR="00F90031" w:rsidRDefault="00F90031">
      <w:pPr>
        <w:pStyle w:val="odstavec"/>
        <w:rPr>
          <w:rFonts w:cs="Arial"/>
        </w:rPr>
      </w:pPr>
    </w:p>
    <w:p w:rsidR="00F90031" w:rsidRDefault="00F90031">
      <w:pPr>
        <w:pStyle w:val="Nadpis2"/>
        <w:numPr>
          <w:ilvl w:val="1"/>
          <w:numId w:val="2"/>
        </w:numPr>
        <w:ind w:left="150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3.</w:t>
      </w:r>
      <w:r>
        <w:rPr>
          <w:rFonts w:ascii="Times New Roman" w:hAnsi="Times New Roman"/>
          <w:sz w:val="24"/>
          <w:szCs w:val="24"/>
        </w:rPr>
        <w:tab/>
        <w:t xml:space="preserve"> Informácie o organizačnej  štruktúre konsolidujúcej   </w:t>
      </w:r>
    </w:p>
    <w:p w:rsidR="00F90031" w:rsidRDefault="00F90031">
      <w:pPr>
        <w:pStyle w:val="Nadpis2"/>
        <w:numPr>
          <w:ilvl w:val="1"/>
          <w:numId w:val="2"/>
        </w:numPr>
        <w:ind w:left="1506"/>
      </w:pPr>
      <w:r>
        <w:rPr>
          <w:rFonts w:ascii="Times New Roman" w:hAnsi="Times New Roman"/>
          <w:sz w:val="24"/>
          <w:szCs w:val="24"/>
        </w:rPr>
        <w:t xml:space="preserve">        účtovnej jednotky</w:t>
      </w:r>
    </w:p>
    <w:p w:rsidR="00F90031" w:rsidRDefault="00F90031">
      <w:pPr>
        <w:rPr>
          <w:rFonts w:cs="Arial"/>
        </w:rPr>
      </w:pPr>
    </w:p>
    <w:p w:rsidR="00AF0BCC" w:rsidRDefault="00F90031">
      <w:pPr>
        <w:pStyle w:val="odstavec"/>
        <w:rPr>
          <w:rFonts w:cs="Arial"/>
          <w:sz w:val="24"/>
        </w:rPr>
      </w:pPr>
      <w:r>
        <w:rPr>
          <w:rFonts w:cs="Arial"/>
          <w:sz w:val="24"/>
        </w:rPr>
        <w:t>Konsolidovaný celok mal v roku 2015 priemerne 5</w:t>
      </w:r>
      <w:r w:rsidR="00AF0BCC">
        <w:rPr>
          <w:rFonts w:cs="Arial"/>
          <w:sz w:val="24"/>
        </w:rPr>
        <w:t>7</w:t>
      </w:r>
      <w:r>
        <w:rPr>
          <w:rFonts w:cs="Arial"/>
          <w:sz w:val="24"/>
        </w:rPr>
        <w:t xml:space="preserve"> zamestnancov, </w:t>
      </w:r>
    </w:p>
    <w:p w:rsidR="00F90031" w:rsidRDefault="00AF0BCC">
      <w:pPr>
        <w:pStyle w:val="odstavec"/>
      </w:pPr>
      <w:r>
        <w:rPr>
          <w:rFonts w:cs="Arial"/>
          <w:sz w:val="24"/>
        </w:rPr>
        <w:t>z toho riadiacich pracovníkov 4</w:t>
      </w:r>
      <w:r w:rsidR="00F90031">
        <w:rPr>
          <w:rFonts w:cs="Arial"/>
          <w:sz w:val="24"/>
        </w:rPr>
        <w:t xml:space="preserve">. </w:t>
      </w:r>
    </w:p>
    <w:p w:rsidR="00F90031" w:rsidRDefault="00F90031">
      <w:pPr>
        <w:pStyle w:val="odstavec"/>
      </w:pPr>
    </w:p>
    <w:p w:rsidR="00F90031" w:rsidRDefault="00F90031"/>
    <w:p w:rsidR="00F90031" w:rsidRDefault="00F90031">
      <w:pPr>
        <w:pStyle w:val="Nadpis2"/>
        <w:numPr>
          <w:ilvl w:val="1"/>
          <w:numId w:val="2"/>
        </w:numPr>
        <w:ind w:left="150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     Informácie o účtovných zásadách a účtovných metódach</w:t>
      </w:r>
    </w:p>
    <w:p w:rsidR="00F90031" w:rsidRDefault="00F90031">
      <w:pPr>
        <w:pStyle w:val="abc"/>
        <w:rPr>
          <w:rFonts w:cs="Arial"/>
          <w:sz w:val="24"/>
        </w:rPr>
      </w:pPr>
      <w:r>
        <w:rPr>
          <w:rFonts w:ascii="Times New Roman" w:hAnsi="Times New Roman"/>
          <w:sz w:val="24"/>
          <w:szCs w:val="24"/>
        </w:rPr>
        <w:t>Dlhodobý nehmotný a dlhodobý hmotný majetok</w:t>
      </w:r>
    </w:p>
    <w:p w:rsidR="00F90031" w:rsidRDefault="00F90031">
      <w:pPr>
        <w:pStyle w:val="odstavec"/>
        <w:rPr>
          <w:rFonts w:cs="Arial"/>
          <w:sz w:val="24"/>
        </w:rPr>
      </w:pPr>
      <w:r>
        <w:rPr>
          <w:rFonts w:cs="Arial"/>
          <w:sz w:val="24"/>
        </w:rPr>
        <w:t>Dlhodobý majetok obstaraný kúpou sa oceňuje obstarávacou cenou, ktorá zahrňuje cenu obstarania a náklady súvisiace s obstaraním (clo, prepravu, montáž, poistné a pod.). Súčasťou obstarávacej ceny dlhodobého hmotného a nehmotného majetku  nie sú/sú  úroky z úverov (podľa rozhodnutia účtovnej jednotky). Zľava z ceny, ktorú poskytol dodávateľ k majetku sa účtuje ako zníženie nákladov na predaný alebo spotrebovaný majetok.</w:t>
      </w:r>
    </w:p>
    <w:p w:rsidR="00F90031" w:rsidRDefault="00F90031">
      <w:pPr>
        <w:pStyle w:val="odstavec"/>
        <w:rPr>
          <w:rFonts w:cs="Arial"/>
          <w:sz w:val="24"/>
        </w:rPr>
      </w:pPr>
      <w:r>
        <w:rPr>
          <w:rFonts w:cs="Arial"/>
          <w:sz w:val="24"/>
        </w:rPr>
        <w:t xml:space="preserve">Hodnota obstarávaného dlhodobého hmotného majetku, ktorý sa používa, sa trvalo zníži o oprávky, ktoré zodpovedajú výške opotrebenia majetku. </w:t>
      </w:r>
    </w:p>
    <w:p w:rsidR="00F90031" w:rsidRDefault="00F90031">
      <w:pPr>
        <w:pStyle w:val="odstavec"/>
        <w:rPr>
          <w:rFonts w:cs="Arial"/>
          <w:sz w:val="24"/>
        </w:rPr>
      </w:pPr>
      <w:r>
        <w:rPr>
          <w:rFonts w:cs="Arial"/>
          <w:sz w:val="24"/>
        </w:rPr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:rsidR="00F90031" w:rsidRDefault="00F90031">
      <w:pPr>
        <w:pStyle w:val="odstavec"/>
        <w:rPr>
          <w:rFonts w:cs="Arial"/>
          <w:sz w:val="24"/>
        </w:rPr>
      </w:pPr>
    </w:p>
    <w:p w:rsidR="00F90031" w:rsidRDefault="00F90031">
      <w:pPr>
        <w:pStyle w:val="odstavec"/>
        <w:ind w:left="0"/>
        <w:rPr>
          <w:sz w:val="24"/>
        </w:rPr>
      </w:pPr>
      <w:r>
        <w:rPr>
          <w:rFonts w:cs="Arial"/>
          <w:sz w:val="24"/>
        </w:rPr>
        <w:tab/>
      </w:r>
      <w:r>
        <w:rPr>
          <w:rFonts w:cs="Arial"/>
          <w:sz w:val="24"/>
        </w:rPr>
        <w:tab/>
      </w:r>
    </w:p>
    <w:p w:rsidR="00F90031" w:rsidRDefault="00F90031">
      <w:pPr>
        <w:pStyle w:val="abc"/>
        <w:rPr>
          <w:rFonts w:cs="Arial"/>
          <w:sz w:val="24"/>
        </w:rPr>
      </w:pPr>
      <w:r>
        <w:rPr>
          <w:rFonts w:ascii="Times New Roman" w:hAnsi="Times New Roman"/>
          <w:sz w:val="24"/>
          <w:szCs w:val="24"/>
        </w:rPr>
        <w:t>Dlhodobý finančný majetok</w:t>
      </w:r>
    </w:p>
    <w:p w:rsidR="00F90031" w:rsidRDefault="00F90031">
      <w:pPr>
        <w:pStyle w:val="odstavec"/>
        <w:rPr>
          <w:rFonts w:cs="Arial"/>
          <w:sz w:val="24"/>
        </w:rPr>
      </w:pPr>
      <w:r>
        <w:rPr>
          <w:rFonts w:cs="Arial"/>
          <w:sz w:val="24"/>
        </w:rPr>
        <w:t xml:space="preserve">Finančné investície, cenné papiere a majetkové účasti sa oceňujú obstarávacou cenou, vrátane nákladov súvisiacich s obstaraním (provízie maklérom, poplatky burze). </w:t>
      </w:r>
    </w:p>
    <w:p w:rsidR="00F90031" w:rsidRDefault="00F90031">
      <w:pPr>
        <w:pStyle w:val="odstavec"/>
        <w:rPr>
          <w:rFonts w:cs="Arial"/>
          <w:sz w:val="24"/>
        </w:rPr>
      </w:pPr>
    </w:p>
    <w:p w:rsidR="00F90031" w:rsidRDefault="00F90031">
      <w:pPr>
        <w:pStyle w:val="abc"/>
        <w:rPr>
          <w:rFonts w:cs="Arial"/>
          <w:sz w:val="24"/>
        </w:rPr>
      </w:pPr>
      <w:r>
        <w:rPr>
          <w:rFonts w:ascii="Times New Roman" w:hAnsi="Times New Roman"/>
          <w:sz w:val="24"/>
          <w:szCs w:val="24"/>
        </w:rPr>
        <w:t>Pohľadávky</w:t>
      </w:r>
    </w:p>
    <w:p w:rsidR="00F90031" w:rsidRDefault="00F90031">
      <w:pPr>
        <w:pStyle w:val="odstavec"/>
        <w:rPr>
          <w:rFonts w:cs="Arial"/>
          <w:sz w:val="24"/>
        </w:rPr>
      </w:pPr>
      <w:r>
        <w:rPr>
          <w:rFonts w:cs="Arial"/>
          <w:sz w:val="24"/>
        </w:rPr>
        <w:t>Pohľadávky pri ich vzniku sa oceňujú menovitou hodnotou. Pohľadávky pri odplatnom nadobudnutí alebo pohľadávky nadobudnuté vkladom do základného imania sa oceňujú obstarávacou cenou, t.j. vrátane nákladov súvisiacich s obstaraním.</w:t>
      </w:r>
    </w:p>
    <w:p w:rsidR="00F90031" w:rsidRDefault="00F90031">
      <w:pPr>
        <w:pStyle w:val="odstavec"/>
        <w:rPr>
          <w:sz w:val="24"/>
        </w:rPr>
      </w:pPr>
    </w:p>
    <w:p w:rsidR="00F90031" w:rsidRDefault="00F90031">
      <w:pPr>
        <w:pStyle w:val="abc"/>
        <w:rPr>
          <w:rFonts w:cs="Arial"/>
          <w:sz w:val="24"/>
        </w:rPr>
      </w:pPr>
      <w:r>
        <w:rPr>
          <w:rFonts w:ascii="Times New Roman" w:hAnsi="Times New Roman"/>
          <w:sz w:val="24"/>
          <w:szCs w:val="24"/>
        </w:rPr>
        <w:t>Finančné účty</w:t>
      </w:r>
    </w:p>
    <w:p w:rsidR="00F90031" w:rsidRDefault="00F90031">
      <w:pPr>
        <w:pStyle w:val="odstavec"/>
        <w:rPr>
          <w:rFonts w:cs="Arial"/>
          <w:sz w:val="24"/>
        </w:rPr>
      </w:pPr>
      <w:r>
        <w:rPr>
          <w:rFonts w:cs="Arial"/>
          <w:sz w:val="24"/>
        </w:rPr>
        <w:t>Peňažné prostriedky a ceniny sa oceňujú menovitou hodnotou.</w:t>
      </w:r>
    </w:p>
    <w:p w:rsidR="00F90031" w:rsidRDefault="00F90031">
      <w:pPr>
        <w:pStyle w:val="odstavec"/>
        <w:rPr>
          <w:rFonts w:cs="Arial"/>
          <w:sz w:val="24"/>
        </w:rPr>
      </w:pPr>
    </w:p>
    <w:p w:rsidR="00F90031" w:rsidRDefault="00F90031">
      <w:pPr>
        <w:pStyle w:val="abc"/>
        <w:rPr>
          <w:rFonts w:cs="Arial"/>
          <w:sz w:val="24"/>
        </w:rPr>
      </w:pPr>
      <w:r>
        <w:rPr>
          <w:rFonts w:ascii="Times New Roman" w:hAnsi="Times New Roman"/>
          <w:sz w:val="24"/>
          <w:szCs w:val="24"/>
        </w:rPr>
        <w:t>Náklady budúcich období a príjmy budúcich období</w:t>
      </w:r>
    </w:p>
    <w:p w:rsidR="00F90031" w:rsidRDefault="00F90031">
      <w:pPr>
        <w:pStyle w:val="odstavec"/>
        <w:rPr>
          <w:rFonts w:cs="Arial"/>
          <w:sz w:val="24"/>
        </w:rPr>
      </w:pPr>
      <w:r>
        <w:rPr>
          <w:rFonts w:cs="Arial"/>
          <w:sz w:val="24"/>
        </w:rPr>
        <w:t>Náklady budúcich období a príjmy budúcich období sú vykázané vo výške, ktorá je potrebná na dodržanie zásady vecnej a časovej súvislosti s účtovným obdobím.</w:t>
      </w:r>
    </w:p>
    <w:p w:rsidR="00F90031" w:rsidRDefault="00F90031">
      <w:pPr>
        <w:pStyle w:val="odstavec"/>
        <w:rPr>
          <w:rFonts w:cs="Arial"/>
          <w:sz w:val="24"/>
        </w:rPr>
      </w:pPr>
    </w:p>
    <w:p w:rsidR="00F90031" w:rsidRDefault="00F90031">
      <w:pPr>
        <w:pStyle w:val="abc"/>
        <w:rPr>
          <w:rFonts w:cs="Arial"/>
          <w:sz w:val="24"/>
        </w:rPr>
      </w:pPr>
      <w:r>
        <w:rPr>
          <w:rFonts w:ascii="Times New Roman" w:hAnsi="Times New Roman"/>
          <w:sz w:val="24"/>
          <w:szCs w:val="24"/>
        </w:rPr>
        <w:t>Rezervy</w:t>
      </w:r>
    </w:p>
    <w:p w:rsidR="00F90031" w:rsidRDefault="00F90031">
      <w:pPr>
        <w:pStyle w:val="odstavec"/>
        <w:rPr>
          <w:rFonts w:cs="Arial"/>
          <w:sz w:val="24"/>
        </w:rPr>
      </w:pPr>
      <w:r>
        <w:rPr>
          <w:rFonts w:cs="Arial"/>
          <w:sz w:val="24"/>
        </w:rPr>
        <w:t xml:space="preserve">Rezervy sú záväzky s neurčitým časovým vymedzením alebo výškou a oceňujú sa v očakávanej výške záväzku. V účtovnej závierke sa tvorili rezervy najmä na nevyfakturované dodávky a služby. </w:t>
      </w:r>
    </w:p>
    <w:p w:rsidR="00F90031" w:rsidRDefault="00F90031">
      <w:pPr>
        <w:pStyle w:val="odstavec"/>
        <w:rPr>
          <w:rFonts w:cs="Arial"/>
          <w:sz w:val="24"/>
        </w:rPr>
      </w:pPr>
    </w:p>
    <w:p w:rsidR="000C20C0" w:rsidRDefault="000C20C0">
      <w:pPr>
        <w:pStyle w:val="abc"/>
        <w:rPr>
          <w:rFonts w:ascii="Times New Roman" w:hAnsi="Times New Roman"/>
          <w:sz w:val="24"/>
          <w:szCs w:val="24"/>
        </w:rPr>
      </w:pPr>
    </w:p>
    <w:p w:rsidR="000C20C0" w:rsidRDefault="000C20C0">
      <w:pPr>
        <w:pStyle w:val="abc"/>
        <w:rPr>
          <w:rFonts w:ascii="Times New Roman" w:hAnsi="Times New Roman"/>
          <w:sz w:val="24"/>
          <w:szCs w:val="24"/>
        </w:rPr>
      </w:pPr>
    </w:p>
    <w:p w:rsidR="00F90031" w:rsidRDefault="00F90031">
      <w:pPr>
        <w:pStyle w:val="abc"/>
        <w:rPr>
          <w:rFonts w:cs="Arial"/>
          <w:sz w:val="24"/>
        </w:rPr>
      </w:pPr>
      <w:r>
        <w:rPr>
          <w:rFonts w:ascii="Times New Roman" w:hAnsi="Times New Roman"/>
          <w:sz w:val="24"/>
          <w:szCs w:val="24"/>
        </w:rPr>
        <w:lastRenderedPageBreak/>
        <w:t>Záväzky</w:t>
      </w:r>
    </w:p>
    <w:p w:rsidR="00F90031" w:rsidRDefault="00F90031">
      <w:pPr>
        <w:pStyle w:val="odstavec"/>
        <w:rPr>
          <w:rFonts w:cs="Arial"/>
          <w:sz w:val="24"/>
        </w:rPr>
      </w:pPr>
      <w:r>
        <w:rPr>
          <w:rFonts w:cs="Arial"/>
          <w:sz w:val="24"/>
        </w:rPr>
        <w:t xml:space="preserve">Záväzky sa pri ich vzniku oceňujú menovitou hodnotou a pri ich prevzatí sa oceňujú obstarávacou cenou. </w:t>
      </w:r>
    </w:p>
    <w:p w:rsidR="00F90031" w:rsidRDefault="00F90031">
      <w:pPr>
        <w:pStyle w:val="odstavec"/>
        <w:rPr>
          <w:rFonts w:cs="Arial"/>
          <w:sz w:val="24"/>
        </w:rPr>
      </w:pPr>
      <w:r>
        <w:rPr>
          <w:rFonts w:cs="Arial"/>
          <w:sz w:val="24"/>
        </w:rPr>
        <w:t>Ak sa pri inventarizácii zistí, že suma záväzkov je iná ako ich výška v účtovníctve, uvedú sa záväzky v účtovníctve a v účtovnej závierke v tomto zistenom ocenení.</w:t>
      </w:r>
    </w:p>
    <w:p w:rsidR="00F90031" w:rsidRDefault="00F90031">
      <w:pPr>
        <w:pStyle w:val="odstavec"/>
        <w:rPr>
          <w:rFonts w:cs="Arial"/>
          <w:sz w:val="24"/>
        </w:rPr>
      </w:pPr>
    </w:p>
    <w:p w:rsidR="00F90031" w:rsidRDefault="00F90031">
      <w:pPr>
        <w:pStyle w:val="odstavec"/>
        <w:rPr>
          <w:rFonts w:cs="Arial"/>
          <w:sz w:val="24"/>
        </w:rPr>
      </w:pPr>
    </w:p>
    <w:p w:rsidR="00F90031" w:rsidRDefault="00F90031">
      <w:pPr>
        <w:pStyle w:val="Nadpis1"/>
        <w:numPr>
          <w:ilvl w:val="0"/>
          <w:numId w:val="2"/>
        </w:numPr>
        <w:ind w:left="706"/>
      </w:pPr>
      <w:r>
        <w:rPr>
          <w:rFonts w:ascii="Times New Roman" w:hAnsi="Times New Roman"/>
          <w:sz w:val="24"/>
          <w:szCs w:val="24"/>
        </w:rPr>
        <w:t>II.    INFORMÁCIE O METÓDACH A POSTUPOCH KONSOLIDÁCIE</w:t>
      </w:r>
    </w:p>
    <w:p w:rsidR="00F90031" w:rsidRDefault="00F90031">
      <w:pPr>
        <w:numPr>
          <w:ilvl w:val="0"/>
          <w:numId w:val="3"/>
        </w:numPr>
        <w:spacing w:line="360" w:lineRule="auto"/>
        <w:ind w:left="426" w:hanging="426"/>
        <w:rPr>
          <w:color w:val="0070C0"/>
        </w:rPr>
      </w:pPr>
      <w:r>
        <w:t>Informácie o použitých metódach konsolidácie</w:t>
      </w:r>
    </w:p>
    <w:p w:rsidR="00F90031" w:rsidRDefault="00F90031">
      <w:pPr>
        <w:ind w:left="425"/>
        <w:rPr>
          <w:color w:val="0070C0"/>
        </w:rPr>
      </w:pPr>
    </w:p>
    <w:p w:rsidR="000C20C0" w:rsidRDefault="00F90031">
      <w:pPr>
        <w:spacing w:line="360" w:lineRule="auto"/>
        <w:ind w:left="426"/>
      </w:pPr>
      <w:r>
        <w:t xml:space="preserve">Metóda úplnej konsolidácie bola použitá pri  účtovnej jednotke:    Základná škola </w:t>
      </w:r>
      <w:r w:rsidR="000C20C0">
        <w:t>a</w:t>
      </w:r>
    </w:p>
    <w:p w:rsidR="00F90031" w:rsidRDefault="000C20C0">
      <w:pPr>
        <w:spacing w:line="360" w:lineRule="auto"/>
        <w:ind w:left="426"/>
      </w:pPr>
      <w:r>
        <w:t>Maters</w:t>
      </w:r>
      <w:r w:rsidR="00AF0BCC">
        <w:t xml:space="preserve">ká škola – </w:t>
      </w:r>
      <w:proofErr w:type="spellStart"/>
      <w:r w:rsidR="00AF0BCC">
        <w:t>Óvoda</w:t>
      </w:r>
      <w:proofErr w:type="spellEnd"/>
      <w:r w:rsidR="00AF0BCC">
        <w:t xml:space="preserve"> .</w:t>
      </w:r>
    </w:p>
    <w:p w:rsidR="00F90031" w:rsidRDefault="00F90031">
      <w:pPr>
        <w:spacing w:line="360" w:lineRule="auto"/>
        <w:ind w:left="426"/>
      </w:pPr>
      <w:r>
        <w:t>Metóda podielovej konsolidácie bola použitá pri účtovnej jednotke: Kanalizácia M &amp; M</w:t>
      </w:r>
    </w:p>
    <w:p w:rsidR="00F90031" w:rsidRDefault="00F90031">
      <w:pPr>
        <w:spacing w:line="360" w:lineRule="auto"/>
        <w:ind w:left="426"/>
      </w:pPr>
    </w:p>
    <w:p w:rsidR="00F90031" w:rsidRDefault="00F90031">
      <w:pPr>
        <w:pStyle w:val="Nadpis1"/>
        <w:numPr>
          <w:ilvl w:val="0"/>
          <w:numId w:val="2"/>
        </w:numPr>
        <w:ind w:left="70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III.    INFORMÁCIE O ÚDAJOCH NA STRANE AKTÍV A PASÍV SÚVAHY</w:t>
      </w:r>
    </w:p>
    <w:p w:rsidR="00F90031" w:rsidRDefault="00F90031">
      <w:pPr>
        <w:pStyle w:val="Nadpis2"/>
        <w:numPr>
          <w:ilvl w:val="1"/>
          <w:numId w:val="2"/>
        </w:numPr>
        <w:ind w:left="1506"/>
        <w:rPr>
          <w:sz w:val="24"/>
        </w:rPr>
      </w:pPr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z w:val="24"/>
          <w:szCs w:val="24"/>
        </w:rPr>
        <w:tab/>
        <w:t xml:space="preserve">Dlhodobý majetok </w:t>
      </w:r>
    </w:p>
    <w:p w:rsidR="00F90031" w:rsidRDefault="00F90031">
      <w:pPr>
        <w:pStyle w:val="odstavec"/>
        <w:rPr>
          <w:sz w:val="24"/>
        </w:rPr>
      </w:pPr>
      <w:r>
        <w:rPr>
          <w:rFonts w:cs="Arial"/>
          <w:sz w:val="24"/>
        </w:rPr>
        <w:t xml:space="preserve">Prehľad o pohybe dlhodobého nehmotného a dlhodobého hmotného majetku od 1. januára 2015 do 31. decembra 2015 je uvedený  v tabuľkovej prílohe č. 2 konsolidovaných poznámok. </w:t>
      </w:r>
    </w:p>
    <w:p w:rsidR="00F90031" w:rsidRDefault="00F90031">
      <w:pPr>
        <w:pStyle w:val="Nadpis2"/>
        <w:numPr>
          <w:ilvl w:val="1"/>
          <w:numId w:val="2"/>
        </w:numPr>
        <w:ind w:left="1506"/>
        <w:rPr>
          <w:sz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z w:val="24"/>
          <w:szCs w:val="24"/>
        </w:rPr>
        <w:tab/>
        <w:t>Pohľadávky</w:t>
      </w:r>
    </w:p>
    <w:p w:rsidR="00F90031" w:rsidRDefault="00F90031">
      <w:pPr>
        <w:pStyle w:val="odstavec"/>
        <w:rPr>
          <w:sz w:val="24"/>
        </w:rPr>
      </w:pPr>
      <w:bookmarkStart w:id="3" w:name="Bookmark"/>
      <w:bookmarkStart w:id="4" w:name="OLE_LINK4"/>
      <w:bookmarkEnd w:id="3"/>
      <w:bookmarkEnd w:id="4"/>
      <w:r>
        <w:rPr>
          <w:rFonts w:cs="Arial"/>
          <w:sz w:val="24"/>
        </w:rPr>
        <w:t xml:space="preserve">Prehľad  z hľadiska ich vekovej štruktúry a z hľadiska splatnosti je uvedený v tabuľkovej prílohe č. 9 konsolidovaných poznámok. </w:t>
      </w:r>
    </w:p>
    <w:p w:rsidR="00F90031" w:rsidRDefault="00F90031">
      <w:pPr>
        <w:pStyle w:val="Nadpis2"/>
        <w:numPr>
          <w:ilvl w:val="1"/>
          <w:numId w:val="2"/>
        </w:numPr>
        <w:ind w:left="1506"/>
        <w:rPr>
          <w:sz w:val="24"/>
        </w:rPr>
      </w:pP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z w:val="24"/>
          <w:szCs w:val="24"/>
        </w:rPr>
        <w:tab/>
        <w:t>Vlastné imanie</w:t>
      </w:r>
    </w:p>
    <w:p w:rsidR="00F90031" w:rsidRDefault="00F90031">
      <w:pPr>
        <w:pStyle w:val="odstavec"/>
        <w:rPr>
          <w:sz w:val="24"/>
        </w:rPr>
      </w:pPr>
      <w:r>
        <w:rPr>
          <w:rFonts w:cs="Arial"/>
          <w:sz w:val="24"/>
        </w:rPr>
        <w:t>Prehľad o pohybe vlastného imania konsolidovaného celku od 1. januára 2015 do 31. decembra 2015 je uvedený v tabuľkovej prílohe č. 12 konsolidovaných poznámok.</w:t>
      </w:r>
    </w:p>
    <w:p w:rsidR="00F90031" w:rsidRDefault="00F90031">
      <w:pPr>
        <w:pStyle w:val="Nadpis2"/>
        <w:numPr>
          <w:ilvl w:val="1"/>
          <w:numId w:val="2"/>
        </w:numPr>
        <w:ind w:left="1506"/>
        <w:rPr>
          <w:sz w:val="24"/>
        </w:rPr>
      </w:pPr>
      <w:r>
        <w:rPr>
          <w:rFonts w:ascii="Times New Roman" w:hAnsi="Times New Roman"/>
          <w:sz w:val="24"/>
          <w:szCs w:val="24"/>
        </w:rPr>
        <w:t>4.</w:t>
      </w:r>
      <w:r>
        <w:rPr>
          <w:rFonts w:ascii="Times New Roman" w:hAnsi="Times New Roman"/>
          <w:sz w:val="24"/>
          <w:szCs w:val="24"/>
        </w:rPr>
        <w:tab/>
        <w:t>Rezervy</w:t>
      </w:r>
    </w:p>
    <w:p w:rsidR="00F90031" w:rsidRDefault="00F90031">
      <w:pPr>
        <w:pStyle w:val="odstavec"/>
        <w:rPr>
          <w:rFonts w:cs="Arial"/>
        </w:rPr>
      </w:pPr>
      <w:r>
        <w:rPr>
          <w:rFonts w:cs="Arial"/>
          <w:sz w:val="24"/>
        </w:rPr>
        <w:t>Prehľad rezerv konsolidovaného celku v členení na zákonné a ostatné, dlhodobé a krátkodobé od 1. januára 2015 do 31. decembra 2015 je uvedený v tabuľkovej prílohe č. 1</w:t>
      </w:r>
      <w:r w:rsidR="002C6319">
        <w:rPr>
          <w:rFonts w:cs="Arial"/>
          <w:sz w:val="24"/>
        </w:rPr>
        <w:t>3 a 14</w:t>
      </w:r>
      <w:r>
        <w:rPr>
          <w:rFonts w:cs="Arial"/>
          <w:sz w:val="24"/>
        </w:rPr>
        <w:t xml:space="preserve"> konsolidovaných poznámok.</w:t>
      </w:r>
    </w:p>
    <w:p w:rsidR="00F90031" w:rsidRDefault="00F90031">
      <w:pPr>
        <w:ind w:left="426"/>
        <w:rPr>
          <w:rFonts w:cs="Arial"/>
        </w:rPr>
      </w:pPr>
    </w:p>
    <w:p w:rsidR="00F90031" w:rsidRDefault="00F90031">
      <w:pPr>
        <w:pStyle w:val="Nadpis2"/>
        <w:numPr>
          <w:ilvl w:val="1"/>
          <w:numId w:val="2"/>
        </w:numPr>
        <w:ind w:left="1506"/>
        <w:rPr>
          <w:sz w:val="24"/>
        </w:rPr>
      </w:pPr>
      <w:r>
        <w:rPr>
          <w:rFonts w:ascii="Times New Roman" w:hAnsi="Times New Roman"/>
          <w:sz w:val="24"/>
          <w:szCs w:val="24"/>
        </w:rPr>
        <w:t>7.</w:t>
      </w:r>
      <w:r>
        <w:rPr>
          <w:rFonts w:ascii="Times New Roman" w:hAnsi="Times New Roman"/>
          <w:sz w:val="24"/>
          <w:szCs w:val="24"/>
        </w:rPr>
        <w:tab/>
        <w:t>Záväzky</w:t>
      </w:r>
    </w:p>
    <w:p w:rsidR="00F90031" w:rsidRDefault="00F90031">
      <w:pPr>
        <w:pStyle w:val="odstavec"/>
        <w:rPr>
          <w:rFonts w:cs="Arial"/>
          <w:sz w:val="24"/>
        </w:rPr>
      </w:pPr>
      <w:r>
        <w:rPr>
          <w:rFonts w:cs="Arial"/>
          <w:sz w:val="24"/>
        </w:rPr>
        <w:t xml:space="preserve">Prehľad záväzkov z hľadiska ich vekovej štruktúry a z hľadiska splatnosti je uvedený v tabuľkovej prílohe č. 15 konsolidovaných poznámok. </w:t>
      </w:r>
    </w:p>
    <w:p w:rsidR="00F90031" w:rsidRDefault="00F90031">
      <w:pPr>
        <w:pStyle w:val="odstavec"/>
        <w:rPr>
          <w:rFonts w:cs="Arial"/>
          <w:sz w:val="24"/>
        </w:rPr>
      </w:pPr>
    </w:p>
    <w:p w:rsidR="00F90031" w:rsidRDefault="00F90031">
      <w:pPr>
        <w:ind w:left="426"/>
        <w:rPr>
          <w:rFonts w:cs="Arial"/>
        </w:rPr>
      </w:pPr>
    </w:p>
    <w:p w:rsidR="00F90031" w:rsidRDefault="00F90031">
      <w:pPr>
        <w:pStyle w:val="Nadpis2"/>
        <w:numPr>
          <w:ilvl w:val="1"/>
          <w:numId w:val="2"/>
        </w:numPr>
        <w:ind w:left="1506"/>
      </w:pPr>
      <w:r>
        <w:rPr>
          <w:rFonts w:ascii="Times New Roman" w:hAnsi="Times New Roman"/>
          <w:sz w:val="24"/>
          <w:szCs w:val="24"/>
        </w:rPr>
        <w:t>8.</w:t>
      </w:r>
      <w:r>
        <w:rPr>
          <w:rFonts w:ascii="Times New Roman" w:hAnsi="Times New Roman"/>
          <w:sz w:val="24"/>
          <w:szCs w:val="24"/>
        </w:rPr>
        <w:tab/>
        <w:t>Bankové úvery a ostatné prijaté návratné finančné výpomoci</w:t>
      </w:r>
    </w:p>
    <w:p w:rsidR="00F90031" w:rsidRDefault="00F90031">
      <w:pPr>
        <w:ind w:left="480"/>
        <w:jc w:val="both"/>
        <w:rPr>
          <w:rFonts w:cs="Arial"/>
        </w:rPr>
      </w:pPr>
      <w:r>
        <w:t>B</w:t>
      </w:r>
      <w:r w:rsidR="002C6319">
        <w:t>ankové  úvery</w:t>
      </w:r>
      <w:r>
        <w:t xml:space="preserve"> a</w:t>
      </w:r>
      <w:r w:rsidR="002C6319">
        <w:t> </w:t>
      </w:r>
      <w:r>
        <w:t>návratn</w:t>
      </w:r>
      <w:r w:rsidR="002C6319">
        <w:t xml:space="preserve">é </w:t>
      </w:r>
      <w:r>
        <w:t xml:space="preserve"> finančn</w:t>
      </w:r>
      <w:r w:rsidR="002C6319">
        <w:t>é</w:t>
      </w:r>
      <w:r>
        <w:t xml:space="preserve"> výpomoci konsolidovaného celku </w:t>
      </w:r>
      <w:r w:rsidR="002C6319">
        <w:t xml:space="preserve">neboli poskytnuté . </w:t>
      </w:r>
    </w:p>
    <w:p w:rsidR="00F90031" w:rsidRDefault="00F90031">
      <w:pPr>
        <w:ind w:left="435"/>
        <w:jc w:val="both"/>
        <w:rPr>
          <w:rFonts w:cs="Arial"/>
        </w:rPr>
      </w:pPr>
    </w:p>
    <w:p w:rsidR="00F90031" w:rsidRDefault="00F90031">
      <w:pPr>
        <w:pStyle w:val="odstavec"/>
        <w:rPr>
          <w:rFonts w:cs="Arial"/>
          <w:sz w:val="24"/>
        </w:rPr>
      </w:pPr>
    </w:p>
    <w:p w:rsidR="002C6319" w:rsidRDefault="002C6319">
      <w:pPr>
        <w:pStyle w:val="odstavec"/>
        <w:rPr>
          <w:rFonts w:cs="Arial"/>
          <w:sz w:val="24"/>
        </w:rPr>
      </w:pPr>
    </w:p>
    <w:p w:rsidR="002C6319" w:rsidRDefault="002C6319">
      <w:pPr>
        <w:pStyle w:val="odstavec"/>
        <w:rPr>
          <w:rFonts w:cs="Arial"/>
          <w:sz w:val="24"/>
        </w:rPr>
      </w:pPr>
    </w:p>
    <w:p w:rsidR="00F90031" w:rsidRDefault="00F90031">
      <w:pPr>
        <w:tabs>
          <w:tab w:val="left" w:pos="3848"/>
        </w:tabs>
        <w:ind w:left="425" w:hanging="425"/>
        <w:rPr>
          <w:rFonts w:cs="Arial"/>
          <w:b/>
        </w:rPr>
      </w:pPr>
    </w:p>
    <w:p w:rsidR="00F90031" w:rsidRDefault="00F90031">
      <w:pPr>
        <w:tabs>
          <w:tab w:val="left" w:pos="3848"/>
        </w:tabs>
        <w:ind w:left="425" w:hanging="425"/>
        <w:rPr>
          <w:rFonts w:cs="Arial"/>
        </w:rPr>
      </w:pPr>
      <w:r>
        <w:rPr>
          <w:rFonts w:cs="Arial"/>
          <w:b/>
        </w:rPr>
        <w:lastRenderedPageBreak/>
        <w:t>IV.</w:t>
      </w:r>
      <w:r>
        <w:rPr>
          <w:rFonts w:cs="Arial"/>
          <w:b/>
        </w:rPr>
        <w:tab/>
        <w:t>SKUTOČNOSTI, KTORÉ NASTALI PO DNI, KU KTORÉMU SA ZOSTAVUJE ÚČTOVNÁ ZÁVIERKA, DO DŇA JEJ ZOSTAVENIA</w:t>
      </w:r>
    </w:p>
    <w:p w:rsidR="00F90031" w:rsidRDefault="00F90031">
      <w:pPr>
        <w:pStyle w:val="odstavec"/>
        <w:rPr>
          <w:rFonts w:cs="Arial"/>
          <w:sz w:val="24"/>
        </w:rPr>
      </w:pPr>
    </w:p>
    <w:p w:rsidR="00F90031" w:rsidRDefault="00F90031">
      <w:pPr>
        <w:pStyle w:val="odstavec"/>
        <w:rPr>
          <w:rFonts w:cs="Arial"/>
        </w:rPr>
      </w:pPr>
      <w:r>
        <w:rPr>
          <w:rFonts w:cs="Arial"/>
          <w:sz w:val="24"/>
        </w:rPr>
        <w:t xml:space="preserve">Po 31. decembri </w:t>
      </w:r>
      <w:r>
        <w:rPr>
          <w:rFonts w:cs="Arial"/>
          <w:iCs/>
          <w:sz w:val="24"/>
        </w:rPr>
        <w:t>2015</w:t>
      </w:r>
      <w:r>
        <w:rPr>
          <w:rFonts w:cs="Arial"/>
          <w:sz w:val="24"/>
        </w:rPr>
        <w:t>nenastali také udalosti, ktoré by si vyžadovali zverejnenie alebo vykázanie v konsolidovanej účtovnej závierke za rok 2015.</w:t>
      </w:r>
    </w:p>
    <w:p w:rsidR="00F90031" w:rsidRDefault="00F90031">
      <w:pPr>
        <w:rPr>
          <w:rFonts w:cs="Arial"/>
        </w:rPr>
      </w:pPr>
    </w:p>
    <w:p w:rsidR="00F90031" w:rsidRDefault="00F90031">
      <w:pPr>
        <w:tabs>
          <w:tab w:val="left" w:pos="462"/>
        </w:tabs>
        <w:rPr>
          <w:rFonts w:cs="Arial"/>
        </w:rPr>
      </w:pPr>
    </w:p>
    <w:p w:rsidR="00F90031" w:rsidRDefault="00F90031">
      <w:pPr>
        <w:pStyle w:val="odstavec"/>
        <w:rPr>
          <w:rFonts w:cs="Arial"/>
          <w:sz w:val="24"/>
        </w:rPr>
      </w:pPr>
    </w:p>
    <w:p w:rsidR="00F90031" w:rsidRDefault="00F90031">
      <w:pPr>
        <w:pStyle w:val="odstavec"/>
        <w:rPr>
          <w:rFonts w:cs="Arial"/>
          <w:sz w:val="24"/>
        </w:rPr>
      </w:pPr>
    </w:p>
    <w:p w:rsidR="00F90031" w:rsidRDefault="00F90031">
      <w:pPr>
        <w:pStyle w:val="odstavec"/>
        <w:rPr>
          <w:rFonts w:cs="Arial"/>
          <w:sz w:val="24"/>
        </w:rPr>
      </w:pPr>
    </w:p>
    <w:p w:rsidR="00F90031" w:rsidRDefault="00F90031">
      <w:pPr>
        <w:pStyle w:val="odstavec"/>
        <w:rPr>
          <w:rFonts w:cs="Arial"/>
          <w:sz w:val="24"/>
        </w:rPr>
      </w:pPr>
    </w:p>
    <w:p w:rsidR="00F90031" w:rsidRDefault="00F90031">
      <w:pPr>
        <w:pStyle w:val="odstavec"/>
        <w:rPr>
          <w:rFonts w:cs="Arial"/>
          <w:sz w:val="24"/>
        </w:rPr>
      </w:pPr>
    </w:p>
    <w:p w:rsidR="00F90031" w:rsidRDefault="00F90031">
      <w:pPr>
        <w:pStyle w:val="odstavec"/>
        <w:rPr>
          <w:rFonts w:cs="Arial"/>
          <w:sz w:val="24"/>
        </w:rPr>
      </w:pPr>
    </w:p>
    <w:p w:rsidR="00F90031" w:rsidRDefault="00F90031">
      <w:pPr>
        <w:rPr>
          <w:rFonts w:cs="Arial"/>
        </w:rPr>
      </w:pPr>
    </w:p>
    <w:p w:rsidR="00F90031" w:rsidRDefault="00F90031">
      <w:pPr>
        <w:rPr>
          <w:rFonts w:cs="Arial"/>
        </w:rPr>
      </w:pPr>
    </w:p>
    <w:p w:rsidR="00F90031" w:rsidRDefault="00F90031">
      <w:pPr>
        <w:pStyle w:val="odstavec"/>
        <w:rPr>
          <w:rFonts w:cs="Arial"/>
          <w:sz w:val="24"/>
        </w:rPr>
      </w:pPr>
    </w:p>
    <w:p w:rsidR="00F90031" w:rsidRDefault="00F90031">
      <w:pPr>
        <w:rPr>
          <w:rFonts w:cs="Arial"/>
        </w:rPr>
      </w:pPr>
    </w:p>
    <w:p w:rsidR="00F90031" w:rsidRDefault="00F90031">
      <w:pPr>
        <w:rPr>
          <w:rFonts w:cs="Arial"/>
        </w:rPr>
      </w:pPr>
    </w:p>
    <w:p w:rsidR="00F90031" w:rsidRDefault="00F90031">
      <w:pPr>
        <w:rPr>
          <w:rFonts w:cs="Arial"/>
        </w:rPr>
      </w:pPr>
    </w:p>
    <w:p w:rsidR="00F90031" w:rsidRDefault="00F90031">
      <w:pPr>
        <w:rPr>
          <w:rFonts w:cs="Arial"/>
        </w:rPr>
      </w:pPr>
    </w:p>
    <w:sectPr w:rsidR="00F90031" w:rsidSect="00DD4C9D">
      <w:pgSz w:w="11906" w:h="16838"/>
      <w:pgMar w:top="1134" w:right="1134" w:bottom="1134" w:left="1134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36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1080" w:hanging="36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36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1800" w:hanging="36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2160" w:hanging="36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2520" w:hanging="36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2880" w:hanging="36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3240" w:hanging="36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isplayBackgroundShape/>
  <w:embedSystemFonts/>
  <w:proofState w:spelling="clean" w:grammar="clean"/>
  <w:stylePaneFormatFilter w:val="0000"/>
  <w:defaultTabStop w:val="709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doNotUseHTMLParagraphAutoSpacing/>
  </w:compat>
  <w:rsids>
    <w:rsidRoot w:val="00DA41C4"/>
    <w:rsid w:val="000C20C0"/>
    <w:rsid w:val="002C6319"/>
    <w:rsid w:val="0093667F"/>
    <w:rsid w:val="00AF0BCC"/>
    <w:rsid w:val="00DA41C4"/>
    <w:rsid w:val="00DC1BF3"/>
    <w:rsid w:val="00DD4C9D"/>
    <w:rsid w:val="00F9003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4C9D"/>
    <w:pPr>
      <w:widowControl w:val="0"/>
      <w:suppressAutoHyphens/>
    </w:pPr>
    <w:rPr>
      <w:rFonts w:eastAsia="Lucida Sans Unicode" w:cs="Mangal"/>
      <w:kern w:val="1"/>
      <w:sz w:val="24"/>
      <w:szCs w:val="24"/>
      <w:lang w:eastAsia="zh-CN" w:bidi="hi-IN"/>
    </w:rPr>
  </w:style>
  <w:style w:type="paragraph" w:styleId="Nadpis1">
    <w:name w:val="heading 1"/>
    <w:basedOn w:val="Nadpis"/>
    <w:next w:val="Zkladntext"/>
    <w:qFormat/>
    <w:rsid w:val="00DD4C9D"/>
    <w:pPr>
      <w:widowControl/>
      <w:numPr>
        <w:numId w:val="1"/>
      </w:numPr>
      <w:spacing w:before="60" w:after="240"/>
      <w:ind w:left="-14" w:firstLine="0"/>
      <w:jc w:val="both"/>
      <w:outlineLvl w:val="0"/>
    </w:pPr>
    <w:rPr>
      <w:rFonts w:cs="Arial"/>
      <w:b/>
      <w:bCs/>
      <w:sz w:val="20"/>
      <w:szCs w:val="20"/>
      <w:lang w:eastAsia="sk-SK" w:bidi="ar-SA"/>
    </w:rPr>
  </w:style>
  <w:style w:type="paragraph" w:styleId="Nadpis2">
    <w:name w:val="heading 2"/>
    <w:basedOn w:val="Nadpis"/>
    <w:next w:val="Zkladntext"/>
    <w:qFormat/>
    <w:rsid w:val="00DD4C9D"/>
    <w:pPr>
      <w:widowControl/>
      <w:numPr>
        <w:ilvl w:val="1"/>
        <w:numId w:val="1"/>
      </w:numPr>
      <w:spacing w:before="60" w:after="240"/>
      <w:ind w:left="426" w:hanging="426"/>
      <w:outlineLvl w:val="1"/>
    </w:pPr>
    <w:rPr>
      <w:rFonts w:cs="Arial"/>
      <w:b/>
      <w:bCs/>
      <w:i/>
      <w:iCs/>
      <w:sz w:val="20"/>
      <w:szCs w:val="20"/>
      <w:lang w:eastAsia="sk-SK"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rsid w:val="00DD4C9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y"/>
    <w:rsid w:val="00DD4C9D"/>
    <w:pPr>
      <w:spacing w:after="120"/>
    </w:pPr>
  </w:style>
  <w:style w:type="paragraph" w:styleId="Zoznam">
    <w:name w:val="List"/>
    <w:basedOn w:val="Zkladntext"/>
    <w:rsid w:val="00DD4C9D"/>
  </w:style>
  <w:style w:type="paragraph" w:styleId="Popis">
    <w:name w:val="caption"/>
    <w:basedOn w:val="Normlny"/>
    <w:qFormat/>
    <w:rsid w:val="00DD4C9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rsid w:val="00DD4C9D"/>
    <w:pPr>
      <w:suppressLineNumbers/>
    </w:pPr>
  </w:style>
  <w:style w:type="paragraph" w:customStyle="1" w:styleId="odstavec">
    <w:name w:val="odstavec"/>
    <w:rsid w:val="00DD4C9D"/>
    <w:pPr>
      <w:suppressAutoHyphens/>
      <w:ind w:left="448" w:right="-79"/>
      <w:jc w:val="both"/>
    </w:pPr>
    <w:rPr>
      <w:rFonts w:eastAsia="Arial" w:cs="Lucida Sans Unicode"/>
      <w:kern w:val="1"/>
      <w:szCs w:val="24"/>
    </w:rPr>
  </w:style>
  <w:style w:type="paragraph" w:customStyle="1" w:styleId="Obsahtabuky">
    <w:name w:val="Obsah tabuľky"/>
    <w:basedOn w:val="Normlny"/>
    <w:rsid w:val="00DD4C9D"/>
    <w:pPr>
      <w:suppressLineNumbers/>
    </w:pPr>
  </w:style>
  <w:style w:type="paragraph" w:customStyle="1" w:styleId="abc">
    <w:name w:val="abc"/>
    <w:rsid w:val="00DD4C9D"/>
    <w:pPr>
      <w:tabs>
        <w:tab w:val="left" w:pos="3720"/>
      </w:tabs>
      <w:suppressAutoHyphens/>
      <w:spacing w:before="60" w:after="120"/>
      <w:ind w:left="465" w:hanging="465"/>
      <w:jc w:val="both"/>
    </w:pPr>
    <w:rPr>
      <w:rFonts w:ascii="Arial" w:eastAsia="Arial" w:hAnsi="Arial" w:cs="Lucida Sans Unicode"/>
      <w:b/>
      <w:kern w:val="1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20C0"/>
    <w:rPr>
      <w:rFonts w:ascii="Segoe UI" w:hAnsi="Segoe UI"/>
      <w:sz w:val="18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20C0"/>
    <w:rPr>
      <w:rFonts w:ascii="Segoe UI" w:eastAsia="Lucida Sans Unicode" w:hAnsi="Segoe UI" w:cs="Mangal"/>
      <w:kern w:val="1"/>
      <w:sz w:val="18"/>
      <w:szCs w:val="16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824</Words>
  <Characters>4702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Kontrola</cp:lastModifiedBy>
  <cp:revision>2</cp:revision>
  <cp:lastPrinted>2016-06-20T08:19:00Z</cp:lastPrinted>
  <dcterms:created xsi:type="dcterms:W3CDTF">2016-06-20T08:50:00Z</dcterms:created>
  <dcterms:modified xsi:type="dcterms:W3CDTF">2016-06-20T08:50:00Z</dcterms:modified>
</cp:coreProperties>
</file>