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</w:pPr>
      <w:r>
        <w:rPr>
          <w:b/>
          <w:sz w:val="28"/>
        </w:rPr>
        <w:t xml:space="preserve">VÝROČNÁ SPRÁVA </w:t>
      </w:r>
      <w:r>
        <w:rPr>
          <w:b/>
          <w:sz w:val="28"/>
        </w:rPr>
        <w:t>DOORS</w:t>
      </w:r>
      <w:r>
        <w:rPr>
          <w:b/>
          <w:sz w:val="28"/>
        </w:rPr>
        <w:t xml:space="preserve"> n.o. </w:t>
      </w:r>
    </w:p>
    <w:p>
      <w:pPr>
        <w:pStyle w:val="style0"/>
        <w:jc w:val="center"/>
      </w:pPr>
      <w:r>
        <w:rPr>
          <w:b/>
          <w:sz w:val="28"/>
        </w:rPr>
        <w:t>za rok 2015</w:t>
      </w:r>
    </w:p>
    <w:p>
      <w:pPr>
        <w:pStyle w:val="style0"/>
        <w:jc w:val="center"/>
      </w:pPr>
      <w:r>
        <w:rPr/>
      </w:r>
    </w:p>
    <w:p>
      <w:pPr>
        <w:pStyle w:val="style0"/>
        <w:jc w:val="both"/>
      </w:pPr>
      <w:r>
        <w:rPr/>
        <w:t>1) Prehľad činností vykonávaných v kalendárnom roku s uvedením vzťahu k účelu založenia neziskovej organizácie:</w:t>
      </w:r>
    </w:p>
    <w:p>
      <w:pPr>
        <w:pStyle w:val="style0"/>
        <w:spacing w:after="28" w:before="28"/>
        <w:contextualSpacing w:val="false"/>
        <w:jc w:val="both"/>
      </w:pPr>
      <w:r>
        <w:rPr/>
        <w:tab/>
      </w:r>
      <w:r>
        <w:rPr>
          <w:rFonts w:cs="Times New Roman" w:eastAsia="Times New Roman"/>
          <w:sz w:val="24"/>
          <w:szCs w:val="24"/>
        </w:rPr>
        <w:t xml:space="preserve">V roku 2014 </w:t>
      </w:r>
      <w:r>
        <w:rPr>
          <w:rFonts w:cs="Times New Roman" w:eastAsia="Times New Roman"/>
          <w:sz w:val="24"/>
          <w:szCs w:val="24"/>
        </w:rPr>
        <w:t>došlo ku zmenepersonálneho riadenia neziskovej organizácie a štatutárnym zástupcom sa stal od 14.10.2015 MUDr. Daniel Paulovič, PhD.. Táto zásadná zmena ovplyvnila aj činnosť organizácie, ktorá sa zameriavala na prípravné aktivity v oblasti vzdelávania. Nakoľko ku zmene došlo koncom roka 2015, nemala podstatný ekonomický význam a nepremietla sa zásadne do hospodárskeho výsledku organizácie. Väčšiu akonomickú aktivitu očakávame až v roku 2016.</w:t>
      </w:r>
    </w:p>
    <w:p>
      <w:pPr>
        <w:pStyle w:val="style0"/>
        <w:jc w:val="both"/>
      </w:pPr>
      <w:r>
        <w:rPr/>
        <w:t>2) Ročná účtovná závierka a zhodnotenie základných údajov v nej obsiahnutých</w:t>
      </w:r>
    </w:p>
    <w:p>
      <w:pPr>
        <w:pStyle w:val="style0"/>
        <w:jc w:val="both"/>
      </w:pPr>
      <w:r>
        <w:rPr/>
        <w:t>V roku 2015 k poslednému dňu účtovného obdobia sme evidovali nasledovný majetok a záväzky:</w:t>
      </w:r>
    </w:p>
    <w:p>
      <w:pPr>
        <w:pStyle w:val="style0"/>
        <w:jc w:val="both"/>
      </w:pPr>
      <w:r>
        <w:rPr/>
        <w:t xml:space="preserve">Majetok: Peňažná hotovosť </w:t>
      </w:r>
      <w:r>
        <w:rPr/>
        <w:t>v pokladni 421€.</w:t>
      </w:r>
    </w:p>
    <w:p>
      <w:pPr>
        <w:pStyle w:val="style0"/>
        <w:jc w:val="both"/>
      </w:pPr>
      <w:r>
        <w:rPr/>
        <w:t xml:space="preserve">Záväzky: </w:t>
        <w:tab/>
      </w:r>
      <w:r>
        <w:rPr/>
        <w:t>0,00</w:t>
      </w:r>
    </w:p>
    <w:p>
      <w:pPr>
        <w:pStyle w:val="style0"/>
        <w:jc w:val="both"/>
      </w:pPr>
      <w:r>
        <w:rPr/>
        <w:t>3) Prehľad o nákladoch a výnosoch:</w:t>
      </w:r>
    </w:p>
    <w:p>
      <w:pPr>
        <w:pStyle w:val="style0"/>
        <w:jc w:val="both"/>
      </w:pPr>
      <w:r>
        <w:rPr/>
        <w:t>Náklady k 31.12.2015 boli nasledovné</w:t>
      </w:r>
    </w:p>
    <w:p>
      <w:pPr>
        <w:pStyle w:val="style0"/>
        <w:jc w:val="both"/>
      </w:pPr>
      <w:r>
        <w:rPr/>
        <w:t xml:space="preserve">Spotreba materiálu </w:t>
        <w:tab/>
        <w:t xml:space="preserve">     </w:t>
      </w:r>
      <w:r>
        <w:rPr/>
        <w:t>0,00</w:t>
      </w:r>
    </w:p>
    <w:p>
      <w:pPr>
        <w:pStyle w:val="style0"/>
        <w:jc w:val="both"/>
      </w:pPr>
      <w:r>
        <w:rPr/>
        <w:t>Služby</w:t>
        <w:tab/>
        <w:tab/>
        <w:tab/>
        <w:t xml:space="preserve">     </w:t>
      </w:r>
      <w:r>
        <w:rPr/>
        <w:t>0,00</w:t>
      </w:r>
    </w:p>
    <w:p>
      <w:pPr>
        <w:pStyle w:val="style0"/>
        <w:jc w:val="both"/>
      </w:pPr>
      <w:r>
        <w:rPr/>
        <w:t>Osobné náklady</w:t>
        <w:tab/>
        <w:t xml:space="preserve">     </w:t>
      </w:r>
      <w:r>
        <w:rPr/>
        <w:t>0,00</w:t>
      </w:r>
    </w:p>
    <w:p>
      <w:pPr>
        <w:pStyle w:val="style0"/>
        <w:jc w:val="both"/>
      </w:pPr>
      <w:r>
        <w:rPr/>
        <w:t>Bankové poplatky</w:t>
        <w:tab/>
        <w:t xml:space="preserve">     13,</w:t>
      </w:r>
      <w:r>
        <w:rPr/>
        <w:t>00</w:t>
      </w:r>
    </w:p>
    <w:p>
      <w:pPr>
        <w:pStyle w:val="style0"/>
        <w:jc w:val="both"/>
      </w:pPr>
      <w:r>
        <w:rPr>
          <w:b/>
        </w:rPr>
        <w:t>Náklady spolu</w:t>
        <w:tab/>
        <w:tab/>
        <w:t xml:space="preserve">    </w:t>
      </w:r>
      <w:r>
        <w:rPr>
          <w:b/>
        </w:rPr>
        <w:t>13,00</w:t>
      </w:r>
    </w:p>
    <w:p>
      <w:pPr>
        <w:pStyle w:val="style0"/>
        <w:jc w:val="both"/>
      </w:pPr>
      <w:r>
        <w:rPr/>
        <w:t>Výnosy k 31.12.2015 boli nasledovné</w:t>
      </w:r>
    </w:p>
    <w:p>
      <w:pPr>
        <w:pStyle w:val="style0"/>
        <w:jc w:val="both"/>
      </w:pPr>
      <w:r>
        <w:rPr/>
        <w:t>Úroky</w:t>
        <w:tab/>
        <w:tab/>
        <w:tab/>
        <w:t xml:space="preserve">          0,</w:t>
      </w:r>
      <w:r>
        <w:rPr/>
        <w:t>00</w:t>
      </w:r>
    </w:p>
    <w:p>
      <w:pPr>
        <w:pStyle w:val="style0"/>
        <w:jc w:val="both"/>
      </w:pPr>
      <w:r>
        <w:rPr/>
        <w:t>Dotácie</w:t>
        <w:tab/>
        <w:tab/>
        <w:tab/>
        <w:t xml:space="preserve">          </w:t>
      </w:r>
      <w:r>
        <w:rPr/>
        <w:t>0,00</w:t>
      </w:r>
    </w:p>
    <w:p>
      <w:pPr>
        <w:pStyle w:val="style0"/>
        <w:jc w:val="both"/>
      </w:pPr>
      <w:r>
        <w:rPr>
          <w:b/>
        </w:rPr>
        <w:t>Výnosy spolu</w:t>
        <w:tab/>
        <w:tab/>
        <w:t xml:space="preserve">         </w:t>
      </w:r>
      <w:r>
        <w:rPr>
          <w:b/>
        </w:rPr>
        <w:t>0,0</w:t>
      </w:r>
      <w:r>
        <w:rPr>
          <w:b/>
        </w:rPr>
        <w:t>0</w:t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  <w:t>4) Stav a pohyb majetku a záväzkov neziskovej organizácie</w:t>
      </w:r>
    </w:p>
    <w:p>
      <w:pPr>
        <w:pStyle w:val="style0"/>
        <w:jc w:val="both"/>
      </w:pPr>
      <w:r>
        <w:rPr/>
        <w:t>Nezisková organizácia disponovala majetkom v nasledovnej štruktúre:</w:t>
      </w:r>
    </w:p>
    <w:p>
      <w:pPr>
        <w:pStyle w:val="style0"/>
        <w:jc w:val="both"/>
      </w:pPr>
      <w:bookmarkStart w:id="0" w:name="__DdeLink__125_813858382"/>
      <w:r>
        <w:rPr/>
        <w:t xml:space="preserve">Peniaze </w:t>
      </w:r>
      <w:r>
        <w:rPr/>
        <w:t>v hotovosti</w:t>
      </w:r>
      <w:r>
        <w:rPr/>
        <w:t xml:space="preserve"> </w:t>
      </w:r>
      <w:bookmarkEnd w:id="0"/>
      <w:r>
        <w:rPr/>
        <w:t xml:space="preserve">k 1.1.2015 </w:t>
        <w:tab/>
        <w:t xml:space="preserve">  </w:t>
      </w:r>
      <w:r>
        <w:rPr/>
        <w:t>421,00</w:t>
      </w:r>
    </w:p>
    <w:p>
      <w:pPr>
        <w:pStyle w:val="style0"/>
        <w:jc w:val="both"/>
      </w:pPr>
      <w:r>
        <w:rPr/>
        <w:t xml:space="preserve">Peniaze </w:t>
      </w:r>
      <w:r>
        <w:rPr/>
        <w:t>v hotovosti</w:t>
      </w:r>
      <w:r>
        <w:rPr/>
        <w:t xml:space="preserve">  k 31.12.2015      </w:t>
      </w:r>
      <w:r>
        <w:rPr/>
        <w:t>421,00</w:t>
      </w:r>
    </w:p>
    <w:p>
      <w:pPr>
        <w:pStyle w:val="style0"/>
        <w:jc w:val="both"/>
      </w:pPr>
      <w:r>
        <w:rPr/>
        <w:t>Pohľadávky k 1.1.2015</w:t>
        <w:tab/>
        <w:tab/>
        <w:t xml:space="preserve">          </w:t>
      </w:r>
      <w:r>
        <w:rPr/>
        <w:t>0,00</w:t>
      </w:r>
    </w:p>
    <w:p>
      <w:pPr>
        <w:pStyle w:val="style0"/>
        <w:jc w:val="both"/>
      </w:pPr>
      <w:r>
        <w:rPr/>
        <w:t>Pohľadávky k 31.12.2015                      0,00</w:t>
      </w:r>
    </w:p>
    <w:p>
      <w:pPr>
        <w:pStyle w:val="style0"/>
        <w:jc w:val="both"/>
      </w:pPr>
      <w:bookmarkStart w:id="1" w:name="_GoBack"/>
      <w:bookmarkStart w:id="2" w:name="_GoBack"/>
      <w:bookmarkEnd w:id="2"/>
      <w:r>
        <w:rPr/>
      </w:r>
    </w:p>
    <w:p>
      <w:pPr>
        <w:pStyle w:val="style0"/>
        <w:jc w:val="both"/>
      </w:pPr>
      <w:r>
        <w:rPr/>
        <w:t>5) Zmeny a nové zloženie orgánov neziskovej organizácie, ku ktorým došlo v priebehu roka</w:t>
      </w:r>
    </w:p>
    <w:p>
      <w:pPr>
        <w:pStyle w:val="style0"/>
        <w:jc w:val="both"/>
      </w:pPr>
      <w:r>
        <w:rPr/>
        <w:tab/>
        <w:t xml:space="preserve">V roku 2015 nastali </w:t>
      </w:r>
      <w:r>
        <w:rPr/>
        <w:t>personálne zmeny vo vedení neziskovej  organizácie.</w:t>
      </w:r>
    </w:p>
    <w:p>
      <w:pPr>
        <w:pStyle w:val="style0"/>
        <w:jc w:val="both"/>
      </w:pPr>
      <w:r>
        <w:rPr/>
        <w:t>Od 14.10.2015 …..................................štatutárny orgán  …..................... MUDr. Daniel Paulovič, PhD.</w:t>
      </w:r>
    </w:p>
    <w:p>
      <w:pPr>
        <w:pStyle w:val="style0"/>
        <w:jc w:val="both"/>
      </w:pPr>
      <w:r>
        <w:rPr>
          <w:sz w:val="24"/>
        </w:rPr>
        <w:t>6) Výročná správa je dostupná verejnosti v sídle neziskovej organizácie.</w:t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>
          <w:sz w:val="24"/>
        </w:rPr>
        <w:t>Koniarovce</w:t>
      </w:r>
      <w:r>
        <w:rPr>
          <w:sz w:val="24"/>
        </w:rPr>
        <w:t xml:space="preserve"> dňa 2</w:t>
      </w:r>
      <w:r>
        <w:rPr>
          <w:sz w:val="24"/>
        </w:rPr>
        <w:t>6</w:t>
      </w:r>
      <w:r>
        <w:rPr>
          <w:sz w:val="24"/>
        </w:rPr>
        <w:t>.</w:t>
      </w:r>
      <w:r>
        <w:rPr>
          <w:sz w:val="24"/>
        </w:rPr>
        <w:t>6</w:t>
      </w:r>
      <w:r>
        <w:rPr>
          <w:sz w:val="24"/>
        </w:rPr>
        <w:t>.2016</w:t>
        <w:tab/>
        <w:tab/>
        <w:tab/>
        <w:t xml:space="preserve">Vypracoval: </w:t>
      </w:r>
      <w:r>
        <w:rPr>
          <w:sz w:val="24"/>
        </w:rPr>
        <w:t xml:space="preserve">Mudr. Daniel Paulovič </w:t>
      </w:r>
    </w:p>
    <w:p>
      <w:pPr>
        <w:pStyle w:val="style0"/>
        <w:jc w:val="both"/>
      </w:pPr>
      <w:r>
        <w:rPr/>
      </w:r>
    </w:p>
    <w:p>
      <w:pPr>
        <w:pStyle w:val="style0"/>
        <w:spacing w:after="200" w:before="0"/>
        <w:contextualSpacing w:val="false"/>
        <w:jc w:val="both"/>
      </w:pPr>
      <w:r>
        <w:rPr/>
      </w:r>
    </w:p>
    <w:sectPr>
      <w:headerReference r:id="rId2" w:type="default"/>
      <w:type w:val="nextPage"/>
      <w:pgSz w:h="16838" w:w="11906"/>
      <w:pgMar w:bottom="1417" w:footer="0" w:gutter="0" w:header="708" w:left="1417" w:right="1417" w:top="1417"/>
      <w:pgNumType w:fmt="decimal"/>
      <w:formProt w:val="false"/>
      <w:textDirection w:val="lrTb"/>
      <w:docGrid w:charSpace="8192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3"/>
      <w:jc w:val="center"/>
    </w:pPr>
    <w:r>
      <w:rPr/>
      <w:t>DOORS</w:t>
    </w:r>
    <w:r>
      <w:rPr/>
      <w:t xml:space="preserve"> n.o.,  </w:t>
    </w:r>
    <w:r>
      <w:rPr/>
      <w:t xml:space="preserve">257, </w:t>
    </w:r>
    <w:r>
      <w:rPr/>
      <w:t xml:space="preserve"> 95</w:t>
    </w:r>
    <w:r>
      <w:rPr/>
      <w:t>6</w:t>
    </w:r>
    <w:r>
      <w:rPr/>
      <w:t xml:space="preserve"> </w:t>
    </w:r>
    <w:r>
      <w:rPr/>
      <w:t>13</w:t>
    </w:r>
    <w:r>
      <w:rPr/>
      <w:t xml:space="preserve"> </w:t>
    </w:r>
    <w:r>
      <w:rPr/>
      <w:t>Koniarovce</w:t>
    </w:r>
  </w:p>
</w:hdr>
</file>

<file path=word/settings.xml><?xml version="1.0" encoding="utf-8"?>
<w:settings xmlns:w="http://schemas.openxmlformats.org/wordprocessingml/2006/main">
  <w:zoom w:percent="100"/>
</w:settings>
</file>

<file path=word/styles.xml><?xml version="1.0" encoding="utf-8"?>
<w:styles xmlns:w="http://schemas.openxmlformats.org/wordprocessingml/2006/main">
  <w:style w:styleId="style0" w:type="paragraph">
    <w:name w:val="Výchozí"/>
    <w:next w:val="style0"/>
    <w:pPr>
      <w:widowControl/>
      <w:tabs/>
      <w:suppressAutoHyphens w:val="true"/>
      <w:spacing w:after="200" w:before="0" w:line="276" w:lineRule="auto"/>
      <w:contextualSpacing w:val="false"/>
    </w:pPr>
    <w:rPr>
      <w:rFonts w:ascii="Calibri" w:cs="" w:eastAsia="SimSun" w:hAnsi="Calibri"/>
      <w:color w:val="00000A"/>
      <w:sz w:val="22"/>
      <w:szCs w:val="22"/>
      <w:lang w:bidi="ar-SA" w:eastAsia="sk-SK" w:val="sk-SK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/>
  </w:style>
  <w:style w:styleId="style17" w:type="character">
    <w:name w:val="Päta Char"/>
    <w:basedOn w:val="style15"/>
    <w:next w:val="style17"/>
    <w:rPr/>
  </w:style>
  <w:style w:styleId="style18" w:type="paragraph">
    <w:name w:val="Nadpis"/>
    <w:basedOn w:val="style0"/>
    <w:next w:val="style19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9" w:type="paragraph">
    <w:name w:val="Tělo textu"/>
    <w:basedOn w:val="style0"/>
    <w:next w:val="style19"/>
    <w:pPr>
      <w:spacing w:after="120" w:before="0"/>
      <w:contextualSpacing w:val="false"/>
    </w:pPr>
    <w:rPr/>
  </w:style>
  <w:style w:styleId="style20" w:type="paragraph">
    <w:name w:val="Seznam"/>
    <w:basedOn w:val="style19"/>
    <w:next w:val="style20"/>
    <w:pPr/>
    <w:rPr>
      <w:rFonts w:cs="Mangal"/>
    </w:rPr>
  </w:style>
  <w:style w:styleId="style21" w:type="paragraph">
    <w:name w:val="Popisek"/>
    <w:basedOn w:val="style0"/>
    <w:next w:val="style21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2" w:type="paragraph">
    <w:name w:val="Rejstřík"/>
    <w:basedOn w:val="style0"/>
    <w:next w:val="style22"/>
    <w:pPr>
      <w:suppressLineNumbers/>
    </w:pPr>
    <w:rPr>
      <w:rFonts w:cs="Mangal"/>
    </w:rPr>
  </w:style>
  <w:style w:styleId="style23" w:type="paragraph">
    <w:name w:val="Záhlaví"/>
    <w:basedOn w:val="style0"/>
    <w:next w:val="style23"/>
    <w:pPr>
      <w:suppressLineNumbers/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4" w:type="paragraph">
    <w:name w:val="Zápatí"/>
    <w:basedOn w:val="style0"/>
    <w:next w:val="style24"/>
    <w:pPr>
      <w:suppressLineNumbers/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2015-03-06T13:17:00.00Z</dcterms:created>
  <dc:creator>oem</dc:creator>
  <cp:lastModifiedBy>Admin</cp:lastModifiedBy>
  <cp:lastPrinted>2014-12-15T20:15:00.00Z</cp:lastPrinted>
  <dcterms:modified xsi:type="dcterms:W3CDTF">2015-03-06T13:17:00.00Z</dcterms:modified>
  <cp:revision>2</cp:revision>
</cp:coreProperties>
</file>