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after="60"/>
        <w:ind w:left="360" w:firstLine="0"/>
        <w:rPr>
          <w:szCs w:val="18"/>
        </w:rPr>
      </w:pPr>
      <w:bookmarkStart w:id="0" w:name="_Toc530739894"/>
      <w:bookmarkEnd w:id="0"/>
      <w:r>
        <w:rPr>
          <w:position w:val="5"/>
          <w:szCs w:val="18"/>
        </w:rPr>
        <w:t>Informácie o účtovnej jednotke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Založenie spoločnosti</w:t>
      </w: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 xml:space="preserve">PHARMOS a.s.  (ďalej len spoločnosť), bola založená 18.1.2006 a do obchodného registra bola zapísaná 18.1.2006 Obchodný register Okresného súdu v Nitre, vložka 10317/N. </w:t>
      </w:r>
    </w:p>
    <w:p w:rsidR="00CE12C1" w:rsidRDefault="00CE12C1">
      <w:pPr>
        <w:rPr>
          <w:sz w:val="18"/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1" w:name="_Toc530739896"/>
      <w:bookmarkEnd w:id="1"/>
      <w:r>
        <w:rPr>
          <w:szCs w:val="18"/>
        </w:rPr>
        <w:t>Hlavnými činnosťami Spoločnosti sú:</w:t>
      </w: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Veľkodistribúcia liekov a zdravotníckych pomôcok</w:t>
      </w: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Veľkodistribúcia, dovoz,vývoz omamných látok a psychotropných látok z II. a III. skupiny</w:t>
      </w: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Dovoz, nákup, skladovanie a predaj určených látok 1.prílohy I. nariadenia ES č.273/200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 xml:space="preserve">Počet zamestnancov </w:t>
      </w: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CE12C1" w:rsidRDefault="00872ECA">
      <w:pPr>
        <w:pStyle w:val="Telotextu"/>
        <w:rPr>
          <w:i/>
          <w:szCs w:val="18"/>
          <w:u w:val="single"/>
        </w:rPr>
      </w:pPr>
      <w:r>
        <w:rPr>
          <w:i/>
          <w:szCs w:val="18"/>
          <w:u w:val="single"/>
        </w:rPr>
        <w:t>(Obsahová náplň, počet riadkov a stĺpcov v tabuľke sa nesmú meniť. Túto informáciu vymažte.)</w:t>
      </w:r>
    </w:p>
    <w:p w:rsidR="00CE12C1" w:rsidRDefault="00CE12C1">
      <w:pPr>
        <w:pStyle w:val="Telotextu"/>
        <w:rPr>
          <w:szCs w:val="18"/>
        </w:rPr>
      </w:pPr>
      <w:bookmarkStart w:id="2" w:name="_MON_1405921752"/>
      <w:bookmarkEnd w:id="2"/>
    </w:p>
    <w:p w:rsidR="00CE12C1" w:rsidRDefault="00CE12C1">
      <w:pPr>
        <w:pStyle w:val="Telotextu"/>
        <w:rPr>
          <w:szCs w:val="18"/>
        </w:rPr>
      </w:pPr>
      <w:r>
        <w:object w:dxaOrig="4947" w:dyaOrig="969">
          <v:shape id="ole_rId2" o:spid="_x0000_i1025" style="width:436.4pt;height:85.6pt" coordsize="" o:spt="100" adj="0,,0" path="" stroked="f">
            <v:stroke joinstyle="miter"/>
            <v:imagedata r:id="rId7" o:title=""/>
            <v:formulas/>
            <v:path o:connecttype="segments"/>
          </v:shape>
          <o:OLEObject Type="Embed" ProgID="Excel.Sheet.12" ShapeID="ole_rId2" DrawAspect="Content" ObjectID="_1528544313" r:id="rId8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Údaje o neobmedzenom ručení</w:t>
      </w:r>
    </w:p>
    <w:p w:rsidR="00CE12C1" w:rsidRDefault="00872EC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Právny dôvod na zostavenie účtovnej závierky</w:t>
      </w:r>
    </w:p>
    <w:p w:rsidR="00CE12C1" w:rsidRDefault="00872ECA">
      <w:pPr>
        <w:pStyle w:val="Telotextu"/>
        <w:ind w:hanging="426"/>
        <w:rPr>
          <w:szCs w:val="18"/>
        </w:rPr>
      </w:pPr>
      <w:r>
        <w:rPr>
          <w:szCs w:val="18"/>
        </w:rPr>
        <w:tab/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E12C1" w:rsidRDefault="00CE12C1">
      <w:pPr>
        <w:pStyle w:val="Telotextu"/>
        <w:ind w:hanging="426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Dátum schválenia účtovnej závierky za predchádzajúce účtovné obdobie</w:t>
      </w:r>
    </w:p>
    <w:p w:rsidR="00CE12C1" w:rsidRDefault="00872ECA">
      <w:pPr>
        <w:pStyle w:val="Telotextu"/>
        <w:ind w:hanging="426"/>
        <w:rPr>
          <w:szCs w:val="18"/>
        </w:rPr>
      </w:pPr>
      <w:r>
        <w:rPr>
          <w:szCs w:val="18"/>
        </w:rPr>
        <w:tab/>
        <w:t>Účtovná závierka Spoločnosti k 31. decembru 2014, za predchádzajúce účtovné obdobie, bola schválená valným zhromaždením Spoločnosti 15.6.2015.</w:t>
      </w:r>
    </w:p>
    <w:p w:rsidR="00CE12C1" w:rsidRDefault="00CE12C1">
      <w:pPr>
        <w:pStyle w:val="Telotextu"/>
        <w:ind w:hanging="426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Zverejnenie účtovnej závierky za predchádzajúce účtovné obdobie</w:t>
      </w: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Účtovná závierka Spoločnosti k 31. decembru 2014 spolu so správou audítora o overení účtovnej závierky k 31. decembru 2014 a výročnou správou a dodatkom správy audítora o overení súladu výročnej správy s účtovnou závierkou bola uložená do registra účtovných závierok.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Schválenie audítora</w:t>
      </w:r>
    </w:p>
    <w:p w:rsidR="00CE12C1" w:rsidRDefault="00872ECA">
      <w:pPr>
        <w:pStyle w:val="Telotextu"/>
        <w:rPr>
          <w:szCs w:val="18"/>
        </w:rPr>
      </w:pPr>
      <w:bookmarkStart w:id="3" w:name="OLE_LINK14"/>
      <w:bookmarkStart w:id="4" w:name="OLE_LINK13"/>
      <w:bookmarkEnd w:id="3"/>
      <w:bookmarkEnd w:id="4"/>
      <w:r>
        <w:rPr>
          <w:szCs w:val="18"/>
        </w:rPr>
        <w:t>Valné zhromaždenie 15.6.2015 schválilo spoločnosť ABM Audit, spol. s.r.o.,ako audítora na overenie účtovnej závierky za účtovné obdobie od 1. januára 2015 do 31. decembra 2015.</w:t>
      </w:r>
    </w:p>
    <w:p w:rsidR="00CE12C1" w:rsidRDefault="00CE12C1">
      <w:pPr>
        <w:pStyle w:val="Telotextu"/>
        <w:jc w:val="left"/>
        <w:rPr>
          <w:szCs w:val="18"/>
        </w:rPr>
      </w:pPr>
    </w:p>
    <w:p w:rsidR="00CE12C1" w:rsidRDefault="00CE12C1">
      <w:pPr>
        <w:pStyle w:val="Telotextu"/>
        <w:jc w:val="left"/>
        <w:rPr>
          <w:szCs w:val="18"/>
        </w:rPr>
      </w:pP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ind w:left="360" w:firstLine="0"/>
        <w:rPr>
          <w:szCs w:val="18"/>
        </w:rPr>
      </w:pPr>
      <w:bookmarkStart w:id="5" w:name="_Toc530739897"/>
      <w:bookmarkEnd w:id="5"/>
      <w:r>
        <w:rPr>
          <w:szCs w:val="18"/>
        </w:rPr>
        <w:t>Informácie o orgánoch účtovnej jednotky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5"/>
      </w:tblGrid>
      <w:tr w:rsidR="00CE12C1">
        <w:tc>
          <w:tcPr>
            <w:tcW w:w="6175" w:type="dxa"/>
            <w:shd w:val="clear" w:color="auto" w:fill="auto"/>
            <w:vAlign w:val="center"/>
          </w:tcPr>
          <w:p w:rsidR="00CE12C1" w:rsidRDefault="00872ECA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Predstavenstvo </w:t>
            </w:r>
          </w:p>
        </w:tc>
        <w:tc>
          <w:tcPr>
            <w:tcW w:w="3065" w:type="dxa"/>
            <w:shd w:val="clear" w:color="auto" w:fill="auto"/>
          </w:tcPr>
          <w:p w:rsidR="00CE12C1" w:rsidRDefault="00872ECA">
            <w:r>
              <w:rPr>
                <w:color w:val="000000"/>
                <w:sz w:val="16"/>
                <w:szCs w:val="16"/>
                <w:lang w:eastAsia="sk-SK"/>
              </w:rPr>
              <w:t>  (od: 29.5.2015)</w:t>
            </w:r>
          </w:p>
        </w:tc>
      </w:tr>
    </w:tbl>
    <w:p w:rsidR="00CE12C1" w:rsidRDefault="00CE12C1">
      <w:pPr>
        <w:rPr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5"/>
      </w:tblGrid>
      <w:tr w:rsidR="00CE12C1">
        <w:tc>
          <w:tcPr>
            <w:tcW w:w="6175" w:type="dxa"/>
            <w:shd w:val="clear" w:color="auto" w:fill="auto"/>
            <w:vAlign w:val="center"/>
          </w:tcPr>
          <w:p w:rsidR="00CE12C1" w:rsidRDefault="00872ECA">
            <w:r>
              <w:rPr>
                <w:color w:val="000000"/>
                <w:sz w:val="16"/>
                <w:szCs w:val="16"/>
                <w:lang w:eastAsia="sk-SK"/>
              </w:rPr>
              <w:t xml:space="preserve">Ing. </w:t>
            </w:r>
            <w:hyperlink r:id="rId9">
              <w:r>
                <w:rPr>
                  <w:rStyle w:val="Internetovodkaz"/>
                  <w:color w:val="000066"/>
                  <w:sz w:val="16"/>
                  <w:szCs w:val="16"/>
                  <w:lang w:eastAsia="sk-SK"/>
                </w:rPr>
                <w:t xml:space="preserve">Marián Gurina </w:t>
              </w:r>
            </w:hyperlink>
            <w:r>
              <w:rPr>
                <w:rStyle w:val="Internetovodkaz"/>
                <w:color w:val="000066"/>
                <w:sz w:val="16"/>
                <w:szCs w:val="16"/>
                <w:lang w:eastAsia="sk-SK"/>
              </w:rPr>
              <w:t>–</w:t>
            </w:r>
            <w:r>
              <w:rPr>
                <w:color w:val="000000"/>
                <w:sz w:val="16"/>
                <w:szCs w:val="16"/>
                <w:lang w:eastAsia="sk-SK"/>
              </w:rPr>
              <w:t>predseda predstavenstva</w:t>
            </w:r>
            <w:r>
              <w:rPr>
                <w:color w:val="000000"/>
                <w:sz w:val="16"/>
                <w:szCs w:val="16"/>
                <w:lang w:eastAsia="sk-SK"/>
              </w:rPr>
              <w:br/>
              <w:t xml:space="preserve">Rišňovce 25, 951 21 </w:t>
            </w:r>
            <w:r>
              <w:rPr>
                <w:color w:val="000000"/>
                <w:sz w:val="16"/>
                <w:szCs w:val="16"/>
                <w:lang w:eastAsia="sk-SK"/>
              </w:rPr>
              <w:br/>
              <w:t>Vznik funkcie: 30.4.2015</w:t>
            </w:r>
          </w:p>
        </w:tc>
        <w:tc>
          <w:tcPr>
            <w:tcW w:w="3065" w:type="dxa"/>
            <w:shd w:val="clear" w:color="auto" w:fill="auto"/>
          </w:tcPr>
          <w:p w:rsidR="00CE12C1" w:rsidRDefault="00872ECA">
            <w:r>
              <w:rPr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E12C1" w:rsidRDefault="00CE12C1">
      <w:pPr>
        <w:rPr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6"/>
        <w:gridCol w:w="3075"/>
      </w:tblGrid>
      <w:tr w:rsidR="00CE12C1">
        <w:tc>
          <w:tcPr>
            <w:tcW w:w="6175" w:type="dxa"/>
            <w:shd w:val="clear" w:color="auto" w:fill="auto"/>
            <w:vAlign w:val="center"/>
          </w:tcPr>
          <w:p w:rsidR="00CE12C1" w:rsidRDefault="00CE12C1">
            <w:hyperlink r:id="rId10">
              <w:r w:rsidR="00872ECA">
                <w:rPr>
                  <w:rStyle w:val="Internetovodkaz"/>
                  <w:color w:val="000066"/>
                  <w:sz w:val="16"/>
                  <w:szCs w:val="16"/>
                  <w:lang w:eastAsia="sk-SK"/>
                </w:rPr>
                <w:t>P</w:t>
              </w:r>
            </w:hyperlink>
            <w:r w:rsidR="00872ECA">
              <w:rPr>
                <w:rStyle w:val="Internetovodkaz"/>
                <w:color w:val="000066"/>
                <w:sz w:val="16"/>
                <w:szCs w:val="16"/>
                <w:lang w:eastAsia="sk-SK"/>
              </w:rPr>
              <w:t>harmDr. Jiří Korta –</w:t>
            </w:r>
            <w:r w:rsidR="00872ECA">
              <w:rPr>
                <w:color w:val="000000"/>
                <w:sz w:val="16"/>
                <w:szCs w:val="16"/>
                <w:lang w:eastAsia="sk-SK"/>
              </w:rPr>
              <w:t xml:space="preserve"> člen predstavenstva</w:t>
            </w:r>
            <w:r w:rsidR="00872ECA">
              <w:rPr>
                <w:color w:val="000000"/>
                <w:sz w:val="16"/>
                <w:szCs w:val="16"/>
                <w:lang w:eastAsia="sk-SK"/>
              </w:rPr>
              <w:br/>
              <w:t>U Kapličky 574/3</w:t>
            </w:r>
            <w:r w:rsidR="00872ECA">
              <w:rPr>
                <w:color w:val="000000"/>
                <w:sz w:val="16"/>
                <w:szCs w:val="16"/>
                <w:lang w:eastAsia="sk-SK"/>
              </w:rPr>
              <w:br/>
              <w:t xml:space="preserve">Praha 6, Suchdol 165 00 </w:t>
            </w:r>
            <w:r w:rsidR="00872ECA">
              <w:rPr>
                <w:color w:val="000000"/>
                <w:sz w:val="16"/>
                <w:szCs w:val="16"/>
                <w:lang w:eastAsia="sk-SK"/>
              </w:rPr>
              <w:br/>
              <w:t xml:space="preserve">Česká republika </w:t>
            </w:r>
            <w:r w:rsidR="00872ECA">
              <w:rPr>
                <w:color w:val="000000"/>
                <w:sz w:val="16"/>
                <w:szCs w:val="16"/>
                <w:lang w:eastAsia="sk-SK"/>
              </w:rPr>
              <w:br/>
              <w:t>Vznik funkcie:   30.4.2015</w:t>
            </w:r>
          </w:p>
        </w:tc>
        <w:tc>
          <w:tcPr>
            <w:tcW w:w="3065" w:type="dxa"/>
            <w:shd w:val="clear" w:color="auto" w:fill="auto"/>
          </w:tcPr>
          <w:p w:rsidR="00CE12C1" w:rsidRDefault="00872ECA">
            <w:r>
              <w:rPr>
                <w:color w:val="000000"/>
                <w:sz w:val="16"/>
                <w:szCs w:val="16"/>
                <w:lang w:eastAsia="sk-SK"/>
              </w:rPr>
              <w:t xml:space="preserve">  </w:t>
            </w:r>
          </w:p>
        </w:tc>
      </w:tr>
    </w:tbl>
    <w:p w:rsidR="00CE12C1" w:rsidRDefault="00CE12C1">
      <w:pPr>
        <w:rPr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71"/>
      </w:tblGrid>
      <w:tr w:rsidR="00CE12C1">
        <w:tc>
          <w:tcPr>
            <w:tcW w:w="9241" w:type="dxa"/>
            <w:shd w:val="clear" w:color="auto" w:fill="auto"/>
            <w:vAlign w:val="center"/>
          </w:tcPr>
          <w:p w:rsidR="00CE12C1" w:rsidRDefault="00872ECA">
            <w:r>
              <w:rPr>
                <w:rStyle w:val="Internetovodkaz"/>
                <w:color w:val="000066"/>
                <w:sz w:val="16"/>
                <w:szCs w:val="16"/>
                <w:lang w:eastAsia="sk-SK"/>
              </w:rPr>
              <w:t>Ing. Henrich Jašš</w:t>
            </w:r>
            <w:hyperlink r:id="rId11">
              <w:r>
                <w:rPr>
                  <w:color w:val="000000"/>
                  <w:sz w:val="16"/>
                  <w:szCs w:val="16"/>
                  <w:lang w:eastAsia="sk-SK"/>
                </w:rPr>
                <w:t>- člen predstavenstva</w:t>
              </w:r>
              <w:r>
                <w:rPr>
                  <w:color w:val="000000"/>
                  <w:sz w:val="16"/>
                  <w:szCs w:val="16"/>
                  <w:lang w:eastAsia="sk-SK"/>
                </w:rPr>
                <w:br/>
                <w:t>Čínska 2528/2</w:t>
              </w:r>
              <w:r>
                <w:rPr>
                  <w:color w:val="000000"/>
                  <w:sz w:val="16"/>
                  <w:szCs w:val="16"/>
                  <w:lang w:eastAsia="sk-SK"/>
                </w:rPr>
                <w:br/>
                <w:t xml:space="preserve">Košice-Sídlisko Ťahanovce 040 13 </w:t>
              </w:r>
              <w:r>
                <w:rPr>
                  <w:color w:val="000000"/>
                  <w:sz w:val="16"/>
                  <w:szCs w:val="16"/>
                  <w:lang w:eastAsia="sk-SK"/>
                </w:rPr>
                <w:br/>
                <w:t>Vznik funkcie:   30.4.2015</w:t>
              </w:r>
            </w:hyperlink>
          </w:p>
          <w:p w:rsidR="00CE12C1" w:rsidRDefault="00CE12C1">
            <w:pPr>
              <w:rPr>
                <w:color w:val="000000"/>
                <w:sz w:val="16"/>
                <w:szCs w:val="16"/>
                <w:lang w:eastAsia="sk-SK"/>
              </w:rPr>
            </w:pPr>
          </w:p>
          <w:p w:rsidR="00CE12C1" w:rsidRDefault="00CE12C1">
            <w:pPr>
              <w:rPr>
                <w:color w:val="000000"/>
                <w:sz w:val="16"/>
                <w:szCs w:val="16"/>
                <w:lang w:eastAsia="sk-SK"/>
              </w:rPr>
            </w:pPr>
          </w:p>
          <w:p w:rsidR="00CE12C1" w:rsidRDefault="00CE12C1">
            <w:pPr>
              <w:rPr>
                <w:color w:val="000000"/>
                <w:sz w:val="16"/>
                <w:szCs w:val="16"/>
                <w:lang w:eastAsia="sk-SK"/>
              </w:rPr>
            </w:pPr>
          </w:p>
          <w:p w:rsidR="00CE12C1" w:rsidRDefault="00CE12C1"/>
        </w:tc>
      </w:tr>
    </w:tbl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ind w:left="360" w:firstLine="0"/>
        <w:rPr>
          <w:szCs w:val="18"/>
        </w:rPr>
      </w:pPr>
      <w:bookmarkStart w:id="6" w:name="_Toc530739898"/>
      <w:bookmarkEnd w:id="6"/>
      <w:r>
        <w:rPr>
          <w:szCs w:val="18"/>
        </w:rPr>
        <w:lastRenderedPageBreak/>
        <w:t>informácie o spoločníkoch účtovnej jednotky</w:t>
      </w:r>
    </w:p>
    <w:p w:rsidR="00CE12C1" w:rsidRDefault="00CE12C1"/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120" w:after="60"/>
        <w:ind w:left="360" w:firstLine="0"/>
        <w:rPr>
          <w:szCs w:val="18"/>
        </w:rPr>
      </w:pPr>
      <w:r>
        <w:rPr>
          <w:szCs w:val="18"/>
        </w:rPr>
        <w:t>Informácie o konsolidovanom celku</w:t>
      </w:r>
    </w:p>
    <w:p w:rsidR="00CE12C1" w:rsidRDefault="00872EC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)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CE12C1" w:rsidRDefault="00872ECA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Česká lékárnícká a.s.,Těšínská  1349/296,Ostrava-Radvanice, Česká republika</w:t>
      </w:r>
    </w:p>
    <w:p w:rsidR="00CE12C1" w:rsidRDefault="00CE12C1">
      <w:pPr>
        <w:jc w:val="both"/>
        <w:rPr>
          <w:rFonts w:ascii="Arial" w:hAnsi="Arial" w:cs="Arial"/>
          <w:sz w:val="16"/>
          <w:szCs w:val="16"/>
        </w:rPr>
      </w:pPr>
    </w:p>
    <w:p w:rsidR="00CE12C1" w:rsidRDefault="00872EC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b) Obchodné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CE12C1" w:rsidRDefault="00872EC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Česká lékárnícká a.s.,Těšínská  1349/296,Ostrava-Radvanice, Česká republika</w:t>
      </w:r>
    </w:p>
    <w:p w:rsidR="00CE12C1" w:rsidRDefault="00CE12C1">
      <w:pPr>
        <w:jc w:val="both"/>
        <w:rPr>
          <w:rFonts w:ascii="Arial" w:hAnsi="Arial" w:cs="Arial"/>
          <w:sz w:val="18"/>
          <w:szCs w:val="18"/>
        </w:rPr>
      </w:pPr>
    </w:p>
    <w:p w:rsidR="00CE12C1" w:rsidRDefault="00CE12C1">
      <w:pPr>
        <w:jc w:val="both"/>
        <w:rPr>
          <w:rFonts w:ascii="Arial" w:hAnsi="Arial" w:cs="Arial"/>
          <w:sz w:val="16"/>
          <w:szCs w:val="16"/>
        </w:rPr>
      </w:pPr>
    </w:p>
    <w:p w:rsidR="00CE12C1" w:rsidRDefault="00872EC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c) Obchodné meno a sídlo konsolidujúcej účtovnej jednotky, v ktorej sú prístupné konsolidované účtovné závierky a adresa príslušného registrového súdu, ktorý vedie obchodný register, v ktorom sa uložia tieto konsolidované účtovné závierky:</w:t>
      </w:r>
    </w:p>
    <w:p w:rsidR="00CE12C1" w:rsidRDefault="00872ECA">
      <w:pPr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Česká lékárnícká a.s.,Těšínská  1349/296,Ostrava-Radvanice, Česká republika</w:t>
      </w:r>
    </w:p>
    <w:p w:rsidR="00CE12C1" w:rsidRDefault="00872ECA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 xml:space="preserve">Krajský soud v Ostravě, </w:t>
      </w:r>
      <w:r>
        <w:rPr>
          <w:rFonts w:ascii="Arial CE" w:hAnsi="Arial CE" w:cs="Arial CE"/>
          <w:b/>
          <w:bCs/>
          <w:color w:val="000000"/>
          <w:sz w:val="16"/>
          <w:szCs w:val="16"/>
          <w:lang w:val="cs-CZ"/>
        </w:rPr>
        <w:t>Havlíčkovo nábřeží 1835/34 70200 Moravská Ostrava</w:t>
      </w:r>
    </w:p>
    <w:p w:rsidR="00CE12C1" w:rsidRDefault="00CE12C1"/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ind w:hanging="426"/>
        <w:rPr>
          <w:szCs w:val="18"/>
        </w:rPr>
      </w:pPr>
      <w:r>
        <w:rPr>
          <w:b/>
          <w:szCs w:val="18"/>
        </w:rPr>
        <w:tab/>
      </w:r>
    </w:p>
    <w:p w:rsidR="00CE12C1" w:rsidRDefault="00872ECA">
      <w:pPr>
        <w:pStyle w:val="Nadpis1"/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t>E</w:t>
      </w:r>
      <w:r>
        <w:rPr>
          <w:b w:val="0"/>
          <w:caps w:val="0"/>
          <w:szCs w:val="18"/>
        </w:rPr>
        <w:t>.</w:t>
      </w:r>
      <w:r>
        <w:rPr>
          <w:caps w:val="0"/>
          <w:szCs w:val="18"/>
        </w:rPr>
        <w:tab/>
      </w:r>
      <w:bookmarkEnd w:id="7"/>
      <w:r>
        <w:rPr>
          <w:szCs w:val="18"/>
        </w:rPr>
        <w:t xml:space="preserve">Informácie o účtovných zásadách a účtovných metódach  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Východiská pre zostavenie účtovnej závierky</w:t>
      </w:r>
    </w:p>
    <w:p w:rsidR="00CE12C1" w:rsidRDefault="00872ECA">
      <w:pPr>
        <w:pStyle w:val="Telotextu"/>
        <w:ind w:left="450"/>
        <w:rPr>
          <w:sz w:val="16"/>
          <w:szCs w:val="16"/>
        </w:rPr>
      </w:pPr>
      <w:r>
        <w:rPr>
          <w:sz w:val="16"/>
          <w:szCs w:val="16"/>
        </w:rPr>
        <w:t>Účtovná závierka bola zostavená za predpokladu, že Spoločnosť bude nepretržite pokračovať vo svojej činnosti (goingconcern).</w:t>
      </w:r>
    </w:p>
    <w:p w:rsidR="00CE12C1" w:rsidRDefault="00CE12C1">
      <w:pPr>
        <w:pStyle w:val="Telotextu"/>
        <w:ind w:left="450"/>
        <w:rPr>
          <w:sz w:val="16"/>
          <w:szCs w:val="16"/>
        </w:rPr>
      </w:pPr>
    </w:p>
    <w:p w:rsidR="00CE12C1" w:rsidRDefault="00872ECA">
      <w:pPr>
        <w:pStyle w:val="Telotextu"/>
        <w:ind w:left="450"/>
        <w:rPr>
          <w:sz w:val="16"/>
          <w:szCs w:val="16"/>
        </w:rPr>
      </w:pPr>
      <w:r>
        <w:rPr>
          <w:sz w:val="16"/>
          <w:szCs w:val="16"/>
        </w:rPr>
        <w:t>Účtovné metódy a všeobecné účtovné zásady boli účtovnou jednotkou konzistentne aplikované.</w:t>
      </w:r>
    </w:p>
    <w:p w:rsidR="00CE12C1" w:rsidRDefault="00CE12C1">
      <w:pPr>
        <w:pStyle w:val="Telotextu"/>
        <w:ind w:left="450"/>
        <w:rPr>
          <w:sz w:val="16"/>
          <w:szCs w:val="16"/>
        </w:rPr>
      </w:pPr>
    </w:p>
    <w:p w:rsidR="00CE12C1" w:rsidRDefault="00872ECA">
      <w:pPr>
        <w:pStyle w:val="Telotextu"/>
        <w:ind w:left="450"/>
        <w:rPr>
          <w:sz w:val="16"/>
          <w:szCs w:val="16"/>
        </w:rPr>
      </w:pPr>
      <w:r>
        <w:rPr>
          <w:sz w:val="16"/>
          <w:szCs w:val="16"/>
        </w:rPr>
        <w:t xml:space="preserve">V účtovnom období 2015 Spoločnosť nevykonala žiadne opravy významných chýb minulých účtovných období. </w:t>
      </w:r>
    </w:p>
    <w:p w:rsidR="00CE12C1" w:rsidRDefault="00CE12C1">
      <w:pPr>
        <w:pStyle w:val="Telotextu"/>
        <w:ind w:left="450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Dlhodobý nehmotný majetok a dlhodobý hmotný majetok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Súčasťou obstarávacej ceny dlhodobého nehmotného majetku nie sú úroky z cudzích zdrojov, ktoré vznikli do momentu zaradenia dlhodobého nehmotného majetku do používania.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CE12C1" w:rsidRDefault="00CE12C1">
      <w:pPr>
        <w:pStyle w:val="Telotextu"/>
        <w:rPr>
          <w:sz w:val="16"/>
          <w:szCs w:val="16"/>
        </w:rPr>
      </w:pPr>
    </w:p>
    <w:tbl>
      <w:tblPr>
        <w:tblW w:w="8845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18"/>
        <w:gridCol w:w="417"/>
        <w:gridCol w:w="1545"/>
        <w:gridCol w:w="222"/>
        <w:gridCol w:w="1821"/>
        <w:gridCol w:w="222"/>
        <w:gridCol w:w="1700"/>
      </w:tblGrid>
      <w:tr w:rsidR="00CE12C1">
        <w:trPr>
          <w:trHeight w:val="250"/>
        </w:trPr>
        <w:tc>
          <w:tcPr>
            <w:tcW w:w="3334" w:type="dxa"/>
            <w:gridSpan w:val="2"/>
            <w:shd w:val="clear" w:color="auto" w:fill="auto"/>
          </w:tcPr>
          <w:p w:rsidR="00CE12C1" w:rsidRDefault="00CE12C1">
            <w:pPr>
              <w:pStyle w:val="Tabulka"/>
              <w:rPr>
                <w:sz w:val="16"/>
                <w:szCs w:val="16"/>
              </w:rPr>
            </w:pPr>
          </w:p>
        </w:tc>
        <w:tc>
          <w:tcPr>
            <w:tcW w:w="154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Predpokladaná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82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Metóda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Ročná odpisová</w:t>
            </w:r>
          </w:p>
        </w:tc>
      </w:tr>
      <w:tr w:rsidR="00CE12C1">
        <w:trPr>
          <w:trHeight w:val="250"/>
        </w:trPr>
        <w:tc>
          <w:tcPr>
            <w:tcW w:w="2917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rPr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rPr>
                <w:sz w:val="16"/>
                <w:szCs w:val="16"/>
              </w:rPr>
            </w:pPr>
          </w:p>
        </w:tc>
        <w:tc>
          <w:tcPr>
            <w:tcW w:w="1545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doba používania</w:t>
            </w:r>
            <w:r>
              <w:rPr>
                <w:sz w:val="16"/>
                <w:szCs w:val="16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821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sadzba v %</w:t>
            </w:r>
          </w:p>
        </w:tc>
      </w:tr>
      <w:tr w:rsidR="00CE12C1">
        <w:trPr>
          <w:trHeight w:val="250"/>
        </w:trPr>
        <w:tc>
          <w:tcPr>
            <w:tcW w:w="3334" w:type="dxa"/>
            <w:gridSpan w:val="2"/>
            <w:shd w:val="clear" w:color="auto" w:fill="auto"/>
          </w:tcPr>
          <w:p w:rsidR="00CE12C1" w:rsidRDefault="00872ECA">
            <w:pPr>
              <w:pStyle w:val="Tabulk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Aktivované náklady na vývoj</w:t>
            </w:r>
          </w:p>
        </w:tc>
        <w:tc>
          <w:tcPr>
            <w:tcW w:w="154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82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lineárna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</w:tr>
      <w:tr w:rsidR="00CE12C1">
        <w:trPr>
          <w:trHeight w:val="250"/>
        </w:trPr>
        <w:tc>
          <w:tcPr>
            <w:tcW w:w="3334" w:type="dxa"/>
            <w:gridSpan w:val="2"/>
            <w:shd w:val="clear" w:color="auto" w:fill="auto"/>
          </w:tcPr>
          <w:p w:rsidR="00CE12C1" w:rsidRDefault="00872ECA">
            <w:pPr>
              <w:pStyle w:val="Tabulk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54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82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lineárna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</w:tr>
      <w:tr w:rsidR="00CE12C1">
        <w:trPr>
          <w:trHeight w:val="245"/>
        </w:trPr>
        <w:tc>
          <w:tcPr>
            <w:tcW w:w="3334" w:type="dxa"/>
            <w:gridSpan w:val="2"/>
            <w:shd w:val="clear" w:color="auto" w:fill="auto"/>
          </w:tcPr>
          <w:p w:rsidR="00CE12C1" w:rsidRDefault="00872ECA">
            <w:pPr>
              <w:pStyle w:val="Tabulka"/>
              <w:ind w:hanging="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 (licencia)</w:t>
            </w:r>
          </w:p>
        </w:tc>
        <w:tc>
          <w:tcPr>
            <w:tcW w:w="154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82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lineárna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12,5</w:t>
            </w:r>
          </w:p>
        </w:tc>
      </w:tr>
      <w:tr w:rsidR="00CE12C1">
        <w:trPr>
          <w:trHeight w:val="245"/>
        </w:trPr>
        <w:tc>
          <w:tcPr>
            <w:tcW w:w="3334" w:type="dxa"/>
            <w:gridSpan w:val="2"/>
            <w:shd w:val="clear" w:color="auto" w:fill="auto"/>
          </w:tcPr>
          <w:p w:rsidR="00CE12C1" w:rsidRDefault="00872ECA">
            <w:pPr>
              <w:pStyle w:val="Tabulka"/>
              <w:ind w:hanging="8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dlhodobý nehmotný majetok</w:t>
            </w:r>
          </w:p>
        </w:tc>
        <w:tc>
          <w:tcPr>
            <w:tcW w:w="154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rôzna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82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jednorazový odpis</w:t>
            </w:r>
          </w:p>
        </w:tc>
        <w:tc>
          <w:tcPr>
            <w:tcW w:w="22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</w:tr>
    </w:tbl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tbl>
      <w:tblPr>
        <w:tblW w:w="878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7"/>
        <w:gridCol w:w="141"/>
        <w:gridCol w:w="1985"/>
        <w:gridCol w:w="142"/>
        <w:gridCol w:w="1701"/>
        <w:gridCol w:w="141"/>
        <w:gridCol w:w="1700"/>
      </w:tblGrid>
      <w:tr w:rsidR="00CE12C1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:rsidR="00CE12C1" w:rsidRDefault="00CE12C1">
            <w:pPr>
              <w:pStyle w:val="Tabulka"/>
              <w:rPr>
                <w:sz w:val="16"/>
                <w:szCs w:val="16"/>
              </w:rPr>
            </w:pPr>
          </w:p>
        </w:tc>
        <w:tc>
          <w:tcPr>
            <w:tcW w:w="198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Predpokladaná</w:t>
            </w:r>
          </w:p>
        </w:tc>
        <w:tc>
          <w:tcPr>
            <w:tcW w:w="14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Metóda</w:t>
            </w:r>
          </w:p>
        </w:tc>
        <w:tc>
          <w:tcPr>
            <w:tcW w:w="141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Ročná odpisová</w:t>
            </w:r>
          </w:p>
        </w:tc>
      </w:tr>
      <w:tr w:rsidR="00CE12C1">
        <w:trPr>
          <w:trHeight w:val="250"/>
        </w:trPr>
        <w:tc>
          <w:tcPr>
            <w:tcW w:w="2976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rPr>
                <w:sz w:val="16"/>
                <w:szCs w:val="16"/>
              </w:rPr>
            </w:pPr>
          </w:p>
        </w:tc>
        <w:tc>
          <w:tcPr>
            <w:tcW w:w="141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rPr>
                <w:sz w:val="16"/>
                <w:szCs w:val="16"/>
              </w:rPr>
            </w:pPr>
          </w:p>
        </w:tc>
        <w:tc>
          <w:tcPr>
            <w:tcW w:w="1985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doba používania v rokoch</w:t>
            </w:r>
          </w:p>
        </w:tc>
        <w:tc>
          <w:tcPr>
            <w:tcW w:w="142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odpisovania</w:t>
            </w:r>
          </w:p>
        </w:tc>
        <w:tc>
          <w:tcPr>
            <w:tcW w:w="141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sadzba v %</w:t>
            </w:r>
          </w:p>
        </w:tc>
      </w:tr>
      <w:tr w:rsidR="00CE12C1">
        <w:trPr>
          <w:trHeight w:val="250"/>
        </w:trPr>
        <w:tc>
          <w:tcPr>
            <w:tcW w:w="3117" w:type="dxa"/>
            <w:gridSpan w:val="2"/>
            <w:tcBorders>
              <w:top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</w:tc>
        <w:tc>
          <w:tcPr>
            <w:tcW w:w="142" w:type="dxa"/>
            <w:tcBorders>
              <w:top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lineárna</w:t>
            </w:r>
          </w:p>
        </w:tc>
        <w:tc>
          <w:tcPr>
            <w:tcW w:w="141" w:type="dxa"/>
            <w:tcBorders>
              <w:top w:val="single" w:sz="4" w:space="0" w:color="00000A"/>
            </w:tcBorders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A"/>
            </w:tcBorders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2,5</w:t>
            </w:r>
          </w:p>
        </w:tc>
      </w:tr>
      <w:tr w:rsidR="00CE12C1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:rsidR="00CE12C1" w:rsidRDefault="00872ECA">
            <w:pPr>
              <w:pStyle w:val="Tabulk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Stroje, prístroje a zariadenia</w:t>
            </w:r>
          </w:p>
        </w:tc>
        <w:tc>
          <w:tcPr>
            <w:tcW w:w="198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až 12</w:t>
            </w:r>
          </w:p>
        </w:tc>
        <w:tc>
          <w:tcPr>
            <w:tcW w:w="14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lineárna</w:t>
            </w:r>
          </w:p>
        </w:tc>
        <w:tc>
          <w:tcPr>
            <w:tcW w:w="141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8,3 až 12,5</w:t>
            </w:r>
          </w:p>
        </w:tc>
      </w:tr>
      <w:tr w:rsidR="00CE12C1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:rsidR="00CE12C1" w:rsidRDefault="00872ECA">
            <w:pPr>
              <w:pStyle w:val="Tabulk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98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až 6</w:t>
            </w:r>
          </w:p>
        </w:tc>
        <w:tc>
          <w:tcPr>
            <w:tcW w:w="14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degresívna</w:t>
            </w:r>
          </w:p>
        </w:tc>
        <w:tc>
          <w:tcPr>
            <w:tcW w:w="141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až 30</w:t>
            </w:r>
          </w:p>
        </w:tc>
      </w:tr>
      <w:tr w:rsidR="00CE12C1">
        <w:trPr>
          <w:trHeight w:val="250"/>
        </w:trPr>
        <w:tc>
          <w:tcPr>
            <w:tcW w:w="3117" w:type="dxa"/>
            <w:gridSpan w:val="2"/>
            <w:shd w:val="clear" w:color="auto" w:fill="auto"/>
          </w:tcPr>
          <w:p w:rsidR="00CE12C1" w:rsidRDefault="00872ECA">
            <w:pPr>
              <w:pStyle w:val="Tabulk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dlhodobý hmotný majetok</w:t>
            </w:r>
          </w:p>
        </w:tc>
        <w:tc>
          <w:tcPr>
            <w:tcW w:w="1985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rôzna</w:t>
            </w:r>
          </w:p>
        </w:tc>
        <w:tc>
          <w:tcPr>
            <w:tcW w:w="142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jednorazový odpis</w:t>
            </w:r>
          </w:p>
        </w:tc>
        <w:tc>
          <w:tcPr>
            <w:tcW w:w="141" w:type="dxa"/>
            <w:shd w:val="clear" w:color="auto" w:fill="auto"/>
          </w:tcPr>
          <w:p w:rsidR="00CE12C1" w:rsidRDefault="00CE12C1">
            <w:pPr>
              <w:pStyle w:val="Tabulka"/>
              <w:jc w:val="center"/>
              <w:rPr>
                <w:sz w:val="16"/>
                <w:szCs w:val="16"/>
              </w:rPr>
            </w:pPr>
          </w:p>
        </w:tc>
        <w:tc>
          <w:tcPr>
            <w:tcW w:w="1700" w:type="dxa"/>
            <w:shd w:val="clear" w:color="auto" w:fill="auto"/>
          </w:tcPr>
          <w:p w:rsidR="00CE12C1" w:rsidRDefault="00872ECA">
            <w:pPr>
              <w:pStyle w:val="Tabulk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</w:tr>
    </w:tbl>
    <w:p w:rsidR="00CE12C1" w:rsidRDefault="00CE12C1">
      <w:pPr>
        <w:pStyle w:val="Pismenka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Cenné papiere a podiely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Cenné papiere na obchodovanie sa pri ich obstaraní oceňujú reálnou hodnotou.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 xml:space="preserve">Zásoby 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Zásoby sa oceňujú nižšou z nasledujúcich hodnôt: obstarávacou cenou (nakupované zásoby).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Zníženie hodnoty zásob sa zohľadňuje vytvorením opravnej položky.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Pismenka"/>
        <w:rPr>
          <w:b w:val="0"/>
          <w:szCs w:val="18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Pohľadávky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Peňažné prostriedky a ceniny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Peňažné prostriedky a ceniny sa oceňujú ich menovitou hodnotou. Zníženie ich hodnoty sa vyjadruje opravnou položkou.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Náklady budúcich období a príjmy budúcich období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Náklady budúcich období a príjmy budúcich období sa vykazujú vo výške, ktorá je potrebná na dodržanie zásady vecnej a časovej súvislosti s účtovným obdobím.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Rezervy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:rsidR="00CE12C1" w:rsidRDefault="00CE12C1">
      <w:pPr>
        <w:pStyle w:val="Pismenka"/>
        <w:ind w:left="360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Záväzky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E12C1" w:rsidRDefault="00CE12C1">
      <w:pPr>
        <w:pStyle w:val="Pismenka"/>
        <w:rPr>
          <w:b w:val="0"/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Odložené dane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Odložené dane (odložená daňová pohľadávka a odložený daňový záväzok) sa vzťahujú na: </w:t>
      </w:r>
    </w:p>
    <w:p w:rsidR="00CE12C1" w:rsidRDefault="00872ECA">
      <w:pPr>
        <w:pStyle w:val="Telotextu"/>
        <w:numPr>
          <w:ilvl w:val="0"/>
          <w:numId w:val="5"/>
        </w:numPr>
        <w:rPr>
          <w:sz w:val="16"/>
          <w:szCs w:val="16"/>
        </w:rPr>
      </w:pPr>
      <w:r>
        <w:rPr>
          <w:sz w:val="16"/>
          <w:szCs w:val="16"/>
        </w:rPr>
        <w:t>dočasné rozdiely medzi účtovnou hodnotou majetku a účtovnou hodnotou záväzkov vykázanou v súvahe a ich daňovou základňou,</w:t>
      </w:r>
    </w:p>
    <w:p w:rsidR="00CE12C1" w:rsidRDefault="00872ECA">
      <w:pPr>
        <w:pStyle w:val="Telotextu"/>
        <w:numPr>
          <w:ilvl w:val="0"/>
          <w:numId w:val="5"/>
        </w:numPr>
        <w:rPr>
          <w:sz w:val="16"/>
          <w:szCs w:val="16"/>
        </w:rPr>
      </w:pPr>
      <w:r>
        <w:rPr>
          <w:sz w:val="16"/>
          <w:szCs w:val="16"/>
        </w:rPr>
        <w:lastRenderedPageBreak/>
        <w:t>možnosť umorovať daňovú stratu v budúcnosti, ktorou sa rozumie možnosť odpočítať daňovú stratu od základu dane v budúcnosti,</w:t>
      </w:r>
    </w:p>
    <w:p w:rsidR="00CE12C1" w:rsidRDefault="00872ECA">
      <w:pPr>
        <w:pStyle w:val="Telotextu"/>
        <w:numPr>
          <w:ilvl w:val="0"/>
          <w:numId w:val="5"/>
        </w:numPr>
        <w:rPr>
          <w:sz w:val="16"/>
          <w:szCs w:val="16"/>
        </w:rPr>
      </w:pPr>
      <w:r>
        <w:rPr>
          <w:sz w:val="16"/>
          <w:szCs w:val="16"/>
        </w:rPr>
        <w:t>možnosť previesť nevyužité daňové odpočty a iné daňové nároky do budúcich období.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Výdavky budúcich období a výnosy budúcich období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Výdavky budúcich období a výnosy budúcich období sa vykazujú vo výške, ktorá je potrebná na dodržanie zásady vecnej a časovej súvislosti s účtovným obdobím.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Prenájom (lízing)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Majetok prenajatý na základe operatívneho prenájmu vykazuje ako svoj majetok jeho vlastník, nie nájomca.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Finančný prenájom je obstaranie dlhodobého hmotného majetku na základe nájomnej zmluvy s dojednaným právom kúpy prenajatej veci za dohodnuté platby počas dohodnutej doby nájmu.Majetok prenajatý  formou finančného prenájmu vykazuje ako svoj majetok a odpisuje ho jeho nájomca, nie vlastník.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Súčasťou dohodnutých platieb je aj kúpna cena, za ktorú na konci dohodnutej doby finančného prenájmu prechádza vlastnícke právo k prenajatému majetku z prenajímateľa na nájomcu. Dohodnutá doba nájmu je najmenej 60%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Cudzia mena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Na ocenenie prírastku cudzej meny nakúpenej za euro sa použije kurz, za ktorý bola táto cudzia mena nakúpená.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Pismenka"/>
        <w:numPr>
          <w:ilvl w:val="0"/>
          <w:numId w:val="4"/>
        </w:numPr>
        <w:ind w:left="426" w:hanging="426"/>
        <w:rPr>
          <w:sz w:val="16"/>
          <w:szCs w:val="16"/>
        </w:rPr>
      </w:pPr>
      <w:r>
        <w:rPr>
          <w:sz w:val="16"/>
          <w:szCs w:val="16"/>
        </w:rPr>
        <w:t>Výnosy</w:t>
      </w: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Tržby za vlastné výkony a tovar neobsahujú daň z pridanej hodnoty. Sú tiež znížené o zľavy a zrážky (rabaty, bonusy, skontá, dobropisy a pod.)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Nadpis1"/>
        <w:spacing w:before="120" w:after="60"/>
        <w:ind w:left="360"/>
        <w:rPr>
          <w:szCs w:val="18"/>
        </w:rPr>
      </w:pPr>
    </w:p>
    <w:p w:rsidR="00CE12C1" w:rsidRDefault="00872ECA">
      <w:pPr>
        <w:pStyle w:val="Nadpis1"/>
        <w:numPr>
          <w:ilvl w:val="0"/>
          <w:numId w:val="13"/>
        </w:numPr>
        <w:ind w:left="0" w:firstLine="0"/>
        <w:rPr>
          <w:sz w:val="16"/>
          <w:szCs w:val="16"/>
        </w:rPr>
      </w:pPr>
      <w:bookmarkStart w:id="8" w:name="_Toc530739900"/>
      <w:bookmarkEnd w:id="8"/>
      <w:r>
        <w:rPr>
          <w:sz w:val="16"/>
          <w:szCs w:val="16"/>
        </w:rPr>
        <w:t>informácie o údajoch na strane aktív súvahy</w:t>
      </w:r>
    </w:p>
    <w:p w:rsidR="00CE12C1" w:rsidRDefault="00CE12C1">
      <w:pPr>
        <w:pStyle w:val="Hlavika"/>
        <w:jc w:val="both"/>
        <w:rPr>
          <w:sz w:val="16"/>
          <w:szCs w:val="16"/>
        </w:rPr>
      </w:pPr>
    </w:p>
    <w:p w:rsidR="00CE12C1" w:rsidRDefault="00872ECA">
      <w:pPr>
        <w:pStyle w:val="Nadpis2"/>
        <w:numPr>
          <w:ilvl w:val="0"/>
          <w:numId w:val="7"/>
        </w:numPr>
        <w:tabs>
          <w:tab w:val="left" w:pos="426"/>
        </w:tabs>
        <w:rPr>
          <w:sz w:val="16"/>
          <w:szCs w:val="16"/>
        </w:rPr>
      </w:pPr>
      <w:bookmarkStart w:id="9" w:name="_Toc530739901"/>
      <w:bookmarkEnd w:id="9"/>
      <w:r>
        <w:rPr>
          <w:sz w:val="16"/>
          <w:szCs w:val="16"/>
        </w:rPr>
        <w:t>Dlhodobý nehmotný majetok a dlhodobý hmotný majetok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Prehľad o pohybe dlhodobého nehmotného majetku a dlhodobého hmotného majetku od 1. januára 2015 do 31. decembra 2015 a za porovnateľné obdobie od 1. januára 2014 do 31. decembra 2014 je uvedený v tabuľkách na stranách 15 až 18.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Údaje o záložných právach k dlhodobému hmotnému majetku sú uvedené v nasledujúcom prehľade:</w:t>
      </w:r>
    </w:p>
    <w:p w:rsidR="00CE12C1" w:rsidRDefault="00CE12C1">
      <w:pPr>
        <w:pStyle w:val="Telotextu"/>
        <w:rPr>
          <w:i/>
          <w:sz w:val="16"/>
          <w:szCs w:val="16"/>
          <w:u w:val="single"/>
        </w:rPr>
      </w:pPr>
    </w:p>
    <w:p w:rsidR="00CE12C1" w:rsidRDefault="00CE12C1">
      <w:pPr>
        <w:pStyle w:val="Telotextu"/>
        <w:rPr>
          <w:sz w:val="16"/>
          <w:szCs w:val="16"/>
        </w:rPr>
      </w:pPr>
      <w:bookmarkStart w:id="10" w:name="_MON_1409584709"/>
      <w:bookmarkEnd w:id="10"/>
    </w:p>
    <w:p w:rsidR="00CE12C1" w:rsidRDefault="00B476F3">
      <w:pPr>
        <w:pStyle w:val="Telotextu"/>
        <w:rPr>
          <w:sz w:val="16"/>
          <w:szCs w:val="16"/>
        </w:rPr>
      </w:pPr>
      <w:r>
        <w:object w:dxaOrig="6067" w:dyaOrig="5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2" type="#_x0000_t75" style="width:484.05pt;height:21.9pt" o:ole="" o:preferrelative="f" filled="t">
            <v:imagedata r:id="rId12" o:title=""/>
            <o:lock v:ext="edit" aspectratio="f"/>
          </v:shape>
          <o:OLEObject Type="Embed" ProgID="Excel.Sheet.12" ShapeID="_x0000_i1062" DrawAspect="Content" ObjectID="_1528544314" r:id="rId13"/>
        </w:objec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Spoločnosť má v nájme :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Spoločnosť v roku 2014 obstarala :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S uvedeným majetkom nemá Spoločnosť obmedzené právo nakladať.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Dlhodobý hmotný majetok je poistený pre prípad škôd spôsobených krádežou a živelnou pohromou.</w:t>
      </w:r>
    </w:p>
    <w:p w:rsidR="00CE12C1" w:rsidRDefault="00CE12C1">
      <w:pPr>
        <w:pStyle w:val="Telotextu"/>
        <w:ind w:left="0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Prehľad o nákladoch na výskum a vývoj:</w:t>
      </w:r>
    </w:p>
    <w:p w:rsidR="00CE12C1" w:rsidRDefault="00CE12C1">
      <w:pPr>
        <w:pStyle w:val="Telotextu"/>
        <w:rPr>
          <w:sz w:val="16"/>
          <w:szCs w:val="16"/>
        </w:rPr>
      </w:pPr>
      <w:bookmarkStart w:id="11" w:name="_MON_1405925876"/>
      <w:bookmarkEnd w:id="11"/>
    </w:p>
    <w:p w:rsidR="00CE12C1" w:rsidRDefault="00CE12C1">
      <w:pPr>
        <w:spacing w:after="200" w:line="276" w:lineRule="auto"/>
        <w:ind w:left="426"/>
        <w:rPr>
          <w:sz w:val="16"/>
          <w:szCs w:val="16"/>
        </w:rPr>
      </w:pPr>
      <w:r>
        <w:object w:dxaOrig="4947" w:dyaOrig="1042">
          <v:shape id="ole_rId9" o:spid="_x0000_i1026" style="width:436.4pt;height:91.95pt" coordsize="" o:spt="100" adj="0,,0" path="" stroked="f">
            <v:stroke joinstyle="miter"/>
            <v:imagedata r:id="rId14" o:title=""/>
            <v:formulas/>
            <v:path o:connecttype="segments"/>
          </v:shape>
          <o:OLEObject Type="Embed" ProgID="Excel.Sheet.12" ShapeID="ole_rId9" DrawAspect="Content" ObjectID="_1528544315" r:id="rId15"/>
        </w:object>
      </w:r>
    </w:p>
    <w:p w:rsidR="00CE12C1" w:rsidRDefault="00872ECA">
      <w:pPr>
        <w:spacing w:after="200" w:line="276" w:lineRule="auto"/>
        <w:rPr>
          <w:sz w:val="16"/>
          <w:szCs w:val="16"/>
          <w:highlight w:val="green"/>
        </w:rPr>
      </w:pPr>
      <w:r>
        <w:br w:type="page"/>
      </w:r>
    </w:p>
    <w:p w:rsidR="00CE12C1" w:rsidRDefault="00CE12C1">
      <w:pPr>
        <w:pStyle w:val="Telotextu"/>
        <w:ind w:left="0"/>
        <w:rPr>
          <w:sz w:val="16"/>
          <w:szCs w:val="16"/>
        </w:rPr>
      </w:pPr>
    </w:p>
    <w:p w:rsidR="00CE12C1" w:rsidRDefault="00872ECA">
      <w:pPr>
        <w:pStyle w:val="Nadpis2"/>
        <w:numPr>
          <w:ilvl w:val="0"/>
          <w:numId w:val="11"/>
        </w:numPr>
        <w:rPr>
          <w:sz w:val="16"/>
          <w:szCs w:val="16"/>
        </w:rPr>
      </w:pPr>
      <w:r>
        <w:rPr>
          <w:sz w:val="16"/>
          <w:szCs w:val="16"/>
        </w:rPr>
        <w:t>Dlhodobý finančný majetok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Prehľad o pohybe dlhodobého finančného majetku od 1. januára 2015 do 31. decembra 2015 a za porovnateľné obdobie od 1. januára 2014 do 31. decembra 2014 je uvedený v tabuľke na konci poznámok.</w: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r>
        <w:rPr>
          <w:sz w:val="16"/>
          <w:szCs w:val="16"/>
        </w:rPr>
        <w:t>Výška vlastného imania k 31. decembru 2015 a výsledku hospodárenia za účtovné obdobie 2015 dcérskych, spoločných a pridružených  podnikov je uvedená v nasledujúcom prehľade:</w:t>
      </w:r>
    </w:p>
    <w:p w:rsidR="00CE12C1" w:rsidRDefault="00CE12C1">
      <w:pPr>
        <w:pStyle w:val="Telotextu"/>
        <w:rPr>
          <w:i/>
          <w:sz w:val="16"/>
          <w:szCs w:val="16"/>
          <w:u w:val="single"/>
        </w:rPr>
      </w:pPr>
    </w:p>
    <w:p w:rsidR="00CE12C1" w:rsidRDefault="00CE12C1">
      <w:pPr>
        <w:pStyle w:val="Telotextu"/>
        <w:rPr>
          <w:sz w:val="16"/>
          <w:szCs w:val="16"/>
        </w:rPr>
      </w:pPr>
      <w:r>
        <w:object w:dxaOrig="4947" w:dyaOrig="4643">
          <v:shape id="ole_rId11" o:spid="_x0000_i1027" style="width:436.4pt;height:409.6pt" coordsize="" o:spt="100" adj="0,,0" path="" stroked="f">
            <v:stroke joinstyle="miter"/>
            <v:imagedata r:id="rId16" o:title=""/>
            <v:formulas/>
            <v:path o:connecttype="segments"/>
          </v:shape>
          <o:OLEObject Type="Embed" ProgID="Excel.Sheet.12" ShapeID="ole_rId11" DrawAspect="Content" ObjectID="_1528544316" r:id="rId17"/>
        </w:object>
      </w: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CE12C1">
      <w:pPr>
        <w:pStyle w:val="Telotextu"/>
        <w:rPr>
          <w:sz w:val="16"/>
          <w:szCs w:val="16"/>
        </w:rPr>
      </w:pPr>
    </w:p>
    <w:p w:rsidR="00CE12C1" w:rsidRDefault="00872ECA">
      <w:pPr>
        <w:pStyle w:val="Telotextu"/>
        <w:rPr>
          <w:sz w:val="16"/>
          <w:szCs w:val="16"/>
        </w:rPr>
      </w:pPr>
      <w:bookmarkStart w:id="12" w:name="_MON_1405926187"/>
      <w:bookmarkEnd w:id="12"/>
      <w:r>
        <w:rPr>
          <w:sz w:val="16"/>
          <w:szCs w:val="16"/>
        </w:rPr>
        <w:t>Výška vlastného imania k 31. decembru 2014 a výsledku hospodárenia za účtovné obdobie 2014 dcérskych, spoločných a pridružených podnikov je uvedená v nasledujúcom prehľade:</w:t>
      </w:r>
    </w:p>
    <w:bookmarkStart w:id="13" w:name="_MON_1405927283"/>
    <w:bookmarkEnd w:id="13"/>
    <w:p w:rsidR="00CE12C1" w:rsidRDefault="00CE12C1">
      <w:pPr>
        <w:ind w:left="426"/>
        <w:rPr>
          <w:i/>
          <w:szCs w:val="18"/>
          <w:u w:val="single"/>
        </w:rPr>
      </w:pPr>
      <w:r>
        <w:object w:dxaOrig="5002" w:dyaOrig="4478">
          <v:shape id="ole_rId13" o:spid="_x0000_i1028" style="width:441.25pt;height:395.05pt" coordsize="" o:spt="100" adj="0,,0" path="" stroked="f">
            <v:stroke joinstyle="miter"/>
            <v:imagedata r:id="rId18" o:title=""/>
            <v:formulas/>
            <v:path o:connecttype="segments"/>
          </v:shape>
          <o:OLEObject Type="Embed" ProgID="Excel.Sheet.12" ShapeID="ole_rId13" DrawAspect="Content" ObjectID="_1528544317" r:id="rId19"/>
        </w:object>
      </w:r>
    </w:p>
    <w:p w:rsidR="00CE12C1" w:rsidRDefault="00CE12C1">
      <w:pPr>
        <w:pStyle w:val="Telotextu"/>
        <w:ind w:left="0"/>
        <w:rPr>
          <w:szCs w:val="18"/>
        </w:rPr>
      </w:pPr>
      <w:r>
        <w:object w:dxaOrig="5227" w:dyaOrig="1755">
          <v:shape id="ole_rId15" o:spid="_x0000_i1029" style="width:461.2pt;height:154.7pt" coordsize="" o:spt="100" adj="0,,0" path="" stroked="f">
            <v:stroke joinstyle="miter"/>
            <v:imagedata r:id="rId20" o:title=""/>
            <v:formulas/>
            <v:path o:connecttype="segments"/>
          </v:shape>
          <o:OLEObject Type="Embed" ProgID="Excel.Sheet.12" ShapeID="ole_rId15" DrawAspect="Content" ObjectID="_1528544318" r:id="rId21"/>
        </w:object>
      </w:r>
    </w:p>
    <w:p w:rsidR="00CE12C1" w:rsidRDefault="00872ECA">
      <w:pPr>
        <w:pStyle w:val="Telotextu"/>
        <w:rPr>
          <w:szCs w:val="18"/>
        </w:rPr>
      </w:pPr>
      <w:r>
        <w:br w:type="page"/>
      </w: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lastRenderedPageBreak/>
        <w:t>Zásoby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Vývoj opravnej položky v priebehu účtovného obdobia je uvedený v nasledujúcom prehľade: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  <w:bookmarkStart w:id="14" w:name="_MON_1405926912"/>
      <w:bookmarkEnd w:id="14"/>
    </w:p>
    <w:p w:rsidR="00CE12C1" w:rsidRDefault="00CE12C1">
      <w:pPr>
        <w:ind w:left="425"/>
        <w:rPr>
          <w:sz w:val="18"/>
          <w:szCs w:val="18"/>
        </w:rPr>
      </w:pPr>
      <w:r>
        <w:object w:dxaOrig="4947" w:dyaOrig="1840">
          <v:shape id="ole_rId17" o:spid="_x0000_i1030" style="width:436.4pt;height:162.5pt" coordsize="" o:spt="100" adj="0,,0" path="" stroked="f">
            <v:stroke joinstyle="miter"/>
            <v:imagedata r:id="rId22" o:title=""/>
            <v:formulas/>
            <v:path o:connecttype="segments"/>
          </v:shape>
          <o:OLEObject Type="Embed" ProgID="Excel.Sheet.12" ShapeID="ole_rId17" DrawAspect="Content" ObjectID="_1528544319" r:id="rId23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  <w:bookmarkStart w:id="15" w:name="_MON_1411977073"/>
      <w:bookmarkEnd w:id="15"/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16" w:name="_Toc530739904"/>
      <w:bookmarkEnd w:id="16"/>
      <w:r>
        <w:rPr>
          <w:szCs w:val="18"/>
        </w:rPr>
        <w:t>Pohľadávky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Vývoj opravnej položky v priebehu účtovného obdobia je zobrazený v nasledujúcom prehľade:</w:t>
      </w:r>
    </w:p>
    <w:p w:rsidR="00CE12C1" w:rsidRDefault="00CE12C1">
      <w:pPr>
        <w:pStyle w:val="Telotextu"/>
        <w:rPr>
          <w:i/>
          <w:szCs w:val="18"/>
          <w:u w:val="single"/>
        </w:rPr>
      </w:pPr>
    </w:p>
    <w:p w:rsidR="00CE12C1" w:rsidRDefault="00CE12C1">
      <w:pPr>
        <w:pStyle w:val="Telotextu"/>
        <w:rPr>
          <w:i/>
          <w:szCs w:val="18"/>
          <w:u w:val="single"/>
        </w:rPr>
      </w:pPr>
    </w:p>
    <w:p w:rsidR="00CE12C1" w:rsidRDefault="00CE12C1">
      <w:pPr>
        <w:pStyle w:val="Telotextu"/>
        <w:rPr>
          <w:szCs w:val="18"/>
        </w:rPr>
      </w:pPr>
      <w:bookmarkStart w:id="17" w:name="_MON_1405930601"/>
      <w:bookmarkEnd w:id="17"/>
    </w:p>
    <w:p w:rsidR="00CE12C1" w:rsidRDefault="00CE12C1">
      <w:pPr>
        <w:pStyle w:val="Telotextu"/>
        <w:rPr>
          <w:szCs w:val="18"/>
          <w:lang w:val="de-DE"/>
        </w:rPr>
      </w:pPr>
      <w:r>
        <w:object w:dxaOrig="4941" w:dyaOrig="3113">
          <v:shape id="ole_rId19" o:spid="_x0000_i1031" style="width:435.9pt;height:274.4pt" coordsize="" o:spt="100" adj="0,,0" path="" stroked="f">
            <v:stroke joinstyle="miter"/>
            <v:imagedata r:id="rId24" o:title=""/>
            <v:formulas/>
            <v:path o:connecttype="segments"/>
          </v:shape>
          <o:OLEObject Type="Embed" ProgID="Excel.Sheet.12" ShapeID="ole_rId19" DrawAspect="Content" ObjectID="_1528544320" r:id="rId25"/>
        </w:object>
      </w:r>
    </w:p>
    <w:p w:rsidR="00CE12C1" w:rsidRDefault="00872ECA">
      <w:pPr>
        <w:spacing w:after="200" w:line="276" w:lineRule="auto"/>
        <w:rPr>
          <w:sz w:val="18"/>
          <w:szCs w:val="18"/>
        </w:rPr>
      </w:pPr>
      <w:r>
        <w:br w:type="page"/>
      </w: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lastRenderedPageBreak/>
        <w:t>Veková štruktúra pohľadávok za bežné účtovné obdobie je uvedená v nasledujúcom prehľade: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  <w:bookmarkStart w:id="18" w:name="_MON_1405930710"/>
      <w:bookmarkEnd w:id="18"/>
    </w:p>
    <w:p w:rsidR="00CE12C1" w:rsidRDefault="00CE12C1">
      <w:pPr>
        <w:pStyle w:val="Telotextu"/>
        <w:ind w:left="0"/>
        <w:rPr>
          <w:szCs w:val="18"/>
        </w:rPr>
      </w:pPr>
      <w:r>
        <w:object w:dxaOrig="4965" w:dyaOrig="2839">
          <v:shape id="ole_rId21" o:spid="_x0000_i1032" style="width:437.85pt;height:250.55pt" coordsize="" o:spt="100" adj="0,,0" path="" stroked="f">
            <v:stroke joinstyle="miter"/>
            <v:imagedata r:id="rId26" o:title=""/>
            <v:formulas/>
            <v:path o:connecttype="segments"/>
          </v:shape>
          <o:OLEObject Type="Embed" ProgID="Excel.Sheet.12" ShapeID="ole_rId21" DrawAspect="Content" ObjectID="_1528544321" r:id="rId27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spacing w:after="200" w:line="276" w:lineRule="auto"/>
        <w:rPr>
          <w:sz w:val="18"/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>Veková štruktúra pohľadávok za predchádzajúce účtovné obdobie je uvedená v nasledujúcom prehľade:</w:t>
      </w:r>
    </w:p>
    <w:p w:rsidR="00CE12C1" w:rsidRDefault="00CE12C1">
      <w:pPr>
        <w:pStyle w:val="Telotextu"/>
        <w:ind w:left="0"/>
        <w:rPr>
          <w:szCs w:val="18"/>
        </w:rPr>
      </w:pPr>
      <w:bookmarkStart w:id="19" w:name="_MON_1405930718"/>
      <w:bookmarkEnd w:id="19"/>
    </w:p>
    <w:p w:rsidR="00CE12C1" w:rsidRDefault="00CE12C1">
      <w:pPr>
        <w:pStyle w:val="Telotextu"/>
        <w:ind w:left="0"/>
        <w:rPr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 xml:space="preserve">Súčasťou tabuliek o vekovej štruktúre pohľadávok za bežné a predchádzajúce účtovné obdobie nie je odložená daňová pohľadávka (účet 481),  čistá hodnota zákazky (účet 316) a pohľadávky z derivátových operácií (účty 373, 376).  Informácie o odloženej dani sú uvedené v časti G.4., informácie o čistej hodnote zákazky v časti F.4. a F.5 a informácie o derivátových transakciách v časti G.9. </w:t>
      </w:r>
    </w:p>
    <w:p w:rsidR="00CE12C1" w:rsidRDefault="00CE12C1">
      <w:pPr>
        <w:spacing w:after="200" w:line="276" w:lineRule="auto"/>
        <w:rPr>
          <w:sz w:val="18"/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>Informácie o pohľadávkach zabezpečených záložným právom alebo inou formou zabezpečenia sú uvedené v nasledujúcomprehľade: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  <w:bookmarkStart w:id="20" w:name="_MON_1409036754"/>
      <w:bookmarkEnd w:id="20"/>
    </w:p>
    <w:p w:rsidR="00CE12C1" w:rsidRDefault="00CE12C1">
      <w:pPr>
        <w:pStyle w:val="Telotextu"/>
        <w:ind w:left="0"/>
        <w:rPr>
          <w:szCs w:val="18"/>
        </w:rPr>
      </w:pPr>
      <w:r>
        <w:object w:dxaOrig="2973" w:dyaOrig="1151">
          <v:shape id="ole_rId23" o:spid="_x0000_i1033" style="width:262.2pt;height:101.7pt" coordsize="" o:spt="100" adj="0,,0" path="" stroked="f">
            <v:stroke joinstyle="miter"/>
            <v:imagedata r:id="rId28" o:title=""/>
            <v:formulas/>
            <v:path o:connecttype="segments"/>
          </v:shape>
          <o:OLEObject Type="Embed" ProgID="Excel.Sheet.12" ShapeID="ole_rId23" DrawAspect="Content" ObjectID="_1528544322" r:id="rId29"/>
        </w:object>
      </w:r>
    </w:p>
    <w:p w:rsidR="00CE12C1" w:rsidRDefault="00CE12C1">
      <w:pPr>
        <w:pStyle w:val="Telotextu"/>
        <w:ind w:left="0"/>
        <w:rPr>
          <w:i/>
          <w:szCs w:val="18"/>
        </w:rPr>
      </w:pPr>
    </w:p>
    <w:p w:rsidR="00CE12C1" w:rsidRDefault="00CE12C1">
      <w:pPr>
        <w:pStyle w:val="Nadpis2"/>
        <w:ind w:firstLine="0"/>
        <w:rPr>
          <w:b w:val="0"/>
          <w:szCs w:val="18"/>
        </w:rPr>
      </w:pPr>
    </w:p>
    <w:p w:rsidR="00CE12C1" w:rsidRDefault="00CE12C1"/>
    <w:p w:rsidR="00CE12C1" w:rsidRDefault="00CE12C1"/>
    <w:p w:rsidR="00CE12C1" w:rsidRDefault="00CE12C1"/>
    <w:p w:rsidR="00CE12C1" w:rsidRDefault="00CE12C1"/>
    <w:p w:rsidR="00CE12C1" w:rsidRDefault="00CE12C1"/>
    <w:p w:rsidR="00CE12C1" w:rsidRDefault="00CE12C1"/>
    <w:p w:rsidR="00CE12C1" w:rsidRDefault="00CE12C1"/>
    <w:p w:rsidR="00CE12C1" w:rsidRDefault="00CE12C1"/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21" w:name="_Toc530739905"/>
      <w:bookmarkEnd w:id="21"/>
      <w:r>
        <w:rPr>
          <w:szCs w:val="18"/>
        </w:rPr>
        <w:lastRenderedPageBreak/>
        <w:t>Finančné účty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Ako finančné účty sú vykázané peniaze v pokladnici, účty v bankách a cenné papiere. Účtami v bankách môže Spoločnosť voľne disponovať.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Prehľad jednotlivých položiek finančných účtov:</w:t>
      </w:r>
    </w:p>
    <w:p w:rsidR="00CE12C1" w:rsidRDefault="00CE12C1">
      <w:pPr>
        <w:pStyle w:val="Telotextu"/>
        <w:rPr>
          <w:szCs w:val="18"/>
        </w:rPr>
      </w:pPr>
      <w:bookmarkStart w:id="22" w:name="_MON_1405930822"/>
      <w:bookmarkEnd w:id="22"/>
    </w:p>
    <w:p w:rsidR="00CE12C1" w:rsidRDefault="00CE12C1">
      <w:pPr>
        <w:pStyle w:val="Telotextu"/>
        <w:rPr>
          <w:szCs w:val="18"/>
        </w:rPr>
      </w:pPr>
      <w:r>
        <w:object w:dxaOrig="4965" w:dyaOrig="1158">
          <v:shape id="ole_rId25" o:spid="_x0000_i1034" style="width:437.85pt;height:102.15pt" coordsize="" o:spt="100" adj="0,,0" path="" stroked="f">
            <v:stroke joinstyle="miter"/>
            <v:imagedata r:id="rId30" o:title=""/>
            <v:formulas/>
            <v:path o:connecttype="segments"/>
          </v:shape>
          <o:OLEObject Type="Embed" ProgID="Excel.Sheet.12" ShapeID="ole_rId25" DrawAspect="Content" ObjectID="_1528544323" r:id="rId31"/>
        </w:object>
      </w:r>
    </w:p>
    <w:p w:rsidR="00CE12C1" w:rsidRDefault="00CE12C1">
      <w:pPr>
        <w:pStyle w:val="Nadpis2"/>
        <w:ind w:firstLine="0"/>
        <w:rPr>
          <w:szCs w:val="18"/>
        </w:rPr>
      </w:pPr>
    </w:p>
    <w:p w:rsidR="00CE12C1" w:rsidRDefault="00CE12C1"/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Krátkodobý finančný majetok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Ako krátkodobý finančný majetok sú vykázané akcie v rôznych spoločnostiach a emisné kvóty:</w:t>
      </w:r>
    </w:p>
    <w:p w:rsidR="00CE12C1" w:rsidRDefault="00CE12C1">
      <w:pPr>
        <w:pStyle w:val="Telotextu"/>
        <w:rPr>
          <w:szCs w:val="18"/>
        </w:rPr>
      </w:pPr>
      <w:bookmarkStart w:id="23" w:name="_MON_1405930842"/>
      <w:bookmarkEnd w:id="23"/>
    </w:p>
    <w:p w:rsidR="00CE12C1" w:rsidRDefault="00CE12C1">
      <w:pPr>
        <w:ind w:left="426"/>
        <w:rPr>
          <w:sz w:val="18"/>
          <w:szCs w:val="18"/>
        </w:rPr>
      </w:pPr>
      <w:r>
        <w:object w:dxaOrig="5063" w:dyaOrig="1943">
          <v:shape id="ole_rId27" o:spid="_x0000_i1035" style="width:446.6pt;height:171.25pt" coordsize="" o:spt="100" adj="0,,0" path="" stroked="f">
            <v:stroke joinstyle="miter"/>
            <v:imagedata r:id="rId32" o:title=""/>
            <v:formulas/>
            <v:path o:connecttype="segments"/>
          </v:shape>
          <o:OLEObject Type="Embed" ProgID="Excel.Sheet.12" ShapeID="ole_rId27" DrawAspect="Content" ObjectID="_1528544324" r:id="rId33"/>
        </w:object>
      </w:r>
      <w:r w:rsidR="00872ECA">
        <w:br w:type="page"/>
      </w:r>
    </w:p>
    <w:p w:rsidR="00CE12C1" w:rsidRDefault="00CE12C1">
      <w:pPr>
        <w:ind w:left="426"/>
        <w:jc w:val="both"/>
        <w:rPr>
          <w:i/>
          <w:sz w:val="18"/>
          <w:szCs w:val="18"/>
        </w:rPr>
      </w:pPr>
    </w:p>
    <w:p w:rsidR="00CE12C1" w:rsidRDefault="00872ECA">
      <w:pPr>
        <w:rPr>
          <w:sz w:val="18"/>
          <w:szCs w:val="18"/>
        </w:rPr>
      </w:pPr>
      <w:r>
        <w:rPr>
          <w:sz w:val="18"/>
          <w:szCs w:val="18"/>
        </w:rPr>
        <w:t>Vývoj opravnej položky ku krátkodobému finančnému majetku:</w:t>
      </w:r>
    </w:p>
    <w:p w:rsidR="00CE12C1" w:rsidRDefault="00CE12C1">
      <w:pPr>
        <w:pStyle w:val="Telotextu"/>
        <w:ind w:left="0"/>
        <w:rPr>
          <w:i/>
          <w:szCs w:val="18"/>
          <w:u w:val="single"/>
        </w:rPr>
      </w:pPr>
    </w:p>
    <w:p w:rsidR="00CE12C1" w:rsidRDefault="00CE12C1">
      <w:pPr>
        <w:pStyle w:val="Telotextu"/>
        <w:ind w:left="0"/>
        <w:rPr>
          <w:i/>
          <w:szCs w:val="18"/>
          <w:u w:val="single"/>
        </w:rPr>
      </w:pPr>
    </w:p>
    <w:p w:rsidR="00CE12C1" w:rsidRDefault="00CE12C1">
      <w:pPr>
        <w:pStyle w:val="Telotextu"/>
        <w:rPr>
          <w:i/>
          <w:szCs w:val="18"/>
          <w:u w:val="single"/>
        </w:rPr>
      </w:pPr>
      <w:bookmarkStart w:id="24" w:name="_MON_1405945506"/>
      <w:bookmarkEnd w:id="24"/>
    </w:p>
    <w:p w:rsidR="00CE12C1" w:rsidRDefault="00CE12C1">
      <w:pPr>
        <w:rPr>
          <w:sz w:val="18"/>
          <w:szCs w:val="18"/>
        </w:rPr>
      </w:pPr>
      <w:r>
        <w:object w:dxaOrig="5203" w:dyaOrig="2291">
          <v:shape id="ole_rId29" o:spid="_x0000_i1036" style="width:458.75pt;height:201.9pt" coordsize="" o:spt="100" adj="0,,0" path="" stroked="f">
            <v:stroke joinstyle="miter"/>
            <v:imagedata r:id="rId34" o:title=""/>
            <v:formulas/>
            <v:path o:connecttype="segments"/>
          </v:shape>
          <o:OLEObject Type="Embed" ProgID="Excel.Sheet.12" ShapeID="ole_rId29" DrawAspect="Content" ObjectID="_1528544325" r:id="rId35"/>
        </w:object>
      </w:r>
    </w:p>
    <w:p w:rsidR="00CE12C1" w:rsidRDefault="00CE12C1">
      <w:pPr>
        <w:ind w:left="284" w:firstLine="426"/>
        <w:rPr>
          <w:sz w:val="18"/>
          <w:szCs w:val="18"/>
        </w:rPr>
      </w:pPr>
    </w:p>
    <w:p w:rsidR="00CE12C1" w:rsidRDefault="00CE12C1">
      <w:pPr>
        <w:ind w:left="284" w:firstLine="426"/>
        <w:rPr>
          <w:sz w:val="18"/>
          <w:szCs w:val="18"/>
        </w:rPr>
      </w:pPr>
    </w:p>
    <w:p w:rsidR="00CE12C1" w:rsidRDefault="00CE12C1">
      <w:pPr>
        <w:jc w:val="both"/>
        <w:rPr>
          <w:i/>
          <w:sz w:val="18"/>
          <w:szCs w:val="18"/>
        </w:rPr>
      </w:pPr>
    </w:p>
    <w:p w:rsidR="00CE12C1" w:rsidRDefault="00CE12C1">
      <w:pPr>
        <w:ind w:left="426"/>
        <w:rPr>
          <w:sz w:val="18"/>
          <w:szCs w:val="18"/>
        </w:rPr>
      </w:pPr>
    </w:p>
    <w:p w:rsidR="00CE12C1" w:rsidRDefault="00CE12C1">
      <w:pPr>
        <w:ind w:left="426"/>
        <w:rPr>
          <w:sz w:val="18"/>
          <w:szCs w:val="18"/>
        </w:rPr>
      </w:pPr>
    </w:p>
    <w:p w:rsidR="00CE12C1" w:rsidRDefault="00CE12C1">
      <w:pPr>
        <w:ind w:left="426"/>
        <w:rPr>
          <w:sz w:val="18"/>
          <w:szCs w:val="18"/>
        </w:rPr>
      </w:pPr>
      <w:bookmarkStart w:id="25" w:name="_MON_1405946221"/>
      <w:bookmarkEnd w:id="25"/>
    </w:p>
    <w:p w:rsidR="00CE12C1" w:rsidRDefault="00CE12C1">
      <w:pPr>
        <w:spacing w:after="200" w:line="276" w:lineRule="auto"/>
        <w:rPr>
          <w:sz w:val="18"/>
          <w:szCs w:val="18"/>
        </w:rPr>
      </w:pPr>
      <w:r>
        <w:object w:dxaOrig="5227" w:dyaOrig="597">
          <v:shape id="ole_rId31" o:spid="_x0000_i1037" style="width:461.2pt;height:52.55pt" coordsize="" o:spt="100" adj="0,,0" path="" stroked="f">
            <v:stroke joinstyle="miter"/>
            <v:imagedata r:id="rId36" o:title=""/>
            <v:formulas/>
            <v:path o:connecttype="segments"/>
          </v:shape>
          <o:OLEObject Type="Embed" ProgID="Excel.Sheet.12" ShapeID="ole_rId31" DrawAspect="Content" ObjectID="_1528544326" r:id="rId37"/>
        </w:object>
      </w:r>
    </w:p>
    <w:p w:rsidR="00CE12C1" w:rsidRDefault="00CE12C1">
      <w:pPr>
        <w:spacing w:after="200" w:line="276" w:lineRule="auto"/>
        <w:rPr>
          <w:sz w:val="18"/>
          <w:szCs w:val="18"/>
        </w:rPr>
      </w:pPr>
    </w:p>
    <w:p w:rsidR="00CE12C1" w:rsidRDefault="00CE12C1">
      <w:pPr>
        <w:ind w:left="426"/>
        <w:jc w:val="both"/>
        <w:rPr>
          <w:sz w:val="18"/>
          <w:szCs w:val="18"/>
        </w:rPr>
      </w:pPr>
    </w:p>
    <w:p w:rsidR="00CE12C1" w:rsidRDefault="00872ECA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p w:rsidR="00CE12C1" w:rsidRDefault="00CE12C1">
      <w:pPr>
        <w:ind w:left="426"/>
        <w:rPr>
          <w:sz w:val="18"/>
          <w:szCs w:val="18"/>
        </w:rPr>
      </w:pPr>
      <w:bookmarkStart w:id="26" w:name="_MON_1405946524"/>
      <w:bookmarkEnd w:id="26"/>
    </w:p>
    <w:p w:rsidR="00CE12C1" w:rsidRDefault="00CE12C1">
      <w:pPr>
        <w:ind w:left="426"/>
        <w:rPr>
          <w:sz w:val="18"/>
          <w:szCs w:val="18"/>
        </w:rPr>
      </w:pPr>
      <w:r>
        <w:object w:dxaOrig="4971" w:dyaOrig="2023">
          <v:shape id="ole_rId33" o:spid="_x0000_i1038" style="width:438.3pt;height:178.55pt" coordsize="" o:spt="100" adj="0,,0" path="" stroked="f">
            <v:stroke joinstyle="miter"/>
            <v:imagedata r:id="rId38" o:title=""/>
            <v:formulas/>
            <v:path o:connecttype="segments"/>
          </v:shape>
          <o:OLEObject Type="Embed" ProgID="Excel.Sheet.12" ShapeID="ole_rId33" DrawAspect="Content" ObjectID="_1528544327" r:id="rId39"/>
        </w:object>
      </w:r>
    </w:p>
    <w:p w:rsidR="00CE12C1" w:rsidRDefault="00CE12C1">
      <w:pPr>
        <w:rPr>
          <w:sz w:val="18"/>
          <w:szCs w:val="18"/>
        </w:rPr>
      </w:pPr>
    </w:p>
    <w:p w:rsidR="00CE12C1" w:rsidRDefault="00CE12C1">
      <w:pPr>
        <w:rPr>
          <w:sz w:val="18"/>
          <w:szCs w:val="18"/>
        </w:rPr>
      </w:pPr>
    </w:p>
    <w:p w:rsidR="00CE12C1" w:rsidRDefault="00CE12C1">
      <w:pPr>
        <w:rPr>
          <w:sz w:val="18"/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27" w:name="_Toc530739906"/>
      <w:bookmarkEnd w:id="27"/>
      <w:r>
        <w:rPr>
          <w:szCs w:val="18"/>
        </w:rPr>
        <w:lastRenderedPageBreak/>
        <w:t>Časové rozlíšenie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Ide o tieto položky:</w:t>
      </w:r>
    </w:p>
    <w:p w:rsidR="00CE12C1" w:rsidRDefault="00CE12C1">
      <w:pPr>
        <w:pStyle w:val="Telotextu"/>
        <w:rPr>
          <w:i/>
          <w:szCs w:val="18"/>
          <w:u w:val="single"/>
        </w:rPr>
      </w:pPr>
    </w:p>
    <w:p w:rsidR="00CE12C1" w:rsidRDefault="00CE12C1">
      <w:pPr>
        <w:pStyle w:val="Telotextu"/>
        <w:rPr>
          <w:szCs w:val="18"/>
        </w:rPr>
      </w:pPr>
      <w:bookmarkStart w:id="28" w:name="_MON_1405947617"/>
      <w:bookmarkEnd w:id="28"/>
    </w:p>
    <w:p w:rsidR="00CE12C1" w:rsidRDefault="00CE12C1">
      <w:pPr>
        <w:pStyle w:val="Telotextu"/>
        <w:rPr>
          <w:szCs w:val="18"/>
          <w:lang w:val="de-DE"/>
        </w:rPr>
      </w:pPr>
      <w:r>
        <w:object w:dxaOrig="4978" w:dyaOrig="2577">
          <v:shape id="ole_rId35" o:spid="_x0000_i1039" style="width:439.3pt;height:227.2pt" coordsize="" o:spt="100" adj="0,,0" path="" stroked="f">
            <v:stroke joinstyle="miter"/>
            <v:imagedata r:id="rId40" o:title=""/>
            <v:formulas/>
            <v:path o:connecttype="segments"/>
          </v:shape>
          <o:OLEObject Type="Embed" ProgID="Excel.Sheet.12" ShapeID="ole_rId35" DrawAspect="Content" ObjectID="_1528544328" r:id="rId41"/>
        </w:object>
      </w:r>
    </w:p>
    <w:p w:rsidR="00CE12C1" w:rsidRDefault="00CE12C1">
      <w:pPr>
        <w:pStyle w:val="Telotextu"/>
        <w:rPr>
          <w:szCs w:val="18"/>
          <w:lang w:val="de-DE"/>
        </w:rPr>
      </w:pPr>
    </w:p>
    <w:p w:rsidR="00CE12C1" w:rsidRDefault="00872ECA">
      <w:pPr>
        <w:spacing w:after="200" w:line="276" w:lineRule="auto"/>
        <w:rPr>
          <w:sz w:val="18"/>
          <w:szCs w:val="18"/>
        </w:rPr>
      </w:pPr>
      <w:r>
        <w:br w:type="page"/>
      </w:r>
    </w:p>
    <w:p w:rsidR="00CE12C1" w:rsidRDefault="00872ECA">
      <w:pPr>
        <w:pStyle w:val="Nadpis1"/>
        <w:numPr>
          <w:ilvl w:val="0"/>
          <w:numId w:val="2"/>
        </w:numPr>
        <w:ind w:left="360" w:firstLine="0"/>
        <w:rPr>
          <w:szCs w:val="18"/>
        </w:rPr>
      </w:pPr>
      <w:r>
        <w:rPr>
          <w:szCs w:val="18"/>
        </w:rPr>
        <w:lastRenderedPageBreak/>
        <w:t>Informácie o údajoch na strane pasív súvahy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Vlastné imanie</w:t>
      </w:r>
    </w:p>
    <w:p w:rsidR="00CE12C1" w:rsidRDefault="00CE12C1">
      <w:pPr>
        <w:rPr>
          <w:sz w:val="18"/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Informácie o vlastnom imaní sú uvedené v časti C a P.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6"/>
        </w:numPr>
        <w:rPr>
          <w:szCs w:val="18"/>
        </w:rPr>
      </w:pPr>
      <w:bookmarkStart w:id="29" w:name="_Toc530739908"/>
      <w:bookmarkEnd w:id="29"/>
      <w:r>
        <w:rPr>
          <w:szCs w:val="18"/>
        </w:rPr>
        <w:t>Rezervy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Prehľad o rezervách za bežné účtovné obdobie je uvedený v nasledujúcom prehľade:</w:t>
      </w:r>
    </w:p>
    <w:p w:rsidR="00CE12C1" w:rsidRDefault="00CE12C1">
      <w:pPr>
        <w:pStyle w:val="Telotextu"/>
        <w:jc w:val="left"/>
        <w:rPr>
          <w:szCs w:val="18"/>
        </w:rPr>
      </w:pPr>
      <w:bookmarkStart w:id="30" w:name="_MON_1405948469"/>
      <w:bookmarkEnd w:id="30"/>
    </w:p>
    <w:p w:rsidR="00CE12C1" w:rsidRDefault="00CE12C1">
      <w:pPr>
        <w:ind w:left="426"/>
        <w:rPr>
          <w:sz w:val="18"/>
          <w:szCs w:val="18"/>
        </w:rPr>
      </w:pPr>
      <w:r>
        <w:object w:dxaOrig="4971" w:dyaOrig="4679">
          <v:shape id="ole_rId37" o:spid="_x0000_i1040" style="width:438.3pt;height:412.55pt" coordsize="" o:spt="100" adj="0,,0" path="" stroked="f">
            <v:stroke joinstyle="miter"/>
            <v:imagedata r:id="rId42" o:title=""/>
            <v:formulas/>
            <v:path o:connecttype="segments"/>
          </v:shape>
          <o:OLEObject Type="Embed" ProgID="Excel.Sheet.12" ShapeID="ole_rId37" DrawAspect="Content" ObjectID="_1528544329" r:id="rId43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CE12C1">
      <w:pPr>
        <w:pStyle w:val="Telotextu"/>
        <w:ind w:left="0"/>
        <w:jc w:val="left"/>
        <w:rPr>
          <w:b/>
          <w:szCs w:val="18"/>
        </w:rPr>
      </w:pPr>
    </w:p>
    <w:p w:rsidR="00CE12C1" w:rsidRDefault="00872ECA">
      <w:pPr>
        <w:pStyle w:val="Telotextu"/>
        <w:ind w:left="0"/>
        <w:jc w:val="left"/>
        <w:rPr>
          <w:b/>
          <w:szCs w:val="18"/>
        </w:rPr>
      </w:pPr>
      <w:r>
        <w:rPr>
          <w:b/>
          <w:szCs w:val="18"/>
        </w:rPr>
        <w:t>Nevyfakturované dodávky majetku</w:t>
      </w:r>
    </w:p>
    <w:p w:rsidR="00CE12C1" w:rsidRDefault="00CE12C1">
      <w:pPr>
        <w:pStyle w:val="Telotextu"/>
        <w:jc w:val="left"/>
        <w:rPr>
          <w:b/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 xml:space="preserve">Rezervy na nevyfakturované dodávky majetku sa nevykazujú s vplyvom na výsledok hospodárenia. </w:t>
      </w:r>
    </w:p>
    <w:p w:rsidR="00CE12C1" w:rsidRDefault="00CE12C1">
      <w:pPr>
        <w:pStyle w:val="Telotextu"/>
        <w:jc w:val="left"/>
        <w:rPr>
          <w:szCs w:val="18"/>
        </w:rPr>
      </w:pPr>
    </w:p>
    <w:p w:rsidR="00CE12C1" w:rsidRDefault="00872ECA">
      <w:pPr>
        <w:rPr>
          <w:sz w:val="18"/>
          <w:szCs w:val="18"/>
        </w:rPr>
      </w:pPr>
      <w:r>
        <w:br w:type="page"/>
      </w:r>
    </w:p>
    <w:p w:rsidR="00CE12C1" w:rsidRDefault="00872ECA">
      <w:pPr>
        <w:pStyle w:val="Nadpis2"/>
        <w:numPr>
          <w:ilvl w:val="0"/>
          <w:numId w:val="3"/>
        </w:numPr>
        <w:tabs>
          <w:tab w:val="left" w:pos="426"/>
        </w:tabs>
        <w:ind w:left="426" w:hanging="426"/>
        <w:rPr>
          <w:szCs w:val="18"/>
        </w:rPr>
      </w:pPr>
      <w:bookmarkStart w:id="31" w:name="OLE_LINK18"/>
      <w:bookmarkStart w:id="32" w:name="OLE_LINK17"/>
      <w:bookmarkStart w:id="33" w:name="_Toc530739909"/>
      <w:bookmarkEnd w:id="31"/>
      <w:bookmarkEnd w:id="32"/>
      <w:bookmarkEnd w:id="33"/>
      <w:r>
        <w:rPr>
          <w:szCs w:val="18"/>
        </w:rPr>
        <w:lastRenderedPageBreak/>
        <w:t>Záväzky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Štruktúra záväzkov (okrem bankových úverov) podľa zostatkovej doby splatnosti je uvedená v nasledujúcom prehľade:</w:t>
      </w:r>
    </w:p>
    <w:p w:rsidR="00CE12C1" w:rsidRDefault="00CE12C1">
      <w:pPr>
        <w:pStyle w:val="Telotextu"/>
        <w:rPr>
          <w:szCs w:val="18"/>
        </w:rPr>
      </w:pPr>
      <w:bookmarkStart w:id="34" w:name="_MON_1405948528"/>
      <w:bookmarkEnd w:id="34"/>
    </w:p>
    <w:p w:rsidR="00CE12C1" w:rsidRDefault="00CE12C1">
      <w:pPr>
        <w:ind w:left="426"/>
        <w:rPr>
          <w:sz w:val="18"/>
          <w:szCs w:val="18"/>
        </w:rPr>
      </w:pPr>
      <w:r>
        <w:object w:dxaOrig="4959" w:dyaOrig="1724">
          <v:shape id="ole_rId39" o:spid="_x0000_i1041" style="width:437.35pt;height:152.25pt" coordsize="" o:spt="100" adj="0,,0" path="" stroked="f">
            <v:stroke joinstyle="miter"/>
            <v:imagedata r:id="rId44" o:title=""/>
            <v:formulas/>
            <v:path o:connecttype="segments"/>
          </v:shape>
          <o:OLEObject Type="Embed" ProgID="Excel.Sheet.12" ShapeID="ole_rId39" DrawAspect="Content" ObjectID="_1528544330" r:id="rId45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Súčasťou vekovej štruktúryzáväzkov nie je odložený daňovýzáväzok(účet 481), čistá hodnota zákazky(účet 316) a záväzky z derivátových operácií (účty 373, 377). Inform</w:t>
      </w: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ácie o odloženej dani sú uvedené v časti G.4, informácie o čistej hodnote zákazky v časti F.4. a F.5, informácie o derivátových transakciách v časti G.9.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Spoločnosť má záväzky z finančného prenájmu  osobného auta.  Výška budúcich platieb rozdelená na istinu a finančný náklad podľa doby splatnosti je uvedená v nasledujúcom prehľade:</w:t>
      </w:r>
    </w:p>
    <w:p w:rsidR="00CE12C1" w:rsidRDefault="00CE12C1">
      <w:pPr>
        <w:pStyle w:val="Telotextu"/>
        <w:rPr>
          <w:i/>
          <w:szCs w:val="18"/>
          <w:u w:val="single"/>
        </w:rPr>
      </w:pPr>
    </w:p>
    <w:p w:rsidR="00CE12C1" w:rsidRDefault="00CE12C1">
      <w:pPr>
        <w:pStyle w:val="Telotextu"/>
        <w:rPr>
          <w:i/>
          <w:szCs w:val="18"/>
          <w:u w:val="single"/>
        </w:rPr>
      </w:pPr>
    </w:p>
    <w:p w:rsidR="00CE12C1" w:rsidRDefault="00CE12C1">
      <w:pPr>
        <w:pStyle w:val="Telotextu"/>
        <w:rPr>
          <w:szCs w:val="18"/>
        </w:rPr>
      </w:pPr>
      <w:bookmarkStart w:id="35" w:name="_MON_1405948555"/>
      <w:bookmarkEnd w:id="35"/>
    </w:p>
    <w:p w:rsidR="00CE12C1" w:rsidRDefault="00CE12C1">
      <w:pPr>
        <w:pStyle w:val="Nadpis2"/>
        <w:ind w:left="0" w:firstLine="450"/>
        <w:rPr>
          <w:szCs w:val="18"/>
          <w:lang w:val="de-DE"/>
        </w:rPr>
      </w:pPr>
      <w:r>
        <w:object w:dxaOrig="4935" w:dyaOrig="1645">
          <v:shape id="ole_rId41" o:spid="_x0000_i1042" style="width:435.4pt;height:144.95pt" coordsize="" o:spt="100" adj="0,,0" path="" stroked="f">
            <v:stroke joinstyle="miter"/>
            <v:imagedata r:id="rId46" o:title=""/>
            <v:formulas/>
            <v:path o:connecttype="segments"/>
          </v:shape>
          <o:OLEObject Type="Embed" ProgID="Excel.Sheet.12" ShapeID="ole_rId41" DrawAspect="Content" ObjectID="_1528544331" r:id="rId47"/>
        </w:object>
      </w:r>
    </w:p>
    <w:p w:rsidR="00CE12C1" w:rsidRDefault="00CE12C1">
      <w:pPr>
        <w:pStyle w:val="Nadpis2"/>
        <w:ind w:firstLine="0"/>
        <w:rPr>
          <w:b w:val="0"/>
          <w:szCs w:val="18"/>
        </w:rPr>
      </w:pPr>
    </w:p>
    <w:p w:rsidR="00CE12C1" w:rsidRDefault="00872ECA">
      <w:pPr>
        <w:pStyle w:val="Nadpis2"/>
        <w:ind w:left="426" w:firstLine="0"/>
        <w:rPr>
          <w:szCs w:val="18"/>
        </w:rPr>
      </w:pPr>
      <w:bookmarkStart w:id="36" w:name="_Toc530739910"/>
      <w:bookmarkEnd w:id="36"/>
      <w:r>
        <w:br w:type="page"/>
      </w: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lastRenderedPageBreak/>
        <w:t>Odložený daňový záväzok</w:t>
      </w:r>
    </w:p>
    <w:p w:rsidR="00CE12C1" w:rsidRDefault="00CE12C1">
      <w:pPr>
        <w:rPr>
          <w:sz w:val="18"/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Výpočet odloženého daňového záväzku je uvedený v nasledujúcom prehľade:</w:t>
      </w:r>
    </w:p>
    <w:p w:rsidR="00CE12C1" w:rsidRDefault="00CE12C1">
      <w:pPr>
        <w:pStyle w:val="Telotextu"/>
        <w:rPr>
          <w:szCs w:val="18"/>
        </w:rPr>
      </w:pPr>
      <w:bookmarkStart w:id="37" w:name="_MON_1405948622"/>
      <w:bookmarkEnd w:id="37"/>
    </w:p>
    <w:p w:rsidR="00CE12C1" w:rsidRDefault="00CE12C1">
      <w:pPr>
        <w:pStyle w:val="Telotextu"/>
        <w:rPr>
          <w:sz w:val="16"/>
          <w:szCs w:val="16"/>
        </w:rPr>
      </w:pPr>
      <w:r>
        <w:object w:dxaOrig="4953" w:dyaOrig="3875">
          <v:shape id="ole_rId43" o:spid="_x0000_i1043" style="width:436.85pt;height:342pt" coordsize="" o:spt="100" adj="0,,0" path="" stroked="f">
            <v:stroke joinstyle="miter"/>
            <v:imagedata r:id="rId48" o:title=""/>
            <v:formulas/>
            <v:path o:connecttype="segments"/>
          </v:shape>
          <o:OLEObject Type="Embed" ProgID="Excel.Sheet.12" ShapeID="ole_rId43" DrawAspect="Content" ObjectID="_1528544332" r:id="rId49"/>
        </w:object>
      </w:r>
    </w:p>
    <w:p w:rsidR="00CE12C1" w:rsidRDefault="00CE12C1">
      <w:pPr>
        <w:pStyle w:val="Telotextu"/>
        <w:rPr>
          <w:sz w:val="16"/>
          <w:szCs w:val="16"/>
          <w:lang w:val="de-DE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spacing w:after="200" w:line="276" w:lineRule="auto"/>
        <w:rPr>
          <w:b/>
          <w:sz w:val="18"/>
          <w:szCs w:val="18"/>
        </w:rPr>
      </w:pPr>
      <w:r>
        <w:br w:type="page"/>
      </w: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38" w:name="_Toc530739911"/>
      <w:bookmarkEnd w:id="38"/>
      <w:r>
        <w:rPr>
          <w:szCs w:val="18"/>
        </w:rPr>
        <w:lastRenderedPageBreak/>
        <w:t>Sociálny fond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Tvorba a čerpanie sociálneho fondu v priebehu účtovného obdobia sú znázornené v nasledujúcom prehľade:</w:t>
      </w:r>
    </w:p>
    <w:p w:rsidR="00CE12C1" w:rsidRDefault="00CE12C1">
      <w:pPr>
        <w:pStyle w:val="Telotextu"/>
        <w:rPr>
          <w:szCs w:val="18"/>
        </w:rPr>
      </w:pPr>
      <w:bookmarkStart w:id="39" w:name="_MON_1405948668"/>
      <w:bookmarkEnd w:id="39"/>
    </w:p>
    <w:p w:rsidR="00CE12C1" w:rsidRDefault="00CE12C1">
      <w:pPr>
        <w:pStyle w:val="Telotextu"/>
        <w:rPr>
          <w:szCs w:val="18"/>
          <w:lang w:val="de-DE"/>
        </w:rPr>
      </w:pPr>
      <w:r>
        <w:object w:dxaOrig="4959" w:dyaOrig="1742">
          <v:shape id="ole_rId45" o:spid="_x0000_i1059" style="width:437.35pt;height:153.75pt" coordsize="" o:spt="100" adj="0,,0" path="" stroked="f">
            <v:stroke joinstyle="miter"/>
            <v:imagedata r:id="rId50" o:title=""/>
            <v:formulas/>
            <v:path o:connecttype="segments"/>
          </v:shape>
          <o:OLEObject Type="Embed" ProgID="Excel.Sheet.12" ShapeID="ole_rId45" DrawAspect="Content" ObjectID="_1528544333" r:id="rId51"/>
        </w:object>
      </w:r>
    </w:p>
    <w:p w:rsidR="00CE12C1" w:rsidRDefault="00CE12C1">
      <w:pPr>
        <w:pStyle w:val="Telotextu"/>
        <w:rPr>
          <w:color w:val="000000"/>
          <w:szCs w:val="18"/>
          <w:lang w:val="de-DE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40" w:name="_Toc530739912"/>
      <w:bookmarkEnd w:id="40"/>
      <w:r>
        <w:rPr>
          <w:szCs w:val="18"/>
        </w:rPr>
        <w:t>Bankové úvery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Štruktúra bankových úverov je uvedená v nasledujúcom prehľade:</w:t>
      </w:r>
    </w:p>
    <w:p w:rsidR="00CE12C1" w:rsidRDefault="00CE12C1">
      <w:pPr>
        <w:pStyle w:val="Telotextu"/>
        <w:rPr>
          <w:szCs w:val="18"/>
        </w:rPr>
      </w:pPr>
      <w:bookmarkStart w:id="41" w:name="_MON_1405949005"/>
      <w:bookmarkEnd w:id="41"/>
    </w:p>
    <w:p w:rsidR="00CE12C1" w:rsidRDefault="00CE12C1">
      <w:pPr>
        <w:pStyle w:val="Telotextu"/>
        <w:rPr>
          <w:szCs w:val="18"/>
        </w:rPr>
      </w:pPr>
      <w:r>
        <w:object w:dxaOrig="4983" w:dyaOrig="2742">
          <v:shape id="ole_rId47" o:spid="_x0000_i1044" style="width:439.3pt;height:241.8pt" coordsize="" o:spt="100" adj="0,,0" path="" stroked="f">
            <v:stroke joinstyle="miter"/>
            <v:imagedata r:id="rId52" o:title=""/>
            <v:formulas/>
            <v:path o:connecttype="segments"/>
          </v:shape>
          <o:OLEObject Type="Embed" ProgID="Excel.Sheet.12" ShapeID="ole_rId47" DrawAspect="Content" ObjectID="_1528544334" r:id="rId53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ind w:left="0"/>
        <w:rPr>
          <w:szCs w:val="18"/>
        </w:rPr>
      </w:pPr>
    </w:p>
    <w:p w:rsidR="00CE12C1" w:rsidRDefault="00CE12C1">
      <w:pPr>
        <w:pStyle w:val="Telotextu"/>
        <w:ind w:left="0"/>
        <w:rPr>
          <w:szCs w:val="18"/>
        </w:rPr>
      </w:pPr>
    </w:p>
    <w:p w:rsidR="00CE12C1" w:rsidRDefault="00872ECA">
      <w:pPr>
        <w:spacing w:after="200" w:line="276" w:lineRule="auto"/>
        <w:rPr>
          <w:sz w:val="18"/>
          <w:szCs w:val="18"/>
        </w:rPr>
      </w:pPr>
      <w:r>
        <w:br w:type="page"/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>Štruktúra pôžičiek je uvedená v nasledujúcom prehľade:</w:t>
      </w:r>
    </w:p>
    <w:p w:rsidR="00CE12C1" w:rsidRDefault="00872ECA">
      <w:pPr>
        <w:pStyle w:val="Telotextu"/>
        <w:ind w:left="0"/>
        <w:rPr>
          <w:i/>
          <w:szCs w:val="18"/>
          <w:u w:val="single"/>
        </w:rPr>
      </w:pPr>
      <w:r>
        <w:rPr>
          <w:i/>
          <w:szCs w:val="18"/>
          <w:u w:val="single"/>
        </w:rPr>
        <w:t>(Obsahová náplň a počet riadkov v tabuľke sa uvádzajú podľa potrieb účtovnej jednotky. Stĺpce sa nesmú meniť.Túto informáciu vymažte.)</w:t>
      </w:r>
    </w:p>
    <w:p w:rsidR="00CE12C1" w:rsidRDefault="00CE12C1">
      <w:pPr>
        <w:pStyle w:val="Telotextu"/>
        <w:rPr>
          <w:szCs w:val="18"/>
        </w:rPr>
      </w:pPr>
      <w:bookmarkStart w:id="42" w:name="_MON_1405949393"/>
      <w:bookmarkEnd w:id="42"/>
    </w:p>
    <w:p w:rsidR="00CE12C1" w:rsidRDefault="00CE12C1">
      <w:pPr>
        <w:pStyle w:val="Telotextu"/>
        <w:ind w:left="0"/>
        <w:rPr>
          <w:szCs w:val="18"/>
        </w:rPr>
      </w:pPr>
      <w:r>
        <w:object w:dxaOrig="5240" w:dyaOrig="3022">
          <v:shape id="ole_rId49" o:spid="_x0000_i1045" style="width:462.15pt;height:266.6pt" coordsize="" o:spt="100" adj="0,,0" path="" stroked="f">
            <v:stroke joinstyle="miter"/>
            <v:imagedata r:id="rId54" o:title=""/>
            <v:formulas/>
            <v:path o:connecttype="segments"/>
          </v:shape>
          <o:OLEObject Type="Embed" ProgID="Excel.Sheet.12" ShapeID="ole_rId49" DrawAspect="Content" ObjectID="_1528544335" r:id="rId55"/>
        </w:object>
      </w:r>
    </w:p>
    <w:p w:rsidR="00CE12C1" w:rsidRDefault="00872ECA">
      <w:pPr>
        <w:spacing w:after="200" w:line="276" w:lineRule="auto"/>
        <w:rPr>
          <w:sz w:val="18"/>
          <w:szCs w:val="18"/>
        </w:rPr>
      </w:pPr>
      <w:r>
        <w:br w:type="page"/>
      </w: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43" w:name="_Toc530739913"/>
      <w:bookmarkEnd w:id="43"/>
      <w:r>
        <w:rPr>
          <w:szCs w:val="18"/>
        </w:rPr>
        <w:lastRenderedPageBreak/>
        <w:t>Časové rozlíšenie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Štruktúra časového rozlíšenia je uvedená v nasledujúcom prehľade: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  <w:r>
        <w:object w:dxaOrig="4978" w:dyaOrig="2577">
          <v:shape id="ole_rId51" o:spid="_x0000_i1046" style="width:439.3pt;height:227.2pt" coordsize="" o:spt="100" adj="0,,0" path="" stroked="f">
            <v:stroke joinstyle="miter"/>
            <v:imagedata r:id="rId56" o:title=""/>
            <v:formulas/>
            <v:path o:connecttype="segments"/>
          </v:shape>
          <o:OLEObject Type="Embed" ProgID="Excel.Sheet.12" ShapeID="ole_rId51" DrawAspect="Content" ObjectID="_1528544336" r:id="rId57"/>
        </w:object>
      </w:r>
    </w:p>
    <w:p w:rsidR="00CE12C1" w:rsidRDefault="00CE12C1">
      <w:pPr>
        <w:pStyle w:val="Telotextu"/>
        <w:rPr>
          <w:szCs w:val="18"/>
        </w:rPr>
      </w:pPr>
      <w:bookmarkStart w:id="44" w:name="_MON_1405949598"/>
      <w:bookmarkEnd w:id="44"/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Zúčtovanie dotácií zo štátneho rozpočtu na obstaranie dlhodobého hmotného majetku a na hospodársku činnosť je vykázané v rámci ostatných výnosov z hospodárskej činnosti.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spacing w:after="200" w:line="276" w:lineRule="auto"/>
        <w:rPr>
          <w:sz w:val="18"/>
          <w:szCs w:val="18"/>
        </w:rPr>
      </w:pP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ind w:left="360" w:firstLine="0"/>
        <w:rPr>
          <w:szCs w:val="18"/>
        </w:rPr>
      </w:pPr>
      <w:r>
        <w:br w:type="page"/>
      </w:r>
    </w:p>
    <w:p w:rsidR="00CE12C1" w:rsidRDefault="00872ECA">
      <w:pPr>
        <w:pStyle w:val="Nadpis1"/>
        <w:tabs>
          <w:tab w:val="clear" w:pos="450"/>
          <w:tab w:val="left" w:pos="426"/>
        </w:tabs>
        <w:rPr>
          <w:szCs w:val="18"/>
        </w:rPr>
      </w:pPr>
      <w:r>
        <w:rPr>
          <w:szCs w:val="18"/>
        </w:rPr>
        <w:lastRenderedPageBreak/>
        <w:t>H.</w:t>
      </w:r>
      <w:r>
        <w:rPr>
          <w:szCs w:val="18"/>
        </w:rPr>
        <w:tab/>
        <w:t>informácie o výnosoch</w:t>
      </w:r>
    </w:p>
    <w:p w:rsidR="00CE12C1" w:rsidRDefault="00CE12C1">
      <w:pPr>
        <w:pStyle w:val="Nadpis2"/>
        <w:ind w:left="0" w:firstLine="0"/>
        <w:rPr>
          <w:szCs w:val="18"/>
        </w:rPr>
      </w:pPr>
    </w:p>
    <w:p w:rsidR="00CE12C1" w:rsidRDefault="00872ECA">
      <w:pPr>
        <w:pStyle w:val="Nadpis2"/>
        <w:numPr>
          <w:ilvl w:val="0"/>
          <w:numId w:val="9"/>
        </w:numPr>
        <w:rPr>
          <w:szCs w:val="18"/>
        </w:rPr>
      </w:pPr>
      <w:bookmarkStart w:id="45" w:name="_Toc530739914"/>
      <w:bookmarkEnd w:id="45"/>
      <w:r>
        <w:rPr>
          <w:szCs w:val="18"/>
        </w:rPr>
        <w:t>Tržby za vlastné výkony a tovar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CE12C1" w:rsidRDefault="00CE12C1">
      <w:pPr>
        <w:pStyle w:val="Telotextu"/>
        <w:rPr>
          <w:i/>
          <w:szCs w:val="18"/>
          <w:u w:val="single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  <w:bookmarkStart w:id="46" w:name="_MON_1405949910"/>
      <w:bookmarkEnd w:id="46"/>
    </w:p>
    <w:p w:rsidR="00CE12C1" w:rsidRDefault="00562BA8">
      <w:pPr>
        <w:pStyle w:val="Telotextu"/>
        <w:rPr>
          <w:szCs w:val="18"/>
        </w:rPr>
      </w:pPr>
      <w:r>
        <w:object w:dxaOrig="6651" w:dyaOrig="1684">
          <v:shape id="_x0000_i1061" type="#_x0000_t75" style="width:478.7pt;height:43.3pt" o:ole="" o:preferrelative="f" filled="t">
            <v:imagedata r:id="rId58" o:title=""/>
            <o:lock v:ext="edit" aspectratio="f"/>
          </v:shape>
          <o:OLEObject Type="Embed" ProgID="Excel.Sheet.12" ShapeID="_x0000_i1061" DrawAspect="Content" ObjectID="_1528544337" r:id="rId59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47" w:name="_Toc530739915"/>
      <w:bookmarkEnd w:id="47"/>
      <w:r>
        <w:rPr>
          <w:szCs w:val="18"/>
        </w:rPr>
        <w:t>Zmena stavu zásob vlastnej výroby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Zmena stavu zásob vlastnej výroby je znázornená v nasledujúcom prehľade:</w:t>
      </w:r>
    </w:p>
    <w:p w:rsidR="00CE12C1" w:rsidRDefault="00CE12C1">
      <w:pPr>
        <w:pStyle w:val="Telotextu"/>
        <w:rPr>
          <w:szCs w:val="18"/>
        </w:rPr>
      </w:pPr>
      <w:bookmarkStart w:id="48" w:name="_MON_1405949943"/>
      <w:bookmarkEnd w:id="48"/>
    </w:p>
    <w:p w:rsidR="00CE12C1" w:rsidRDefault="00CE12C1">
      <w:pPr>
        <w:pStyle w:val="Telotextu"/>
        <w:rPr>
          <w:szCs w:val="18"/>
        </w:rPr>
      </w:pPr>
      <w:r>
        <w:object w:dxaOrig="4959" w:dyaOrig="2498">
          <v:shape id="ole_rId55" o:spid="_x0000_i1047" style="width:437.35pt;height:220.4pt" coordsize="" o:spt="100" adj="0,,0" path="" stroked="f">
            <v:stroke joinstyle="miter"/>
            <v:imagedata r:id="rId60" o:title=""/>
            <v:formulas/>
            <v:path o:connecttype="segments"/>
          </v:shape>
          <o:OLEObject Type="Embed" ProgID="Excel.Sheet.12" ShapeID="ole_rId55" DrawAspect="Content" ObjectID="_1528544338" r:id="rId61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CE12C1" w:rsidRDefault="00CE12C1">
      <w:pPr>
        <w:pStyle w:val="Telotextu"/>
        <w:ind w:left="0"/>
        <w:rPr>
          <w:szCs w:val="18"/>
        </w:rPr>
      </w:pPr>
    </w:p>
    <w:p w:rsidR="00CE12C1" w:rsidRDefault="00872ECA">
      <w:pPr>
        <w:spacing w:after="200" w:line="276" w:lineRule="auto"/>
        <w:rPr>
          <w:sz w:val="18"/>
          <w:szCs w:val="18"/>
        </w:rPr>
      </w:pPr>
      <w:r>
        <w:br w:type="page"/>
      </w: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bookmarkStart w:id="49" w:name="_Toc530739916"/>
      <w:r>
        <w:rPr>
          <w:szCs w:val="18"/>
        </w:rPr>
        <w:lastRenderedPageBreak/>
        <w:t>Aktivácia</w:t>
      </w:r>
      <w:bookmarkEnd w:id="49"/>
      <w:r>
        <w:rPr>
          <w:szCs w:val="18"/>
        </w:rPr>
        <w:t xml:space="preserve"> nákladov, výnosy z hospodárskej činnosti, finančnej činnosti a mimoriadnej činnosti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 xml:space="preserve">Prehľad o výnosoch pri aktivácii nákladov, výnosoch z hospodárskej činnosti, finančnej činnosti a mimoriadnej činnosti je uvedený v nasledujúcom prehľade: </w:t>
      </w:r>
    </w:p>
    <w:p w:rsidR="00CE12C1" w:rsidRDefault="00CE12C1">
      <w:pPr>
        <w:pStyle w:val="Telotextu"/>
        <w:rPr>
          <w:i/>
          <w:szCs w:val="18"/>
          <w:u w:val="single"/>
        </w:rPr>
      </w:pPr>
    </w:p>
    <w:p w:rsidR="00CE12C1" w:rsidRDefault="00CE12C1">
      <w:pPr>
        <w:pStyle w:val="Telotextu"/>
        <w:rPr>
          <w:szCs w:val="18"/>
        </w:rPr>
      </w:pPr>
      <w:bookmarkStart w:id="50" w:name="_MON_1405949975"/>
      <w:bookmarkEnd w:id="50"/>
    </w:p>
    <w:p w:rsidR="00CE12C1" w:rsidRDefault="00CE12C1">
      <w:pPr>
        <w:pStyle w:val="Telotextu"/>
        <w:rPr>
          <w:szCs w:val="18"/>
        </w:rPr>
      </w:pPr>
      <w:r>
        <w:object w:dxaOrig="4959" w:dyaOrig="4429">
          <v:shape id="ole_rId57" o:spid="_x0000_i1048" style="width:437.35pt;height:390.65pt" coordsize="" o:spt="100" adj="0,,0" path="" stroked="f">
            <v:stroke joinstyle="miter"/>
            <v:imagedata r:id="rId62" o:title=""/>
            <v:formulas/>
            <v:path o:connecttype="segments"/>
          </v:shape>
          <o:OLEObject Type="Embed" ProgID="Excel.Sheet.12" ShapeID="ole_rId57" DrawAspect="Content" ObjectID="_1528544339" r:id="rId63"/>
        </w:object>
      </w:r>
    </w:p>
    <w:p w:rsidR="00CE12C1" w:rsidRDefault="00CE12C1">
      <w:pPr>
        <w:ind w:left="426"/>
        <w:jc w:val="both"/>
        <w:rPr>
          <w:sz w:val="18"/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  <w:highlight w:val="yellow"/>
          <w:lang w:val="de-DE"/>
        </w:rPr>
      </w:pPr>
    </w:p>
    <w:p w:rsidR="00CE12C1" w:rsidRDefault="00872ECA">
      <w:pPr>
        <w:spacing w:after="200" w:line="276" w:lineRule="auto"/>
        <w:rPr>
          <w:b/>
          <w:sz w:val="18"/>
          <w:szCs w:val="18"/>
        </w:rPr>
      </w:pPr>
      <w:r>
        <w:br w:type="page"/>
      </w: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lastRenderedPageBreak/>
        <w:t xml:space="preserve">Čistý obrat 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Čistý obrat Spoločnosti na účely zistenia povinnosti overenia individuálnej účtovnej závierky audítorom[§ 19 ods. 1 písm. a) zákona o účtovníctve] je uvedený v nasledujúcom prehľade: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  <w:bookmarkStart w:id="51" w:name="_MON_1405950002"/>
      <w:bookmarkEnd w:id="51"/>
    </w:p>
    <w:p w:rsidR="00CE12C1" w:rsidRDefault="00CE12C1">
      <w:pPr>
        <w:pStyle w:val="Telotextu"/>
        <w:rPr>
          <w:szCs w:val="18"/>
        </w:rPr>
      </w:pPr>
      <w:r>
        <w:object w:dxaOrig="4959" w:dyaOrig="1493">
          <v:shape id="ole_rId59" o:spid="_x0000_i1049" style="width:437.35pt;height:131.85pt" coordsize="" o:spt="100" adj="0,,0" path="" stroked="f">
            <v:stroke joinstyle="miter"/>
            <v:imagedata r:id="rId64" o:title=""/>
            <v:formulas/>
            <v:path o:connecttype="segments"/>
          </v:shape>
          <o:OLEObject Type="Embed" ProgID="Excel.Sheet.12" ShapeID="ole_rId59" DrawAspect="Content" ObjectID="_1528544340" r:id="rId65"/>
        </w:object>
      </w: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240" w:after="60"/>
        <w:ind w:left="360" w:firstLine="0"/>
        <w:rPr>
          <w:szCs w:val="18"/>
        </w:rPr>
      </w:pPr>
      <w:r>
        <w:rPr>
          <w:szCs w:val="18"/>
        </w:rPr>
        <w:t>Informácie o nákladoch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Náklady na poskytnuté služby, ostatné náklady na hospodársku činnosť, finančné a mimoriadne náklady </w:t>
      </w:r>
    </w:p>
    <w:p w:rsidR="00CE12C1" w:rsidRDefault="00CE12C1">
      <w:pPr>
        <w:rPr>
          <w:sz w:val="18"/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Prehľad o nákladoch na poskytnuté služby, ostatných nákladoch na hospodársku činnosť, finančných a mimoriadnych nákladoch: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Nadpis2"/>
        <w:ind w:left="426" w:firstLine="0"/>
        <w:rPr>
          <w:szCs w:val="18"/>
        </w:rPr>
      </w:pPr>
    </w:p>
    <w:bookmarkStart w:id="52" w:name="_MON_1405950034"/>
    <w:bookmarkEnd w:id="52"/>
    <w:p w:rsidR="00CE12C1" w:rsidRDefault="00CE12C1">
      <w:pPr>
        <w:pStyle w:val="Telotextu"/>
        <w:rPr>
          <w:szCs w:val="18"/>
        </w:rPr>
      </w:pPr>
      <w:r>
        <w:object w:dxaOrig="4971" w:dyaOrig="5788">
          <v:shape id="ole_rId61" o:spid="_x0000_i1050" style="width:438.3pt;height:510.3pt" coordsize="" o:spt="100" adj="0,,0" path="" stroked="f">
            <v:stroke joinstyle="miter"/>
            <v:imagedata r:id="rId66" o:title=""/>
            <v:formulas/>
            <v:path o:connecttype="segments"/>
          </v:shape>
          <o:OLEObject Type="Embed" ProgID="Excel.Sheet.12" ShapeID="ole_rId61" DrawAspect="Content" ObjectID="_1528544341" r:id="rId67"/>
        </w:object>
      </w:r>
      <w:r w:rsidR="00872ECA">
        <w:rPr>
          <w:szCs w:val="18"/>
        </w:rPr>
        <w:br/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  <w:lang w:val="de-DE"/>
        </w:rPr>
      </w:pP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120"/>
        <w:ind w:left="360" w:firstLine="0"/>
        <w:rPr>
          <w:szCs w:val="18"/>
        </w:rPr>
      </w:pPr>
      <w:r>
        <w:rPr>
          <w:szCs w:val="18"/>
        </w:rPr>
        <w:t>Informácie o daniach z príjmov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bookmarkStart w:id="53" w:name="_MON_1405950056"/>
      <w:bookmarkEnd w:id="53"/>
      <w:r>
        <w:rPr>
          <w:szCs w:val="18"/>
        </w:rPr>
        <w:t>Prevod od teoretickej dane z príjmov k vykázanej dani z príjmov je uvedený v nasledujúcom prehľade:</w:t>
      </w:r>
    </w:p>
    <w:p w:rsidR="00CE12C1" w:rsidRDefault="00562BA8">
      <w:pPr>
        <w:pStyle w:val="Telotextu"/>
        <w:rPr>
          <w:szCs w:val="18"/>
        </w:rPr>
      </w:pPr>
      <w:r>
        <w:object w:dxaOrig="9247" w:dyaOrig="4940">
          <v:shape id="_x0000_i1060" type="#_x0000_t75" style="width:458.75pt;height:154.2pt" o:ole="" o:preferrelative="f" filled="t">
            <v:imagedata r:id="rId68" o:title=""/>
            <o:lock v:ext="edit" aspectratio="f"/>
          </v:shape>
          <o:OLEObject Type="Embed" ProgID="Excel.Sheet.12" ShapeID="_x0000_i1060" DrawAspect="Content" ObjectID="_1528544342" r:id="rId69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Ďalšie informácie k odloženým daniam:</w:t>
      </w:r>
    </w:p>
    <w:p w:rsidR="00CE12C1" w:rsidRDefault="00872ECA">
      <w:pPr>
        <w:pStyle w:val="Telotextu"/>
        <w:rPr>
          <w:i/>
          <w:szCs w:val="18"/>
          <w:u w:val="single"/>
        </w:rPr>
      </w:pPr>
      <w:bookmarkStart w:id="54" w:name="_MON_1405950083"/>
      <w:bookmarkEnd w:id="54"/>
      <w:r>
        <w:rPr>
          <w:i/>
          <w:szCs w:val="18"/>
          <w:u w:val="single"/>
        </w:rPr>
        <w:t>(Obsahová náplň, počet riadkov a stĺpcov v tabuľke sa nesmú meniť. Túto informáciu vymažte.)</w:t>
      </w:r>
    </w:p>
    <w:p w:rsidR="00CE12C1" w:rsidRDefault="00CE12C1">
      <w:pPr>
        <w:pStyle w:val="Telotextu"/>
        <w:rPr>
          <w:szCs w:val="18"/>
        </w:rPr>
      </w:pPr>
      <w:r>
        <w:object w:dxaOrig="4959" w:dyaOrig="3412">
          <v:shape id="ole_rId65" o:spid="_x0000_i1051" style="width:437.35pt;height:301.15pt" coordsize="" o:spt="100" adj="0,,0" path="" stroked="f">
            <v:stroke joinstyle="miter"/>
            <v:imagedata r:id="rId70" o:title=""/>
            <v:formulas/>
            <v:path o:connecttype="segments"/>
          </v:shape>
          <o:OLEObject Type="Embed" ProgID="Excel.Sheet.12" ShapeID="ole_rId65" DrawAspect="Content" ObjectID="_1528544343" r:id="rId71"/>
        </w:object>
      </w:r>
      <w:r w:rsidR="00872ECA">
        <w:br w:type="page"/>
      </w: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600" w:after="60"/>
        <w:ind w:left="360" w:firstLine="0"/>
        <w:rPr>
          <w:szCs w:val="18"/>
        </w:rPr>
      </w:pPr>
      <w:r>
        <w:rPr>
          <w:szCs w:val="18"/>
        </w:rPr>
        <w:lastRenderedPageBreak/>
        <w:t>Informácie o údajoch na podsúvahových  účtoch</w:t>
      </w:r>
    </w:p>
    <w:p w:rsidR="00CE12C1" w:rsidRDefault="00CE12C1">
      <w:pPr>
        <w:pStyle w:val="Telotextu"/>
        <w:rPr>
          <w:b/>
          <w:i/>
          <w:szCs w:val="18"/>
          <w:u w:val="single"/>
        </w:rPr>
      </w:pPr>
    </w:p>
    <w:p w:rsidR="00CE12C1" w:rsidRDefault="00872ECA">
      <w:pPr>
        <w:pStyle w:val="Telotextu"/>
        <w:rPr>
          <w:b/>
          <w:i/>
          <w:szCs w:val="18"/>
          <w:u w:val="single"/>
        </w:rPr>
      </w:pPr>
      <w:r>
        <w:rPr>
          <w:b/>
          <w:i/>
          <w:szCs w:val="18"/>
          <w:u w:val="single"/>
        </w:rPr>
        <w:t>Najatý majetok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Spoločnosť má v nájme (operatívny prenájom) :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Spoločnosť má časť administratívnych priestorov  v nájme od tretej osoby :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b/>
          <w:i/>
          <w:szCs w:val="18"/>
          <w:u w:val="single"/>
        </w:rPr>
      </w:pPr>
      <w:r>
        <w:rPr>
          <w:b/>
          <w:i/>
          <w:szCs w:val="18"/>
          <w:u w:val="single"/>
        </w:rPr>
        <w:t>Prenajatý majetok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Spoločnosť prenajíma :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240" w:after="60"/>
        <w:ind w:left="360" w:firstLine="0"/>
        <w:rPr>
          <w:szCs w:val="18"/>
        </w:rPr>
      </w:pPr>
      <w:r>
        <w:rPr>
          <w:szCs w:val="18"/>
        </w:rPr>
        <w:t>Informácie o iných aktívach a iných pasívach</w:t>
      </w:r>
    </w:p>
    <w:p w:rsidR="00CE12C1" w:rsidRDefault="00CE12C1">
      <w:pPr>
        <w:pStyle w:val="Telotextu"/>
        <w:ind w:left="0"/>
        <w:rPr>
          <w:szCs w:val="18"/>
        </w:rPr>
      </w:pPr>
    </w:p>
    <w:p w:rsidR="00CE12C1" w:rsidRDefault="00872ECA">
      <w:pPr>
        <w:pStyle w:val="Nadpis2"/>
        <w:numPr>
          <w:ilvl w:val="0"/>
          <w:numId w:val="10"/>
        </w:numPr>
        <w:rPr>
          <w:szCs w:val="18"/>
        </w:rPr>
      </w:pPr>
      <w:bookmarkStart w:id="55" w:name="_Toc530739921"/>
      <w:bookmarkEnd w:id="55"/>
      <w:r>
        <w:rPr>
          <w:szCs w:val="18"/>
        </w:rPr>
        <w:t>Podmienené záväzky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Spoločnosť nemá podmienené záväzky, ktoré sa nesledujú v bežnom účtovníctve a neuvádzajú sa v súvahe.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2"/>
        <w:numPr>
          <w:ilvl w:val="0"/>
          <w:numId w:val="3"/>
        </w:numPr>
        <w:rPr>
          <w:szCs w:val="18"/>
        </w:rPr>
      </w:pPr>
      <w:r>
        <w:rPr>
          <w:szCs w:val="18"/>
        </w:rPr>
        <w:t>Podmienený majetok</w:t>
      </w:r>
    </w:p>
    <w:p w:rsidR="00CE12C1" w:rsidRDefault="00CE12C1">
      <w:pPr>
        <w:rPr>
          <w:sz w:val="18"/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>Spoločnosť nemá podmienené majetok.</w:t>
      </w:r>
    </w:p>
    <w:p w:rsidR="00CE12C1" w:rsidRDefault="00CE12C1">
      <w:pPr>
        <w:pStyle w:val="Telotextu"/>
        <w:ind w:left="0"/>
        <w:rPr>
          <w:szCs w:val="18"/>
        </w:rPr>
      </w:pP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120" w:after="60"/>
        <w:ind w:left="360" w:firstLine="0"/>
        <w:rPr>
          <w:szCs w:val="18"/>
        </w:rPr>
      </w:pPr>
      <w:bookmarkStart w:id="56" w:name="_Toc530739923"/>
      <w:r>
        <w:rPr>
          <w:szCs w:val="18"/>
        </w:rPr>
        <w:t>Informácie o príjmoch a výhodách členov štatutárnych orgánov, dozorných orgánov</w:t>
      </w:r>
      <w:bookmarkEnd w:id="56"/>
      <w:r>
        <w:rPr>
          <w:szCs w:val="18"/>
        </w:rPr>
        <w:t xml:space="preserve"> a iných orgánov účtovnej jednotky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 xml:space="preserve">Odmeny  členov štatutárnych orgánov Spoločnosti z dôvodu výkonu ich funkcie pre Spoločnosť v sledovanom účtovnom období boli vo výške  0 EUR (v roku 2013:  0 EUR), odmeny dozorných orgánov Spoločnosti vo výške </w:t>
      </w:r>
      <w:r>
        <w:rPr>
          <w:szCs w:val="18"/>
        </w:rPr>
        <w:br/>
        <w:t xml:space="preserve"> 0 EUR (v roku 2013:     0 EUR).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Členom štatutárnemu orgánu, ani členom dozorných orgánov neboli v roku 2014 poskytnuté žiadne pôžičky, záruky alebo iné formy zabezpečenia, ani finančné prostriedky alebo iné plnenia na súkromné účely členov, ktoré sa vyúčtovávajú (v roku 2013: žiadne).</w:t>
      </w:r>
    </w:p>
    <w:p w:rsidR="00CE12C1" w:rsidRDefault="00872ECA">
      <w:pPr>
        <w:spacing w:after="200" w:line="276" w:lineRule="auto"/>
        <w:rPr>
          <w:sz w:val="18"/>
          <w:szCs w:val="18"/>
        </w:rPr>
      </w:pPr>
      <w:r>
        <w:br w:type="page"/>
      </w: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120" w:after="60"/>
        <w:ind w:left="360" w:firstLine="0"/>
        <w:rPr>
          <w:szCs w:val="18"/>
        </w:rPr>
      </w:pPr>
      <w:bookmarkStart w:id="57" w:name="_Toc530739924"/>
      <w:bookmarkEnd w:id="57"/>
      <w:r>
        <w:rPr>
          <w:szCs w:val="18"/>
        </w:rPr>
        <w:lastRenderedPageBreak/>
        <w:t>Informácie o ekonomických vzťahoch účtovnej jednotky a spriaznených osôb</w:t>
      </w:r>
    </w:p>
    <w:p w:rsidR="00CE12C1" w:rsidRDefault="00CE12C1">
      <w:pPr>
        <w:ind w:left="426"/>
        <w:jc w:val="both"/>
        <w:rPr>
          <w:sz w:val="18"/>
          <w:szCs w:val="18"/>
        </w:rPr>
      </w:pPr>
    </w:p>
    <w:p w:rsidR="00CE12C1" w:rsidRDefault="00872ECA">
      <w:pPr>
        <w:ind w:left="567" w:hanging="141"/>
        <w:jc w:val="both"/>
        <w:rPr>
          <w:sz w:val="18"/>
          <w:szCs w:val="18"/>
        </w:rPr>
      </w:pPr>
      <w:r>
        <w:rPr>
          <w:sz w:val="18"/>
          <w:szCs w:val="18"/>
        </w:rPr>
        <w:t>Spoločnosť uskutočnila v priebehu účtovného obdobia nasledujúce transakcie so spriaznenými osobami:</w:t>
      </w:r>
    </w:p>
    <w:p w:rsidR="00CE12C1" w:rsidRDefault="00CE12C1">
      <w:pPr>
        <w:jc w:val="both"/>
        <w:rPr>
          <w:i/>
          <w:sz w:val="18"/>
          <w:szCs w:val="18"/>
          <w:u w:val="single"/>
        </w:rPr>
      </w:pPr>
      <w:bookmarkStart w:id="58" w:name="_MON_1405950497"/>
      <w:bookmarkEnd w:id="58"/>
    </w:p>
    <w:p w:rsidR="00CE12C1" w:rsidRDefault="00CE12C1">
      <w:pPr>
        <w:pStyle w:val="Telotextu"/>
        <w:rPr>
          <w:szCs w:val="18"/>
        </w:rPr>
      </w:pPr>
      <w:r>
        <w:object w:dxaOrig="5008" w:dyaOrig="5739">
          <v:shape id="ole_rId67" o:spid="_x0000_i1052" style="width:441.75pt;height:505.95pt" coordsize="" o:spt="100" adj="0,,0" path="" stroked="f">
            <v:stroke joinstyle="miter"/>
            <v:imagedata r:id="rId72" o:title=""/>
            <v:formulas/>
            <v:path o:connecttype="segments"/>
          </v:shape>
          <o:OLEObject Type="Embed" ProgID="Excel.Sheet.12" ShapeID="ole_rId67" DrawAspect="Content" ObjectID="_1528544344" r:id="rId73"/>
        </w:object>
      </w:r>
      <w:r w:rsidR="00872ECA">
        <w:br w:type="page"/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120" w:after="60"/>
        <w:ind w:left="360" w:firstLine="0"/>
        <w:rPr>
          <w:szCs w:val="18"/>
        </w:rPr>
      </w:pPr>
      <w:bookmarkStart w:id="59" w:name="_Toc530739925"/>
      <w:bookmarkEnd w:id="59"/>
      <w:r>
        <w:rPr>
          <w:szCs w:val="18"/>
        </w:rPr>
        <w:t>Informácie o skutočnostiach, ktoré nastali po dni, ku ktorému sa zostavuje účtovná závierka, do dňa zostavenia účtovnej závierky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Po 31. decembri 2014 nenastali udalosti majúce významný vplyv na verné zobrazenie skutočností, ktoré sú predmetom účtovníctva.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spacing w:after="200" w:line="276" w:lineRule="auto"/>
        <w:rPr>
          <w:b/>
          <w:caps/>
          <w:sz w:val="18"/>
          <w:szCs w:val="18"/>
        </w:rPr>
      </w:pPr>
    </w:p>
    <w:p w:rsidR="00CE12C1" w:rsidRDefault="00872ECA">
      <w:pPr>
        <w:pStyle w:val="Nadpis1"/>
        <w:numPr>
          <w:ilvl w:val="0"/>
          <w:numId w:val="2"/>
        </w:numPr>
        <w:tabs>
          <w:tab w:val="left" w:pos="360"/>
        </w:tabs>
        <w:spacing w:before="120" w:after="60"/>
        <w:ind w:left="360" w:firstLine="0"/>
        <w:rPr>
          <w:szCs w:val="18"/>
        </w:rPr>
      </w:pPr>
      <w:bookmarkStart w:id="60" w:name="_Toc530739907"/>
      <w:bookmarkEnd w:id="60"/>
      <w:r>
        <w:rPr>
          <w:szCs w:val="18"/>
        </w:rPr>
        <w:t>Informácie o Vlastnom imaní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rPr>
          <w:szCs w:val="18"/>
        </w:rPr>
      </w:pPr>
      <w:r>
        <w:rPr>
          <w:szCs w:val="18"/>
        </w:rPr>
        <w:t>Prehľad o pohybe vlastného imania v priebehu účtovného obdobia je uvedený v nasledujúcej tabuľke: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ind w:left="0"/>
        <w:rPr>
          <w:szCs w:val="18"/>
        </w:rPr>
      </w:pPr>
      <w:bookmarkStart w:id="61" w:name="_MON_1405950579"/>
      <w:bookmarkEnd w:id="61"/>
    </w:p>
    <w:p w:rsidR="00CE12C1" w:rsidRDefault="00CE12C1">
      <w:pPr>
        <w:pStyle w:val="Telotextu"/>
        <w:rPr>
          <w:szCs w:val="18"/>
        </w:rPr>
      </w:pPr>
      <w:r>
        <w:object w:dxaOrig="4959" w:dyaOrig="3875">
          <v:shape id="ole_rId69" o:spid="_x0000_i1053" style="width:437.35pt;height:342pt" coordsize="" o:spt="100" adj="0,,0" path="" stroked="f">
            <v:stroke joinstyle="miter"/>
            <v:imagedata r:id="rId74" o:title=""/>
            <v:formulas/>
            <v:path o:connecttype="segments"/>
          </v:shape>
          <o:OLEObject Type="Embed" ProgID="Excel.Sheet.12" ShapeID="ole_rId69" DrawAspect="Content" ObjectID="_1528544345" r:id="rId75"/>
        </w:object>
      </w:r>
    </w:p>
    <w:p w:rsidR="00CE12C1" w:rsidRDefault="00CE12C1">
      <w:pPr>
        <w:ind w:left="426"/>
        <w:jc w:val="both"/>
        <w:rPr>
          <w:sz w:val="18"/>
          <w:szCs w:val="18"/>
        </w:rPr>
      </w:pPr>
    </w:p>
    <w:p w:rsidR="00CE12C1" w:rsidRDefault="00CE12C1">
      <w:pPr>
        <w:ind w:left="426"/>
        <w:jc w:val="both"/>
        <w:rPr>
          <w:sz w:val="18"/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spacing w:after="200" w:line="276" w:lineRule="auto"/>
        <w:rPr>
          <w:sz w:val="18"/>
          <w:szCs w:val="18"/>
        </w:rPr>
      </w:pPr>
      <w:r>
        <w:br w:type="page"/>
      </w: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lastRenderedPageBreak/>
        <w:t>Prehľad o pohybe vlastného imania za predchádzajúce účtovné obdobie je uvedený v nasledujúcejtabuľke:</w:t>
      </w:r>
    </w:p>
    <w:p w:rsidR="00CE12C1" w:rsidRDefault="00CE12C1">
      <w:pPr>
        <w:spacing w:line="276" w:lineRule="auto"/>
        <w:rPr>
          <w:sz w:val="18"/>
          <w:szCs w:val="18"/>
        </w:rPr>
      </w:pPr>
      <w:bookmarkStart w:id="62" w:name="_MON_1475596442"/>
      <w:bookmarkEnd w:id="62"/>
    </w:p>
    <w:p w:rsidR="00CE12C1" w:rsidRDefault="00CE12C1">
      <w:pPr>
        <w:spacing w:line="276" w:lineRule="auto"/>
        <w:rPr>
          <w:i/>
          <w:sz w:val="18"/>
          <w:szCs w:val="18"/>
        </w:rPr>
      </w:pPr>
      <w:r>
        <w:object w:dxaOrig="5215" w:dyaOrig="4003">
          <v:shape id="ole_rId71" o:spid="_x0000_i1054" style="width:459.75pt;height:353.2pt" coordsize="" o:spt="100" adj="0,,0" path="" stroked="f">
            <v:stroke joinstyle="miter"/>
            <v:imagedata r:id="rId76" o:title=""/>
            <v:formulas/>
            <v:path o:connecttype="segments"/>
          </v:shape>
          <o:OLEObject Type="Embed" ProgID="Excel.Sheet.12" ShapeID="ole_rId71" DrawAspect="Content" ObjectID="_1528544346" r:id="rId77"/>
        </w:object>
      </w:r>
    </w:p>
    <w:p w:rsidR="00CE12C1" w:rsidRDefault="00CE12C1">
      <w:pPr>
        <w:pStyle w:val="Telotextu"/>
        <w:ind w:left="0"/>
        <w:rPr>
          <w:i/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>Účtovný zisk za rok 2014 bol rozdelený takto:</w:t>
      </w:r>
    </w:p>
    <w:p w:rsidR="00CE12C1" w:rsidRDefault="00CE12C1">
      <w:pPr>
        <w:pStyle w:val="Telotextu"/>
        <w:rPr>
          <w:szCs w:val="18"/>
        </w:rPr>
      </w:pPr>
      <w:bookmarkStart w:id="63" w:name="_MON_1405948107"/>
      <w:bookmarkEnd w:id="63"/>
    </w:p>
    <w:p w:rsidR="00CE12C1" w:rsidRDefault="00CE12C1">
      <w:pPr>
        <w:pStyle w:val="Telotextu"/>
        <w:ind w:left="0"/>
        <w:rPr>
          <w:szCs w:val="18"/>
        </w:rPr>
      </w:pPr>
      <w:r>
        <w:object w:dxaOrig="5154" w:dyaOrig="408">
          <v:shape id="ole_rId73" o:spid="_x0000_i1055" style="width:454.4pt;height:36pt" coordsize="" o:spt="100" adj="0,,0" path="" stroked="f">
            <v:stroke joinstyle="miter"/>
            <v:imagedata r:id="rId78" o:title=""/>
            <v:formulas/>
            <v:path o:connecttype="segments"/>
          </v:shape>
          <o:OLEObject Type="Embed" ProgID="Excel.Sheet.12" ShapeID="ole_rId73" DrawAspect="Content" ObjectID="_1528544347" r:id="rId79"/>
        </w:object>
      </w:r>
    </w:p>
    <w:p w:rsidR="00CE12C1" w:rsidRDefault="00CE12C1">
      <w:pPr>
        <w:pStyle w:val="Telotextu"/>
        <w:rPr>
          <w:szCs w:val="18"/>
        </w:rPr>
      </w:pPr>
      <w:bookmarkStart w:id="64" w:name="_MON_1405948121"/>
      <w:bookmarkEnd w:id="64"/>
    </w:p>
    <w:p w:rsidR="00CE12C1" w:rsidRDefault="00CE12C1">
      <w:pPr>
        <w:pStyle w:val="Telotextu"/>
        <w:ind w:left="0"/>
        <w:rPr>
          <w:szCs w:val="18"/>
        </w:rPr>
      </w:pPr>
      <w:r>
        <w:object w:dxaOrig="5191" w:dyaOrig="1651">
          <v:shape id="ole_rId75" o:spid="_x0000_i1056" style="width:457.8pt;height:145.45pt" coordsize="" o:spt="100" adj="0,,0" path="" stroked="f">
            <v:stroke joinstyle="miter"/>
            <v:imagedata r:id="rId80" o:title=""/>
            <v:formulas/>
            <v:path o:connecttype="segments"/>
          </v:shape>
          <o:OLEObject Type="Embed" ProgID="Excel.Sheet.12" ShapeID="ole_rId75" DrawAspect="Content" ObjectID="_1528544348" r:id="rId81"/>
        </w:objec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>O rozdelení výsledku hospodárenia za účtovné obdobie 2014</w:t>
      </w: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t>vo výške 0  EUR rozhodne valné zhromaždenie. Návrh štatutárneho orgánu valnému zhromaždeniu je takýto:</w:t>
      </w:r>
    </w:p>
    <w:p w:rsidR="00CE12C1" w:rsidRDefault="00872ECA">
      <w:pPr>
        <w:pStyle w:val="Telotextu"/>
        <w:numPr>
          <w:ilvl w:val="0"/>
          <w:numId w:val="12"/>
        </w:numPr>
        <w:rPr>
          <w:szCs w:val="18"/>
        </w:rPr>
      </w:pPr>
      <w:r>
        <w:rPr>
          <w:szCs w:val="18"/>
        </w:rPr>
        <w:t>prevod na nerozdelený zisk minulých rokov   0 EUR.</w:t>
      </w: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r>
        <w:rPr>
          <w:szCs w:val="18"/>
        </w:rPr>
        <w:lastRenderedPageBreak/>
        <w:t>Povinný prídel do zákonného rezervného fondu nie je potrebný, pretože zákonný rezervný fond už dosiahol svoju maximálnu hranicu stanovenú v právnych predpisoch a v spoločenskej zmluve.</w:t>
      </w:r>
    </w:p>
    <w:p w:rsidR="00CE12C1" w:rsidRDefault="00CE12C1">
      <w:pPr>
        <w:pStyle w:val="Telotextu"/>
        <w:rPr>
          <w:szCs w:val="18"/>
        </w:rPr>
      </w:pPr>
    </w:p>
    <w:p w:rsidR="00CE12C1" w:rsidRDefault="00CE12C1">
      <w:pPr>
        <w:pStyle w:val="Telotextu"/>
        <w:rPr>
          <w:szCs w:val="18"/>
        </w:rPr>
      </w:pPr>
    </w:p>
    <w:p w:rsidR="00CE12C1" w:rsidRDefault="00872ECA">
      <w:pPr>
        <w:pStyle w:val="Telotextu"/>
        <w:ind w:left="0"/>
        <w:rPr>
          <w:i/>
          <w:szCs w:val="18"/>
        </w:rPr>
      </w:pPr>
      <w:r>
        <w:rPr>
          <w:i/>
          <w:szCs w:val="18"/>
        </w:rPr>
        <w:t>V prípade dosiahnutia účtovnej straty sa uvedie tabuľka:</w:t>
      </w:r>
    </w:p>
    <w:p w:rsidR="00CE12C1" w:rsidRDefault="00CE12C1">
      <w:pPr>
        <w:pStyle w:val="Telotextu"/>
        <w:rPr>
          <w:i/>
          <w:szCs w:val="18"/>
        </w:rPr>
      </w:pPr>
    </w:p>
    <w:p w:rsidR="00CE12C1" w:rsidRDefault="00872ECA">
      <w:pPr>
        <w:pStyle w:val="Telotextu"/>
        <w:ind w:left="0"/>
        <w:rPr>
          <w:szCs w:val="18"/>
        </w:rPr>
      </w:pPr>
      <w:bookmarkStart w:id="65" w:name="_MON_1405948157"/>
      <w:bookmarkEnd w:id="65"/>
      <w:r>
        <w:rPr>
          <w:szCs w:val="18"/>
        </w:rPr>
        <w:t>Účtovná strata za rok 2014 bola vysporiadaná takto:</w:t>
      </w:r>
    </w:p>
    <w:p w:rsidR="00CE12C1" w:rsidRDefault="00CE12C1">
      <w:pPr>
        <w:pStyle w:val="Telotextu"/>
        <w:ind w:left="0"/>
        <w:rPr>
          <w:szCs w:val="18"/>
        </w:rPr>
      </w:pPr>
      <w:r>
        <w:object w:dxaOrig="5203" w:dyaOrig="408">
          <v:shape id="ole_rId77" o:spid="_x0000_i1057" style="width:458.75pt;height:36pt" coordsize="" o:spt="100" adj="0,,0" path="" stroked="f">
            <v:stroke joinstyle="miter"/>
            <v:imagedata r:id="rId82" o:title=""/>
            <v:formulas/>
            <v:path o:connecttype="segments"/>
          </v:shape>
          <o:OLEObject Type="Embed" ProgID="Excel.Sheet.12" ShapeID="ole_rId77" DrawAspect="Content" ObjectID="_1528544349" r:id="rId83"/>
        </w:object>
      </w:r>
    </w:p>
    <w:p w:rsidR="00CE12C1" w:rsidRDefault="00CE12C1">
      <w:pPr>
        <w:pStyle w:val="Telotextu"/>
        <w:rPr>
          <w:szCs w:val="18"/>
        </w:rPr>
      </w:pPr>
      <w:bookmarkStart w:id="66" w:name="_MON_1405948211"/>
      <w:bookmarkEnd w:id="66"/>
    </w:p>
    <w:bookmarkStart w:id="67" w:name="_Toc530739926"/>
    <w:bookmarkEnd w:id="67"/>
    <w:p w:rsidR="00CE12C1" w:rsidRDefault="00CE12C1">
      <w:pPr>
        <w:pStyle w:val="Telotextu"/>
        <w:ind w:left="0"/>
        <w:rPr>
          <w:szCs w:val="18"/>
        </w:rPr>
      </w:pPr>
      <w:r>
        <w:object w:dxaOrig="5191" w:dyaOrig="1322">
          <v:shape id="ole_rId79" o:spid="_x0000_i1058" style="width:457.8pt;height:116.75pt" coordsize="" o:spt="100" adj="0,,0" path="" stroked="f">
            <v:stroke joinstyle="miter"/>
            <v:imagedata r:id="rId84" o:title=""/>
            <v:formulas/>
            <v:path o:connecttype="segments"/>
          </v:shape>
          <o:OLEObject Type="Embed" ProgID="Excel.Sheet.12" ShapeID="ole_rId79" DrawAspect="Content" ObjectID="_1528544350" r:id="rId85"/>
        </w:object>
      </w:r>
    </w:p>
    <w:p w:rsidR="00CE12C1" w:rsidRDefault="00CE12C1">
      <w:pPr>
        <w:spacing w:after="200" w:line="276" w:lineRule="auto"/>
        <w:rPr>
          <w:b/>
          <w:sz w:val="18"/>
          <w:szCs w:val="18"/>
        </w:rPr>
        <w:sectPr w:rsidR="00CE12C1">
          <w:headerReference w:type="default" r:id="rId86"/>
          <w:pgSz w:w="11906" w:h="16838"/>
          <w:pgMar w:top="1979" w:right="992" w:bottom="1134" w:left="1673" w:header="675" w:footer="340" w:gutter="0"/>
          <w:cols w:space="708"/>
          <w:formProt w:val="0"/>
          <w:docGrid w:linePitch="360" w:charSpace="2047"/>
        </w:sectPr>
      </w:pPr>
      <w:bookmarkStart w:id="68" w:name="_Toc530739903"/>
      <w:bookmarkEnd w:id="68"/>
    </w:p>
    <w:p w:rsidR="00CE12C1" w:rsidRDefault="00CE12C1">
      <w:pPr>
        <w:pStyle w:val="Telotextu"/>
        <w:ind w:left="0"/>
      </w:pPr>
    </w:p>
    <w:sectPr w:rsidR="00CE12C1" w:rsidSect="00CE12C1">
      <w:headerReference w:type="default" r:id="rId87"/>
      <w:footerReference w:type="default" r:id="rId88"/>
      <w:pgSz w:w="11906" w:h="16838"/>
      <w:pgMar w:top="1979" w:right="992" w:bottom="1134" w:left="1673" w:header="675" w:footer="340" w:gutter="0"/>
      <w:cols w:space="708"/>
      <w:formProt w:val="0"/>
      <w:docGrid w:linePitch="36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7F63" w:rsidRDefault="00607F63" w:rsidP="00CE12C1">
      <w:r>
        <w:separator/>
      </w:r>
    </w:p>
  </w:endnote>
  <w:endnote w:type="continuationSeparator" w:id="1">
    <w:p w:rsidR="00607F63" w:rsidRDefault="00607F63" w:rsidP="00CE12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1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altName w:val="Times New Roman"/>
    <w:panose1 w:val="02020603050405020304"/>
    <w:charset w:val="EE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 55">
    <w:charset w:val="EE"/>
    <w:family w:val="roman"/>
    <w:pitch w:val="variable"/>
    <w:sig w:usb0="00000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2ECA" w:rsidRDefault="00872E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7F63" w:rsidRDefault="00607F63" w:rsidP="00CE12C1">
      <w:r>
        <w:separator/>
      </w:r>
    </w:p>
  </w:footnote>
  <w:footnote w:type="continuationSeparator" w:id="1">
    <w:p w:rsidR="00607F63" w:rsidRDefault="00607F63" w:rsidP="00CE12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2ECA" w:rsidRDefault="00872ECA">
    <w:pPr>
      <w:pStyle w:val="Hlavika"/>
      <w:tabs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</w:p>
  <w:p w:rsidR="00872ECA" w:rsidRDefault="00872ECA">
    <w:pPr>
      <w:pStyle w:val="Hlavika"/>
      <w:tabs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9197" w:type="dxa"/>
      <w:tblCellMar>
        <w:left w:w="75" w:type="dxa"/>
        <w:right w:w="70" w:type="dxa"/>
      </w:tblCellMar>
      <w:tblLook w:val="04A0"/>
    </w:tblPr>
    <w:tblGrid>
      <w:gridCol w:w="2062"/>
      <w:gridCol w:w="4318"/>
      <w:gridCol w:w="280"/>
      <w:gridCol w:w="279"/>
      <w:gridCol w:w="283"/>
      <w:gridCol w:w="281"/>
      <w:gridCol w:w="284"/>
      <w:gridCol w:w="281"/>
      <w:gridCol w:w="283"/>
      <w:gridCol w:w="282"/>
      <w:gridCol w:w="283"/>
      <w:gridCol w:w="281"/>
    </w:tblGrid>
    <w:tr w:rsidR="00872ECA">
      <w:trPr>
        <w:trHeight w:val="126"/>
      </w:trPr>
      <w:tc>
        <w:tcPr>
          <w:tcW w:w="2061" w:type="dxa"/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4318" w:type="dxa"/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80" w:type="dxa"/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A"/>
          </w:tcBorders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872ECA" w:rsidRDefault="00872ECA">
    <w:pPr>
      <w:pStyle w:val="Hlavika"/>
      <w:tabs>
        <w:tab w:val="center" w:pos="4962"/>
        <w:tab w:val="right" w:pos="9213"/>
      </w:tabs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CellMar>
        <w:left w:w="75" w:type="dxa"/>
        <w:right w:w="70" w:type="dxa"/>
      </w:tblCellMar>
      <w:tblLook w:val="04A0"/>
    </w:tblPr>
    <w:tblGrid>
      <w:gridCol w:w="2012"/>
      <w:gridCol w:w="4163"/>
      <w:gridCol w:w="279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872ECA">
      <w:trPr>
        <w:trHeight w:val="127"/>
      </w:trPr>
      <w:tc>
        <w:tcPr>
          <w:tcW w:w="2011" w:type="dxa"/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3" w:type="dxa"/>
          <w:tcBorders>
            <w:right w:val="single" w:sz="4" w:space="0" w:color="00000A"/>
          </w:tcBorders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872ECA" w:rsidRDefault="00872ECA">
    <w:pPr>
      <w:pStyle w:val="Hlavika"/>
      <w:tabs>
        <w:tab w:val="center" w:pos="3969"/>
        <w:tab w:val="right" w:pos="9214"/>
      </w:tabs>
    </w:pPr>
  </w:p>
  <w:p w:rsidR="00872ECA" w:rsidRDefault="00872ECA">
    <w:pPr>
      <w:pStyle w:val="Hlavika"/>
      <w:tabs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2ECA" w:rsidRDefault="00872ECA">
    <w:pPr>
      <w:pStyle w:val="Hlavika"/>
      <w:tabs>
        <w:tab w:val="center" w:pos="3969"/>
        <w:tab w:val="right" w:pos="9213"/>
      </w:tabs>
      <w:spacing w:after="120"/>
      <w:jc w:val="right"/>
    </w:pPr>
    <w:r>
      <w:rPr>
        <w:b/>
        <w:bCs/>
        <w:sz w:val="18"/>
        <w:szCs w:val="18"/>
      </w:rPr>
      <w:tab/>
    </w:r>
  </w:p>
  <w:p w:rsidR="00872ECA" w:rsidRDefault="00872ECA">
    <w:pPr>
      <w:pStyle w:val="Hlavika"/>
      <w:tabs>
        <w:tab w:val="center" w:pos="3969"/>
        <w:tab w:val="left" w:pos="7920"/>
        <w:tab w:val="right" w:pos="9213"/>
      </w:tabs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9197" w:type="dxa"/>
      <w:tblCellMar>
        <w:left w:w="75" w:type="dxa"/>
        <w:right w:w="70" w:type="dxa"/>
      </w:tblCellMar>
      <w:tblLook w:val="04A0"/>
    </w:tblPr>
    <w:tblGrid>
      <w:gridCol w:w="2062"/>
      <w:gridCol w:w="4318"/>
      <w:gridCol w:w="280"/>
      <w:gridCol w:w="279"/>
      <w:gridCol w:w="283"/>
      <w:gridCol w:w="281"/>
      <w:gridCol w:w="284"/>
      <w:gridCol w:w="281"/>
      <w:gridCol w:w="283"/>
      <w:gridCol w:w="282"/>
      <w:gridCol w:w="283"/>
      <w:gridCol w:w="281"/>
    </w:tblGrid>
    <w:tr w:rsidR="00872ECA">
      <w:trPr>
        <w:trHeight w:val="126"/>
      </w:trPr>
      <w:tc>
        <w:tcPr>
          <w:tcW w:w="2061" w:type="dxa"/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4318" w:type="dxa"/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IČO</w:t>
          </w:r>
        </w:p>
      </w:tc>
      <w:tc>
        <w:tcPr>
          <w:tcW w:w="280" w:type="dxa"/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A"/>
          </w:tcBorders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9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5</w:t>
          </w:r>
        </w:p>
      </w:tc>
      <w:tc>
        <w:tcPr>
          <w:tcW w:w="28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9</w:t>
          </w:r>
        </w:p>
      </w:tc>
    </w:tr>
  </w:tbl>
  <w:p w:rsidR="00872ECA" w:rsidRDefault="00872ECA">
    <w:pPr>
      <w:pStyle w:val="Hlavika"/>
      <w:tabs>
        <w:tab w:val="center" w:pos="4962"/>
        <w:tab w:val="right" w:pos="9213"/>
      </w:tabs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CellMar>
        <w:left w:w="75" w:type="dxa"/>
        <w:right w:w="70" w:type="dxa"/>
      </w:tblCellMar>
      <w:tblLook w:val="04A0"/>
    </w:tblPr>
    <w:tblGrid>
      <w:gridCol w:w="2012"/>
      <w:gridCol w:w="4163"/>
      <w:gridCol w:w="279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872ECA">
      <w:trPr>
        <w:trHeight w:val="127"/>
      </w:trPr>
      <w:tc>
        <w:tcPr>
          <w:tcW w:w="2011" w:type="dxa"/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3" w:type="dxa"/>
          <w:tcBorders>
            <w:right w:val="single" w:sz="4" w:space="0" w:color="00000A"/>
          </w:tcBorders>
          <w:shd w:val="clear" w:color="auto" w:fill="auto"/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70" w:type="dxa"/>
          </w:tcMar>
          <w:vAlign w:val="center"/>
        </w:tcPr>
        <w:p w:rsidR="00872ECA" w:rsidRDefault="00872ECA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</w:pPr>
          <w:r>
            <w:rPr>
              <w:sz w:val="18"/>
              <w:szCs w:val="18"/>
            </w:rPr>
            <w:t>1</w:t>
          </w:r>
        </w:p>
      </w:tc>
    </w:tr>
  </w:tbl>
  <w:p w:rsidR="00872ECA" w:rsidRDefault="00872ECA">
    <w:pPr>
      <w:pStyle w:val="Hlavika"/>
      <w:tabs>
        <w:tab w:val="center" w:pos="3969"/>
        <w:tab w:val="right" w:pos="9214"/>
      </w:tabs>
    </w:pPr>
  </w:p>
  <w:p w:rsidR="00872ECA" w:rsidRDefault="00872ECA">
    <w:pPr>
      <w:pStyle w:val="Hlavika"/>
      <w:tabs>
        <w:tab w:val="center" w:pos="3969"/>
        <w:tab w:val="right" w:pos="921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F31E9"/>
    <w:multiLevelType w:val="multilevel"/>
    <w:tmpl w:val="EE06E4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AEC32FE"/>
    <w:multiLevelType w:val="multilevel"/>
    <w:tmpl w:val="EC8EADB2"/>
    <w:lvl w:ilvl="0">
      <w:start w:val="1"/>
      <w:numFmt w:val="upperLetter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DBD4F76"/>
    <w:multiLevelType w:val="multilevel"/>
    <w:tmpl w:val="3C085E7A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122E175E"/>
    <w:multiLevelType w:val="multilevel"/>
    <w:tmpl w:val="5B764766"/>
    <w:lvl w:ilvl="0">
      <w:start w:val="1"/>
      <w:numFmt w:val="bullet"/>
      <w:lvlText w:val="-"/>
      <w:lvlJc w:val="left"/>
      <w:pPr>
        <w:ind w:left="720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135257D3"/>
    <w:multiLevelType w:val="multilevel"/>
    <w:tmpl w:val="F3E88AE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39E00D77"/>
    <w:multiLevelType w:val="multilevel"/>
    <w:tmpl w:val="9A16D492"/>
    <w:lvl w:ilvl="0">
      <w:start w:val="6"/>
      <w:numFmt w:val="upperLetter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48FF35C8"/>
    <w:multiLevelType w:val="multilevel"/>
    <w:tmpl w:val="E916B48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55735518"/>
    <w:multiLevelType w:val="multilevel"/>
    <w:tmpl w:val="FEFCB78C"/>
    <w:lvl w:ilvl="0">
      <w:start w:val="2"/>
      <w:numFmt w:val="decimal"/>
      <w:lvlText w:val="%1."/>
      <w:lvlJc w:val="left"/>
      <w:pPr>
        <w:ind w:left="360" w:hanging="360"/>
      </w:pPr>
      <w:rPr>
        <w:rFonts w:cs="Times New Roman"/>
        <w:sz w:val="16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5A0E09A1"/>
    <w:multiLevelType w:val="multilevel"/>
    <w:tmpl w:val="4524C43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65565CBF"/>
    <w:multiLevelType w:val="multilevel"/>
    <w:tmpl w:val="D1180ED4"/>
    <w:lvl w:ilvl="0">
      <w:start w:val="2"/>
      <w:numFmt w:val="decimal"/>
      <w:lvlText w:val="%1."/>
      <w:lvlJc w:val="left"/>
      <w:pPr>
        <w:ind w:left="360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75EE7F96"/>
    <w:multiLevelType w:val="multilevel"/>
    <w:tmpl w:val="CD48F796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76851354"/>
    <w:multiLevelType w:val="multilevel"/>
    <w:tmpl w:val="74E87D4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  <w:sz w:val="16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  <w:sz w:val="16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  <w:sz w:val="16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  <w:sz w:val="16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  <w:sz w:val="16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  <w:sz w:val="16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  <w:sz w:val="16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  <w:sz w:val="16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  <w:sz w:val="16"/>
      </w:rPr>
    </w:lvl>
  </w:abstractNum>
  <w:abstractNum w:abstractNumId="12">
    <w:nsid w:val="7ADC1185"/>
    <w:multiLevelType w:val="multilevel"/>
    <w:tmpl w:val="9D9A8D9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2"/>
  </w:num>
  <w:num w:numId="5">
    <w:abstractNumId w:val="11"/>
  </w:num>
  <w:num w:numId="6">
    <w:abstractNumId w:val="4"/>
  </w:num>
  <w:num w:numId="7">
    <w:abstractNumId w:val="10"/>
  </w:num>
  <w:num w:numId="8">
    <w:abstractNumId w:val="12"/>
  </w:num>
  <w:num w:numId="9">
    <w:abstractNumId w:val="6"/>
  </w:num>
  <w:num w:numId="10">
    <w:abstractNumId w:val="8"/>
  </w:num>
  <w:num w:numId="11">
    <w:abstractNumId w:val="9"/>
  </w:num>
  <w:num w:numId="12">
    <w:abstractNumId w:val="3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E12C1"/>
    <w:rsid w:val="004F08EA"/>
    <w:rsid w:val="00562BA8"/>
    <w:rsid w:val="00607F63"/>
    <w:rsid w:val="00872ECA"/>
    <w:rsid w:val="0091188D"/>
    <w:rsid w:val="00B476F3"/>
    <w:rsid w:val="00CD7FA2"/>
    <w:rsid w:val="00CE12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3564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link w:val="Nadpis1Char"/>
    <w:qFormat/>
    <w:rsid w:val="002F3564"/>
    <w:pPr>
      <w:keepNext/>
      <w:tabs>
        <w:tab w:val="left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link w:val="Nadpis2Char"/>
    <w:qFormat/>
    <w:rsid w:val="002F3564"/>
    <w:pPr>
      <w:keepNext/>
      <w:ind w:left="360" w:hanging="360"/>
      <w:outlineLvl w:val="1"/>
    </w:pPr>
    <w:rPr>
      <w:b/>
      <w:sz w:val="18"/>
    </w:rPr>
  </w:style>
  <w:style w:type="paragraph" w:styleId="Nadpis6">
    <w:name w:val="heading 6"/>
    <w:basedOn w:val="Normlny"/>
    <w:link w:val="Nadpis6Char"/>
    <w:qFormat/>
    <w:rsid w:val="002F3564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link w:val="Nadpis9Char"/>
    <w:uiPriority w:val="9"/>
    <w:semiHidden/>
    <w:unhideWhenUsed/>
    <w:qFormat/>
    <w:rsid w:val="002F3564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qFormat/>
    <w:rsid w:val="002F3564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qFormat/>
    <w:rsid w:val="002F3564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qFormat/>
    <w:rsid w:val="002F3564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2F3564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2F3564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qFormat/>
    <w:rsid w:val="002F356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qFormat/>
    <w:rsid w:val="002F3564"/>
    <w:rPr>
      <w:rFonts w:cs="Times New Roman"/>
    </w:rPr>
  </w:style>
  <w:style w:type="character" w:customStyle="1" w:styleId="ZkladntextChar">
    <w:name w:val="Základný text Char"/>
    <w:basedOn w:val="Predvolenpsmoodseku"/>
    <w:link w:val="Telotextu"/>
    <w:qFormat/>
    <w:rsid w:val="002F3564"/>
    <w:rPr>
      <w:rFonts w:ascii="Times New Roman" w:eastAsia="Times New Roman" w:hAnsi="Times New Roman" w:cs="Times New Roman"/>
      <w:sz w:val="18"/>
      <w:szCs w:val="20"/>
    </w:rPr>
  </w:style>
  <w:style w:type="character" w:styleId="Odkaznapoznmkupodiarou">
    <w:name w:val="footnote reference"/>
    <w:basedOn w:val="Predvolenpsmoodseku"/>
    <w:semiHidden/>
    <w:qFormat/>
    <w:rsid w:val="002F3564"/>
    <w:rPr>
      <w:rFonts w:cs="Times New Roman"/>
      <w:sz w:val="16"/>
      <w:szCs w:val="16"/>
    </w:rPr>
  </w:style>
  <w:style w:type="character" w:customStyle="1" w:styleId="zifChar">
    <w:name w:val="zif Char"/>
    <w:basedOn w:val="Predvolenpsmoodseku"/>
    <w:qFormat/>
    <w:locked/>
    <w:rsid w:val="002F3564"/>
    <w:rPr>
      <w:rFonts w:ascii="Times" w:eastAsia="Times New Roman" w:hAnsi="Times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2F3564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2F3564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2F3564"/>
    <w:rPr>
      <w:rFonts w:ascii="Times New Roman" w:eastAsia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2F3564"/>
    <w:rPr>
      <w:b/>
      <w:bCs/>
    </w:rPr>
  </w:style>
  <w:style w:type="character" w:customStyle="1" w:styleId="Zkladntext3Char">
    <w:name w:val="Základný text 3 Char"/>
    <w:basedOn w:val="Predvolenpsmoodseku"/>
    <w:link w:val="Zkladntext3"/>
    <w:uiPriority w:val="99"/>
    <w:qFormat/>
    <w:rsid w:val="002F3564"/>
    <w:rPr>
      <w:rFonts w:ascii="Times New Roman" w:eastAsia="Times New Roman" w:hAnsi="Times New Roman" w:cs="Times New Roman"/>
      <w:sz w:val="16"/>
      <w:szCs w:val="16"/>
    </w:rPr>
  </w:style>
  <w:style w:type="character" w:customStyle="1" w:styleId="Internetovodkaz">
    <w:name w:val="Internetový odkaz"/>
    <w:basedOn w:val="Predvolenpsmoodseku"/>
    <w:uiPriority w:val="99"/>
    <w:unhideWhenUsed/>
    <w:rsid w:val="00B76A79"/>
    <w:rPr>
      <w:color w:val="0000FF"/>
      <w:u w:val="single"/>
    </w:rPr>
  </w:style>
  <w:style w:type="character" w:customStyle="1" w:styleId="ra">
    <w:name w:val="ra"/>
    <w:basedOn w:val="Predvolenpsmoodseku"/>
    <w:qFormat/>
    <w:rsid w:val="00E322D0"/>
  </w:style>
  <w:style w:type="character" w:customStyle="1" w:styleId="ListLabel1">
    <w:name w:val="ListLabel 1"/>
    <w:qFormat/>
    <w:rsid w:val="00CE12C1"/>
    <w:rPr>
      <w:rFonts w:cs="Times New Roman"/>
      <w:sz w:val="16"/>
    </w:rPr>
  </w:style>
  <w:style w:type="character" w:customStyle="1" w:styleId="ListLabel2">
    <w:name w:val="ListLabel 2"/>
    <w:qFormat/>
    <w:rsid w:val="00CE12C1"/>
    <w:rPr>
      <w:rFonts w:cs="Times New Roman"/>
      <w:sz w:val="20"/>
      <w:szCs w:val="20"/>
    </w:rPr>
  </w:style>
  <w:style w:type="character" w:customStyle="1" w:styleId="ListLabel3">
    <w:name w:val="ListLabel 3"/>
    <w:qFormat/>
    <w:rsid w:val="00CE12C1"/>
    <w:rPr>
      <w:rFonts w:cs="Times New Roman"/>
      <w:b/>
    </w:rPr>
  </w:style>
  <w:style w:type="character" w:customStyle="1" w:styleId="ListLabel4">
    <w:name w:val="ListLabel 4"/>
    <w:qFormat/>
    <w:rsid w:val="00CE12C1"/>
    <w:rPr>
      <w:color w:val="00000A"/>
      <w:sz w:val="22"/>
    </w:rPr>
  </w:style>
  <w:style w:type="character" w:customStyle="1" w:styleId="ListLabel5">
    <w:name w:val="ListLabel 5"/>
    <w:qFormat/>
    <w:rsid w:val="00CE12C1"/>
    <w:rPr>
      <w:rFonts w:cs="Courier New"/>
    </w:rPr>
  </w:style>
  <w:style w:type="paragraph" w:customStyle="1" w:styleId="Nadpis">
    <w:name w:val="Nadpis"/>
    <w:basedOn w:val="Normlny"/>
    <w:next w:val="Telotextu"/>
    <w:qFormat/>
    <w:rsid w:val="00CE12C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link w:val="ZkladntextChar"/>
    <w:rsid w:val="002F3564"/>
    <w:pPr>
      <w:ind w:left="426"/>
      <w:jc w:val="both"/>
    </w:pPr>
    <w:rPr>
      <w:sz w:val="18"/>
    </w:rPr>
  </w:style>
  <w:style w:type="paragraph" w:styleId="Zoznam">
    <w:name w:val="List"/>
    <w:basedOn w:val="Telotextu"/>
    <w:rsid w:val="00CE12C1"/>
    <w:rPr>
      <w:rFonts w:cs="Arial"/>
    </w:rPr>
  </w:style>
  <w:style w:type="paragraph" w:styleId="Popis">
    <w:name w:val="caption"/>
    <w:basedOn w:val="Normlny"/>
    <w:rsid w:val="00CE12C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E12C1"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2F3564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2F3564"/>
    <w:pPr>
      <w:tabs>
        <w:tab w:val="center" w:pos="4536"/>
        <w:tab w:val="right" w:pos="9072"/>
      </w:tabs>
    </w:pPr>
  </w:style>
  <w:style w:type="paragraph" w:customStyle="1" w:styleId="Uvod">
    <w:name w:val="Uvod"/>
    <w:basedOn w:val="Normlny"/>
    <w:qFormat/>
    <w:rsid w:val="002F3564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qFormat/>
    <w:rsid w:val="002F3564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qFormat/>
    <w:rsid w:val="002F3564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paragraph" w:styleId="Odsekzoznamu">
    <w:name w:val="List Paragraph"/>
    <w:basedOn w:val="Normlny"/>
    <w:uiPriority w:val="34"/>
    <w:qFormat/>
    <w:rsid w:val="002F3564"/>
    <w:pPr>
      <w:ind w:left="708"/>
    </w:pPr>
  </w:style>
  <w:style w:type="paragraph" w:customStyle="1" w:styleId="Tabulka">
    <w:name w:val="Tabulka"/>
    <w:basedOn w:val="Normlny"/>
    <w:qFormat/>
    <w:rsid w:val="002F3564"/>
    <w:rPr>
      <w:color w:val="000000"/>
      <w:sz w:val="18"/>
    </w:rPr>
  </w:style>
  <w:style w:type="paragraph" w:customStyle="1" w:styleId="Pismenka">
    <w:name w:val="Pismenka"/>
    <w:basedOn w:val="Telotextu"/>
    <w:qFormat/>
    <w:rsid w:val="002F3564"/>
    <w:pPr>
      <w:tabs>
        <w:tab w:val="left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F3564"/>
    <w:rPr>
      <w:rFonts w:ascii="Tahoma" w:hAnsi="Tahoma" w:cs="Tahoma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2F3564"/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2F3564"/>
    <w:rPr>
      <w:b/>
      <w:bCs/>
    </w:rPr>
  </w:style>
  <w:style w:type="paragraph" w:styleId="Revzia">
    <w:name w:val="Revision"/>
    <w:uiPriority w:val="99"/>
    <w:semiHidden/>
    <w:qFormat/>
    <w:rsid w:val="002F3564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qFormat/>
    <w:rsid w:val="002F3564"/>
    <w:pPr>
      <w:tabs>
        <w:tab w:val="left" w:pos="1531"/>
      </w:tabs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qFormat/>
    <w:rsid w:val="002F356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qFormat/>
    <w:rsid w:val="002F3564"/>
    <w:pPr>
      <w:spacing w:after="120"/>
    </w:pPr>
    <w:rPr>
      <w:sz w:val="16"/>
      <w:szCs w:val="16"/>
    </w:rPr>
  </w:style>
  <w:style w:type="table" w:styleId="Mriekatabuky">
    <w:name w:val="Table Grid"/>
    <w:basedOn w:val="Normlnatabuka"/>
    <w:uiPriority w:val="59"/>
    <w:rsid w:val="002F35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872EC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872ECA"/>
    <w:rPr>
      <w:rFonts w:ascii="Tahoma" w:eastAsia="Times New Roman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2.xlsx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9" Type="http://schemas.openxmlformats.org/officeDocument/2006/relationships/package" Target="embeddings/Pracovn__h_rok_programu_Microsoft_Office_Excel15.xlsx"/><Relationship Id="rId21" Type="http://schemas.openxmlformats.org/officeDocument/2006/relationships/package" Target="embeddings/Pracovn__h_rok_programu_Microsoft_Office_Excel6.xlsx"/><Relationship Id="rId34" Type="http://schemas.openxmlformats.org/officeDocument/2006/relationships/image" Target="media/image13.emf"/><Relationship Id="rId42" Type="http://schemas.openxmlformats.org/officeDocument/2006/relationships/image" Target="media/image17.emf"/><Relationship Id="rId47" Type="http://schemas.openxmlformats.org/officeDocument/2006/relationships/package" Target="embeddings/Pracovn__h_rok_programu_Microsoft_Office_Excel19.xlsx"/><Relationship Id="rId50" Type="http://schemas.openxmlformats.org/officeDocument/2006/relationships/image" Target="media/image21.emf"/><Relationship Id="rId55" Type="http://schemas.openxmlformats.org/officeDocument/2006/relationships/package" Target="embeddings/Pracovn__h_rok_programu_Microsoft_Office_Excel23.xlsx"/><Relationship Id="rId63" Type="http://schemas.openxmlformats.org/officeDocument/2006/relationships/package" Target="embeddings/Pracovn__h_rok_programu_Microsoft_Office_Excel27.xlsx"/><Relationship Id="rId68" Type="http://schemas.openxmlformats.org/officeDocument/2006/relationships/image" Target="media/image30.emf"/><Relationship Id="rId76" Type="http://schemas.openxmlformats.org/officeDocument/2006/relationships/image" Target="media/image34.emf"/><Relationship Id="rId84" Type="http://schemas.openxmlformats.org/officeDocument/2006/relationships/image" Target="media/image38.emf"/><Relationship Id="rId89" Type="http://schemas.openxmlformats.org/officeDocument/2006/relationships/fontTable" Target="fontTable.xml"/><Relationship Id="rId7" Type="http://schemas.openxmlformats.org/officeDocument/2006/relationships/image" Target="media/image1.emf"/><Relationship Id="rId71" Type="http://schemas.openxmlformats.org/officeDocument/2006/relationships/package" Target="embeddings/Pracovn__h_rok_programu_Microsoft_Office_Excel31.xlsx"/><Relationship Id="rId2" Type="http://schemas.openxmlformats.org/officeDocument/2006/relationships/styles" Target="styles.xml"/><Relationship Id="rId16" Type="http://schemas.openxmlformats.org/officeDocument/2006/relationships/image" Target="media/image4.emf"/><Relationship Id="rId29" Type="http://schemas.openxmlformats.org/officeDocument/2006/relationships/package" Target="embeddings/Pracovn__h_rok_programu_Microsoft_Office_Excel10.xlsx"/><Relationship Id="rId11" Type="http://schemas.openxmlformats.org/officeDocument/2006/relationships/hyperlink" Target="http://www.orsr.sk/hladaj_osoba.asp?PR=Korta&amp;MENO=Ji&#345;&#237;&amp;SID=0&amp;T=f0&amp;R=0" TargetMode="External"/><Relationship Id="rId24" Type="http://schemas.openxmlformats.org/officeDocument/2006/relationships/image" Target="media/image8.emf"/><Relationship Id="rId32" Type="http://schemas.openxmlformats.org/officeDocument/2006/relationships/image" Target="media/image12.emf"/><Relationship Id="rId37" Type="http://schemas.openxmlformats.org/officeDocument/2006/relationships/package" Target="embeddings/Pracovn__h_rok_programu_Microsoft_Office_Excel14.xlsx"/><Relationship Id="rId40" Type="http://schemas.openxmlformats.org/officeDocument/2006/relationships/image" Target="media/image16.emf"/><Relationship Id="rId45" Type="http://schemas.openxmlformats.org/officeDocument/2006/relationships/package" Target="embeddings/Pracovn__h_rok_programu_Microsoft_Office_Excel18.xlsx"/><Relationship Id="rId53" Type="http://schemas.openxmlformats.org/officeDocument/2006/relationships/package" Target="embeddings/Pracovn__h_rok_programu_Microsoft_Office_Excel22.xlsx"/><Relationship Id="rId58" Type="http://schemas.openxmlformats.org/officeDocument/2006/relationships/image" Target="media/image25.emf"/><Relationship Id="rId66" Type="http://schemas.openxmlformats.org/officeDocument/2006/relationships/image" Target="media/image29.emf"/><Relationship Id="rId74" Type="http://schemas.openxmlformats.org/officeDocument/2006/relationships/image" Target="media/image33.emf"/><Relationship Id="rId79" Type="http://schemas.openxmlformats.org/officeDocument/2006/relationships/package" Target="embeddings/Pracovn__h_rok_programu_Microsoft_Office_Excel35.xlsx"/><Relationship Id="rId87" Type="http://schemas.openxmlformats.org/officeDocument/2006/relationships/header" Target="header2.xml"/><Relationship Id="rId5" Type="http://schemas.openxmlformats.org/officeDocument/2006/relationships/footnotes" Target="footnotes.xml"/><Relationship Id="rId61" Type="http://schemas.openxmlformats.org/officeDocument/2006/relationships/package" Target="embeddings/Pracovn__h_rok_programu_Microsoft_Office_Excel26.xlsx"/><Relationship Id="rId82" Type="http://schemas.openxmlformats.org/officeDocument/2006/relationships/image" Target="media/image37.emf"/><Relationship Id="rId90" Type="http://schemas.openxmlformats.org/officeDocument/2006/relationships/theme" Target="theme/theme1.xml"/><Relationship Id="rId19" Type="http://schemas.openxmlformats.org/officeDocument/2006/relationships/package" Target="embeddings/Pracovn__h_rok_programu_Microsoft_Office_Excel5.xlsx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Gurina&amp;MENO=Mari&#225;n&amp;SID=0&amp;T=f0&amp;R=0" TargetMode="External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package" Target="embeddings/Pracovn__h_rok_programu_Microsoft_Office_Excel9.xlsx"/><Relationship Id="rId30" Type="http://schemas.openxmlformats.org/officeDocument/2006/relationships/image" Target="media/image11.emf"/><Relationship Id="rId35" Type="http://schemas.openxmlformats.org/officeDocument/2006/relationships/package" Target="embeddings/Pracovn__h_rok_programu_Microsoft_Office_Excel13.xlsx"/><Relationship Id="rId43" Type="http://schemas.openxmlformats.org/officeDocument/2006/relationships/package" Target="embeddings/Pracovn__h_rok_programu_Microsoft_Office_Excel17.xlsx"/><Relationship Id="rId48" Type="http://schemas.openxmlformats.org/officeDocument/2006/relationships/image" Target="media/image20.emf"/><Relationship Id="rId56" Type="http://schemas.openxmlformats.org/officeDocument/2006/relationships/image" Target="media/image24.emf"/><Relationship Id="rId64" Type="http://schemas.openxmlformats.org/officeDocument/2006/relationships/image" Target="media/image28.emf"/><Relationship Id="rId69" Type="http://schemas.openxmlformats.org/officeDocument/2006/relationships/package" Target="embeddings/Pracovn__h_rok_programu_Microsoft_Office_Excel30.xlsx"/><Relationship Id="rId77" Type="http://schemas.openxmlformats.org/officeDocument/2006/relationships/package" Target="embeddings/Pracovn__h_rok_programu_Microsoft_Office_Excel34.xlsx"/><Relationship Id="rId8" Type="http://schemas.openxmlformats.org/officeDocument/2006/relationships/package" Target="embeddings/Pracovn__h_rok_programu_Microsoft_Office_Excel1.xlsx"/><Relationship Id="rId51" Type="http://schemas.openxmlformats.org/officeDocument/2006/relationships/package" Target="embeddings/Pracovn__h_rok_programu_Microsoft_Office_Excel21.xlsx"/><Relationship Id="rId72" Type="http://schemas.openxmlformats.org/officeDocument/2006/relationships/image" Target="media/image32.emf"/><Relationship Id="rId80" Type="http://schemas.openxmlformats.org/officeDocument/2006/relationships/image" Target="media/image36.emf"/><Relationship Id="rId85" Type="http://schemas.openxmlformats.org/officeDocument/2006/relationships/package" Target="embeddings/Pracovn__h_rok_programu_Microsoft_Office_Excel38.xlsx"/><Relationship Id="rId3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package" Target="embeddings/Pracovn__h_rok_programu_Microsoft_Office_Excel4.xlsx"/><Relationship Id="rId25" Type="http://schemas.openxmlformats.org/officeDocument/2006/relationships/package" Target="embeddings/Pracovn__h_rok_programu_Microsoft_Office_Excel8.xlsx"/><Relationship Id="rId33" Type="http://schemas.openxmlformats.org/officeDocument/2006/relationships/package" Target="embeddings/Pracovn__h_rok_programu_Microsoft_Office_Excel12.xlsx"/><Relationship Id="rId38" Type="http://schemas.openxmlformats.org/officeDocument/2006/relationships/image" Target="media/image15.emf"/><Relationship Id="rId46" Type="http://schemas.openxmlformats.org/officeDocument/2006/relationships/image" Target="media/image19.emf"/><Relationship Id="rId59" Type="http://schemas.openxmlformats.org/officeDocument/2006/relationships/package" Target="embeddings/Pracovn__h_rok_programu_Microsoft_Office_Excel25.xlsx"/><Relationship Id="rId67" Type="http://schemas.openxmlformats.org/officeDocument/2006/relationships/package" Target="embeddings/Pracovn__h_rok_programu_Microsoft_Office_Excel29.xlsx"/><Relationship Id="rId20" Type="http://schemas.openxmlformats.org/officeDocument/2006/relationships/image" Target="media/image6.emf"/><Relationship Id="rId41" Type="http://schemas.openxmlformats.org/officeDocument/2006/relationships/package" Target="embeddings/Pracovn__h_rok_programu_Microsoft_Office_Excel16.xlsx"/><Relationship Id="rId54" Type="http://schemas.openxmlformats.org/officeDocument/2006/relationships/image" Target="media/image23.emf"/><Relationship Id="rId62" Type="http://schemas.openxmlformats.org/officeDocument/2006/relationships/image" Target="media/image27.emf"/><Relationship Id="rId70" Type="http://schemas.openxmlformats.org/officeDocument/2006/relationships/image" Target="media/image31.emf"/><Relationship Id="rId75" Type="http://schemas.openxmlformats.org/officeDocument/2006/relationships/package" Target="embeddings/Pracovn__h_rok_programu_Microsoft_Office_Excel33.xlsx"/><Relationship Id="rId83" Type="http://schemas.openxmlformats.org/officeDocument/2006/relationships/package" Target="embeddings/Pracovn__h_rok_programu_Microsoft_Office_Excel37.xlsx"/><Relationship Id="rId88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package" Target="embeddings/Pracovn__h_rok_programu_Microsoft_Office_Excel7.xlsx"/><Relationship Id="rId28" Type="http://schemas.openxmlformats.org/officeDocument/2006/relationships/image" Target="media/image10.emf"/><Relationship Id="rId36" Type="http://schemas.openxmlformats.org/officeDocument/2006/relationships/image" Target="media/image14.emf"/><Relationship Id="rId49" Type="http://schemas.openxmlformats.org/officeDocument/2006/relationships/package" Target="embeddings/Pracovn__h_rok_programu_Microsoft_Office_Excel20.xlsx"/><Relationship Id="rId57" Type="http://schemas.openxmlformats.org/officeDocument/2006/relationships/package" Target="embeddings/Pracovn__h_rok_programu_Microsoft_Office_Excel24.xlsx"/><Relationship Id="rId10" Type="http://schemas.openxmlformats.org/officeDocument/2006/relationships/hyperlink" Target="http://www.orsr.sk/hladaj_osoba.asp?PR=M&#250;dry&amp;MENO=Roman&amp;SID=0&amp;T=f0&amp;R=0" TargetMode="External"/><Relationship Id="rId31" Type="http://schemas.openxmlformats.org/officeDocument/2006/relationships/package" Target="embeddings/Pracovn__h_rok_programu_Microsoft_Office_Excel11.xlsx"/><Relationship Id="rId44" Type="http://schemas.openxmlformats.org/officeDocument/2006/relationships/image" Target="media/image18.emf"/><Relationship Id="rId52" Type="http://schemas.openxmlformats.org/officeDocument/2006/relationships/image" Target="media/image22.emf"/><Relationship Id="rId60" Type="http://schemas.openxmlformats.org/officeDocument/2006/relationships/image" Target="media/image26.emf"/><Relationship Id="rId65" Type="http://schemas.openxmlformats.org/officeDocument/2006/relationships/package" Target="embeddings/Pracovn__h_rok_programu_Microsoft_Office_Excel28.xlsx"/><Relationship Id="rId73" Type="http://schemas.openxmlformats.org/officeDocument/2006/relationships/package" Target="embeddings/Pracovn__h_rok_programu_Microsoft_Office_Excel32.xlsx"/><Relationship Id="rId78" Type="http://schemas.openxmlformats.org/officeDocument/2006/relationships/image" Target="media/image35.emf"/><Relationship Id="rId81" Type="http://schemas.openxmlformats.org/officeDocument/2006/relationships/package" Target="embeddings/Pracovn__h_rok_programu_Microsoft_Office_Excel36.xlsx"/><Relationship Id="rId86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30</Pages>
  <Words>3422</Words>
  <Characters>19506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</dc:creator>
  <cp:lastModifiedBy>mariana.homolova</cp:lastModifiedBy>
  <cp:revision>3</cp:revision>
  <cp:lastPrinted>2016-06-07T12:59:00Z</cp:lastPrinted>
  <dcterms:created xsi:type="dcterms:W3CDTF">2016-06-27T12:44:00Z</dcterms:created>
  <dcterms:modified xsi:type="dcterms:W3CDTF">2016-06-27T12:50:00Z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