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5C8" w:rsidRPr="004D5562" w:rsidRDefault="00EE35C8" w:rsidP="00462D72">
      <w:pPr>
        <w:rPr>
          <w:rFonts w:ascii="Tahoma" w:hAnsi="Tahoma" w:cs="Tahoma"/>
          <w:b/>
          <w:bCs/>
          <w:sz w:val="20"/>
          <w:szCs w:val="20"/>
        </w:rPr>
      </w:pPr>
      <w:r w:rsidRPr="004D5562">
        <w:rPr>
          <w:rFonts w:ascii="Tahoma" w:hAnsi="Tahoma" w:cs="Tahoma"/>
          <w:b/>
          <w:bCs/>
          <w:sz w:val="20"/>
          <w:szCs w:val="20"/>
        </w:rPr>
        <w:t>VŠEOBECNÉ INFORMÁCIE</w:t>
      </w:r>
    </w:p>
    <w:p w:rsidR="00EE35C8" w:rsidRPr="004D5562" w:rsidRDefault="00EE35C8" w:rsidP="00877C59">
      <w:pPr>
        <w:ind w:hanging="142"/>
        <w:rPr>
          <w:rFonts w:ascii="Tahoma" w:hAnsi="Tahoma" w:cs="Tahoma"/>
          <w:sz w:val="20"/>
          <w:szCs w:val="20"/>
        </w:rPr>
      </w:pPr>
    </w:p>
    <w:p w:rsidR="00EE35C8" w:rsidRDefault="00EE35C8" w:rsidP="00464559">
      <w:pPr>
        <w:rPr>
          <w:rFonts w:ascii="Tahoma" w:hAnsi="Tahoma" w:cs="Tahoma"/>
          <w:sz w:val="20"/>
          <w:szCs w:val="20"/>
        </w:rPr>
      </w:pPr>
    </w:p>
    <w:p w:rsidR="00EE35C8" w:rsidRPr="004D5562" w:rsidRDefault="00EE35C8" w:rsidP="00D21011">
      <w:pPr>
        <w:rPr>
          <w:rFonts w:ascii="Tahoma" w:hAnsi="Tahoma" w:cs="Tahoma"/>
          <w:b/>
          <w:bCs/>
          <w:sz w:val="20"/>
          <w:szCs w:val="20"/>
        </w:rPr>
      </w:pPr>
      <w:r w:rsidRPr="004D5562">
        <w:rPr>
          <w:rFonts w:ascii="Tahoma" w:hAnsi="Tahoma" w:cs="Tahoma"/>
          <w:b/>
          <w:bCs/>
          <w:sz w:val="20"/>
          <w:szCs w:val="20"/>
        </w:rPr>
        <w:t>Základné informácie o spoločnosti</w:t>
      </w:r>
    </w:p>
    <w:tbl>
      <w:tblPr>
        <w:tblW w:w="4886" w:type="pct"/>
        <w:tblInd w:w="-106" w:type="dxa"/>
        <w:tblLayout w:type="fixed"/>
        <w:tblLook w:val="00A0"/>
      </w:tblPr>
      <w:tblGrid>
        <w:gridCol w:w="2412"/>
        <w:gridCol w:w="6664"/>
      </w:tblGrid>
      <w:tr w:rsidR="00EE35C8" w:rsidRPr="004D5562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UNIOS, spol. s r.o. </w:t>
            </w:r>
            <w:r w:rsidRPr="00915A1A">
              <w:rPr>
                <w:rFonts w:ascii="Tahoma" w:hAnsi="Tahoma" w:cs="Tahoma"/>
                <w:sz w:val="20"/>
                <w:szCs w:val="20"/>
              </w:rPr>
              <w:t>(</w:t>
            </w:r>
            <w:r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EE35C8" w:rsidRPr="004D5562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Družstevná 1664/14,  960 01  Zvolen</w:t>
            </w:r>
          </w:p>
        </w:tc>
      </w:tr>
      <w:tr w:rsidR="00EE35C8" w:rsidRPr="004D5562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EE35C8" w:rsidRPr="004D5562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29.5.2000</w:t>
            </w:r>
          </w:p>
        </w:tc>
      </w:tr>
      <w:tr w:rsidR="00EE35C8" w:rsidRPr="004D5562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Zápis do obchodného registra: 1</w:t>
            </w:r>
            <w:r>
              <w:rPr>
                <w:rFonts w:ascii="Tahoma" w:hAnsi="Tahoma" w:cs="Tahoma"/>
                <w:sz w:val="20"/>
                <w:szCs w:val="20"/>
              </w:rPr>
              <w:t>8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. </w:t>
            </w:r>
            <w:r>
              <w:rPr>
                <w:rFonts w:ascii="Tahoma" w:hAnsi="Tahoma" w:cs="Tahoma"/>
                <w:sz w:val="20"/>
                <w:szCs w:val="20"/>
              </w:rPr>
              <w:t>7.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sz w:val="20"/>
                <w:szCs w:val="20"/>
              </w:rPr>
              <w:t>2000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, Obchodný register Okresného súdu </w:t>
            </w:r>
            <w:r>
              <w:rPr>
                <w:rFonts w:ascii="Tahoma" w:hAnsi="Tahoma" w:cs="Tahoma"/>
                <w:sz w:val="20"/>
                <w:szCs w:val="20"/>
              </w:rPr>
              <w:t>Banská Bystrica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, oddiel </w:t>
            </w:r>
            <w:proofErr w:type="spellStart"/>
            <w:r w:rsidRPr="004D5562">
              <w:rPr>
                <w:rFonts w:ascii="Tahoma" w:hAnsi="Tahoma" w:cs="Tahoma"/>
                <w:sz w:val="20"/>
                <w:szCs w:val="20"/>
              </w:rPr>
              <w:t>Sro</w:t>
            </w:r>
            <w:proofErr w:type="spellEnd"/>
            <w:r w:rsidRPr="004D5562">
              <w:rPr>
                <w:rFonts w:ascii="Tahoma" w:hAnsi="Tahoma" w:cs="Tahoma"/>
                <w:sz w:val="20"/>
                <w:szCs w:val="20"/>
              </w:rPr>
              <w:t xml:space="preserve">, vložka číslo </w:t>
            </w:r>
            <w:r>
              <w:rPr>
                <w:rFonts w:ascii="Tahoma" w:hAnsi="Tahoma" w:cs="Tahoma"/>
                <w:sz w:val="20"/>
                <w:szCs w:val="20"/>
              </w:rPr>
              <w:t>6547/S</w:t>
            </w:r>
          </w:p>
        </w:tc>
      </w:tr>
      <w:tr w:rsidR="00EE35C8" w:rsidRPr="004D5562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35C8" w:rsidRDefault="00EE35C8" w:rsidP="00D21011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EE35C8" w:rsidRPr="004D5562" w:rsidRDefault="00EE35C8" w:rsidP="00D21011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35C8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Pozemné stavby</w:t>
            </w:r>
          </w:p>
          <w:p w:rsidR="00EE35C8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Stavebné úpravy</w:t>
            </w:r>
          </w:p>
          <w:p w:rsidR="00EE35C8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Tepelné izolácie</w:t>
            </w:r>
          </w:p>
          <w:p w:rsidR="00EE35C8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tovaru za účelom predaja</w:t>
            </w:r>
          </w:p>
          <w:p w:rsidR="00EE35C8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Vodoinštalačné a kúrenárske práce</w:t>
            </w:r>
          </w:p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Prenájom nebytových priestorov</w:t>
            </w:r>
          </w:p>
        </w:tc>
      </w:tr>
      <w:tr w:rsidR="00EE35C8" w:rsidRPr="004D5562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E35C8" w:rsidRPr="004D5562" w:rsidRDefault="00EE35C8" w:rsidP="00D21011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1.január 2015 – 31.december 2015</w:t>
            </w:r>
          </w:p>
        </w:tc>
      </w:tr>
    </w:tbl>
    <w:p w:rsidR="00EE35C8" w:rsidRPr="004D5562" w:rsidRDefault="00EE35C8" w:rsidP="00D21011">
      <w:pPr>
        <w:rPr>
          <w:rFonts w:ascii="Tahoma" w:hAnsi="Tahoma" w:cs="Tahoma"/>
          <w:sz w:val="20"/>
          <w:szCs w:val="20"/>
        </w:rPr>
      </w:pPr>
    </w:p>
    <w:p w:rsidR="00EE35C8" w:rsidRPr="004D5562" w:rsidRDefault="00EE35C8" w:rsidP="00D21011">
      <w:pPr>
        <w:pStyle w:val="Nadpis2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Právny dôvod na zostavenie účtovnej závierky</w:t>
      </w:r>
    </w:p>
    <w:p w:rsidR="00EE35C8" w:rsidRPr="004D5562" w:rsidRDefault="00EE35C8" w:rsidP="00D21011">
      <w:pPr>
        <w:pStyle w:val="Zkladntext"/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Účtovná závierka Spoločnosti k 31. decembru 2015 je zostavená ako riadna účtovná závierka podľa     ustanovenia § 17 ods. 6 zákona NR SR č. 431/2002 Z. z. o účtovníctve v znení neskorších predpisov (ďalej len „zákon o účtovníctve“), za účtovné obdobie od 1. januára 2015 do 31. decembra 2015.</w:t>
      </w:r>
    </w:p>
    <w:p w:rsidR="00EE35C8" w:rsidRDefault="00EE35C8" w:rsidP="00D21011">
      <w:pPr>
        <w:pStyle w:val="Zkladntext"/>
        <w:ind w:left="0"/>
        <w:rPr>
          <w:rFonts w:ascii="Tahoma" w:hAnsi="Tahoma" w:cs="Tahoma"/>
          <w:sz w:val="20"/>
          <w:szCs w:val="20"/>
        </w:rPr>
      </w:pPr>
    </w:p>
    <w:p w:rsidR="00EE35C8" w:rsidRPr="004D5562" w:rsidRDefault="00EE35C8" w:rsidP="00D21011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Dátum schválenia účtovnej závierky za predchádzajúce účtovné obdobie</w:t>
      </w:r>
    </w:p>
    <w:p w:rsidR="00EE35C8" w:rsidRPr="004D5562" w:rsidRDefault="00EE35C8" w:rsidP="00D21011">
      <w:pPr>
        <w:pStyle w:val="Zkladntext"/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Účtovná závierka Spoločnosti k 31. decembru 2014, za predchádzajúce účtovné obdobie, bola schválená valným zhromaždením Spoločnosti dňa </w:t>
      </w:r>
      <w:r>
        <w:rPr>
          <w:rFonts w:ascii="Tahoma" w:hAnsi="Tahoma" w:cs="Tahoma"/>
          <w:sz w:val="20"/>
          <w:szCs w:val="20"/>
        </w:rPr>
        <w:t xml:space="preserve">29. júna 2015. </w:t>
      </w:r>
    </w:p>
    <w:p w:rsidR="00EE35C8" w:rsidRDefault="00EE35C8" w:rsidP="00D21011">
      <w:pPr>
        <w:pStyle w:val="Zkladntext"/>
        <w:ind w:left="0"/>
        <w:rPr>
          <w:rFonts w:ascii="Tahoma" w:hAnsi="Tahoma" w:cs="Tahoma"/>
          <w:sz w:val="20"/>
          <w:szCs w:val="20"/>
        </w:rPr>
      </w:pPr>
    </w:p>
    <w:p w:rsidR="00EE35C8" w:rsidRDefault="00EE35C8" w:rsidP="00D21011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Informácie o konsolidovanom celku</w:t>
      </w:r>
    </w:p>
    <w:p w:rsidR="00EE35C8" w:rsidRDefault="00EE35C8" w:rsidP="00D21011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 xml:space="preserve">Spoločnosť nemá povinnosť zostaviť konsolidovanú účtovnú závierku. Spoločnosť nie je súčasťou inej skupiny. </w:t>
      </w:r>
    </w:p>
    <w:p w:rsidR="00EE35C8" w:rsidRDefault="00EE35C8" w:rsidP="00D21011">
      <w:pPr>
        <w:rPr>
          <w:lang w:eastAsia="en-US"/>
        </w:rPr>
      </w:pPr>
    </w:p>
    <w:p w:rsidR="00EE35C8" w:rsidRPr="004D5562" w:rsidRDefault="00EE35C8" w:rsidP="00D21011">
      <w:pPr>
        <w:pStyle w:val="Nadpis2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Informácie o počte zamestnancov účtovnej jednotky</w:t>
      </w:r>
    </w:p>
    <w:tbl>
      <w:tblPr>
        <w:tblW w:w="92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160"/>
        <w:gridCol w:w="1245"/>
        <w:gridCol w:w="1803"/>
      </w:tblGrid>
      <w:tr w:rsidR="00EE35C8" w:rsidRPr="004D5562">
        <w:trPr>
          <w:trHeight w:val="646"/>
        </w:trPr>
        <w:tc>
          <w:tcPr>
            <w:tcW w:w="6160" w:type="dxa"/>
          </w:tcPr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45" w:type="dxa"/>
          </w:tcPr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</w:p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Bežné</w:t>
            </w:r>
          </w:p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účtovné</w:t>
            </w:r>
          </w:p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803" w:type="dxa"/>
          </w:tcPr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</w:p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Bezprostredne</w:t>
            </w:r>
          </w:p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predchádzajúce</w:t>
            </w:r>
          </w:p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EE35C8" w:rsidRPr="004D5562">
        <w:trPr>
          <w:trHeight w:val="84"/>
        </w:trPr>
        <w:tc>
          <w:tcPr>
            <w:tcW w:w="6160" w:type="dxa"/>
          </w:tcPr>
          <w:p w:rsidR="00EE35C8" w:rsidRPr="004D5562" w:rsidRDefault="00EE35C8" w:rsidP="00D21011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  <w:szCs w:val="20"/>
              </w:rPr>
            </w:pPr>
          </w:p>
          <w:p w:rsidR="00EE35C8" w:rsidRPr="004D5562" w:rsidRDefault="00EE35C8" w:rsidP="00D21011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Priemerný prepočítaný počet  zamestnancov</w:t>
            </w:r>
          </w:p>
        </w:tc>
        <w:tc>
          <w:tcPr>
            <w:tcW w:w="1245" w:type="dxa"/>
          </w:tcPr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60</w:t>
            </w:r>
          </w:p>
        </w:tc>
        <w:tc>
          <w:tcPr>
            <w:tcW w:w="1803" w:type="dxa"/>
          </w:tcPr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  <w:p w:rsidR="00EE35C8" w:rsidRPr="004D5562" w:rsidRDefault="00EE35C8" w:rsidP="00D21011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95</w:t>
            </w:r>
          </w:p>
        </w:tc>
      </w:tr>
    </w:tbl>
    <w:p w:rsidR="00EE35C8" w:rsidRPr="004D5562" w:rsidRDefault="00EE35C8" w:rsidP="00D21011">
      <w:pPr>
        <w:rPr>
          <w:rFonts w:ascii="Tahoma" w:hAnsi="Tahoma" w:cs="Tahoma"/>
          <w:sz w:val="20"/>
          <w:szCs w:val="20"/>
        </w:rPr>
      </w:pPr>
    </w:p>
    <w:p w:rsidR="00EE35C8" w:rsidRPr="004D5562" w:rsidRDefault="00EE35C8" w:rsidP="00D21011">
      <w:pPr>
        <w:rPr>
          <w:rFonts w:ascii="Tahoma" w:hAnsi="Tahoma" w:cs="Tahoma"/>
          <w:sz w:val="20"/>
          <w:szCs w:val="20"/>
        </w:rPr>
      </w:pPr>
    </w:p>
    <w:p w:rsidR="00EE35C8" w:rsidRPr="004D5562" w:rsidRDefault="00EE35C8" w:rsidP="00D21011">
      <w:pPr>
        <w:rPr>
          <w:rFonts w:ascii="Tahoma" w:hAnsi="Tahoma" w:cs="Tahoma"/>
          <w:b/>
          <w:bCs/>
          <w:sz w:val="20"/>
          <w:szCs w:val="20"/>
        </w:rPr>
      </w:pPr>
      <w:r w:rsidRPr="004D5562">
        <w:rPr>
          <w:rFonts w:ascii="Tahoma" w:hAnsi="Tahoma" w:cs="Tahoma"/>
          <w:b/>
          <w:bCs/>
          <w:sz w:val="20"/>
          <w:szCs w:val="20"/>
        </w:rPr>
        <w:t>INFORMÁCIE O PRIJATÝCH POSTUPOCH</w:t>
      </w:r>
    </w:p>
    <w:p w:rsidR="00EE35C8" w:rsidRPr="004D5562" w:rsidRDefault="00EE35C8" w:rsidP="00D21011">
      <w:pPr>
        <w:rPr>
          <w:rFonts w:ascii="Tahoma" w:hAnsi="Tahoma" w:cs="Tahoma"/>
          <w:b/>
          <w:bCs/>
          <w:sz w:val="20"/>
          <w:szCs w:val="20"/>
        </w:rPr>
      </w:pPr>
    </w:p>
    <w:p w:rsidR="00EE35C8" w:rsidRPr="004D5562" w:rsidRDefault="00EE35C8" w:rsidP="00D21011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Východiská pre zostavenie účtovnej závierky</w:t>
      </w:r>
    </w:p>
    <w:p w:rsidR="00EE35C8" w:rsidRPr="004D5562" w:rsidRDefault="00EE35C8" w:rsidP="00D21011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</w:t>
      </w:r>
    </w:p>
    <w:p w:rsidR="00EE35C8" w:rsidRPr="004D5562" w:rsidRDefault="00EE35C8" w:rsidP="00D21011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  <w:szCs w:val="20"/>
        </w:rPr>
      </w:pPr>
    </w:p>
    <w:p w:rsidR="00EE35C8" w:rsidRPr="004D5562" w:rsidRDefault="00EE35C8" w:rsidP="00D21011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Účtovné metódy a všeobecné účtovné zásady Spoločnosť aplikovala konzistentne s predchádzajúcim účtovným obdobím.</w:t>
      </w:r>
    </w:p>
    <w:p w:rsidR="00EE35C8" w:rsidRDefault="00EE35C8" w:rsidP="00D21011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</w:p>
    <w:p w:rsidR="00EE35C8" w:rsidRDefault="00EE35C8" w:rsidP="00D21011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</w:p>
    <w:p w:rsidR="00EE35C8" w:rsidRDefault="00EE35C8" w:rsidP="00D21011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</w:p>
    <w:p w:rsidR="00EE35C8" w:rsidRPr="00D21011" w:rsidRDefault="00EE35C8" w:rsidP="00D21011">
      <w:pPr>
        <w:pStyle w:val="Nadpis2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D21011">
        <w:rPr>
          <w:rFonts w:ascii="Tahoma" w:hAnsi="Tahoma" w:cs="Tahoma"/>
          <w:sz w:val="20"/>
          <w:szCs w:val="20"/>
        </w:rPr>
        <w:lastRenderedPageBreak/>
        <w:t>Dlhodobý nehmotný a hmotný majetok</w:t>
      </w:r>
    </w:p>
    <w:p w:rsidR="00EE35C8" w:rsidRDefault="00EE35C8" w:rsidP="00D21011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Dlhodobý majetok  nakupovaný sa oceňuje obstarávacou cenou, ktorá zahŕňa cenu obstarania a náklady súvisiace s obstaraním.</w:t>
      </w:r>
    </w:p>
    <w:p w:rsidR="00EE35C8" w:rsidRPr="004D5562" w:rsidRDefault="00EE35C8" w:rsidP="00D21011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výrobu, alebo inú činnosť.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EE35C8" w:rsidRPr="004D5562" w:rsidRDefault="00EE35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Odpisy dlhodobého nehmotného a hmotného majetku sú stanovené vychádzajúc z predpokladanej doby jeho používania a predpokladaného priebehu jeho opotrebenia. Odpisovať sa začína </w:t>
      </w:r>
      <w:r>
        <w:rPr>
          <w:rFonts w:ascii="Tahoma" w:hAnsi="Tahoma" w:cs="Tahoma"/>
          <w:sz w:val="20"/>
          <w:szCs w:val="20"/>
        </w:rPr>
        <w:t xml:space="preserve">prvým dňom mesiaca, v ktorom bol majetok zaradený do používania. </w:t>
      </w:r>
    </w:p>
    <w:p w:rsidR="00EE35C8" w:rsidRPr="004D5562" w:rsidRDefault="00EE35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  <w:r w:rsidRPr="000340B2">
        <w:rPr>
          <w:rFonts w:ascii="Tahoma" w:hAnsi="Tahoma" w:cs="Tahoma"/>
          <w:sz w:val="20"/>
          <w:szCs w:val="20"/>
        </w:rPr>
        <w:t>O dlhodobom nehmotnom majetku,  ktorého obstarávacia cena je 2 400 eur a nižšia sa účtuje priamo do nákladov.</w:t>
      </w:r>
    </w:p>
    <w:p w:rsidR="00EE35C8" w:rsidRPr="004D5562" w:rsidRDefault="00EE35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O dlhodobom hmotnom majetku, ktorého obstarávacia cena je 1 700 eur a nižšia sa účtuje </w:t>
      </w:r>
      <w:r>
        <w:rPr>
          <w:rFonts w:ascii="Tahoma" w:hAnsi="Tahoma" w:cs="Tahoma"/>
          <w:sz w:val="20"/>
          <w:szCs w:val="20"/>
        </w:rPr>
        <w:t>priamo do nákladov.  Pozemky sa neodpisujú.</w:t>
      </w:r>
    </w:p>
    <w:p w:rsidR="00EE35C8" w:rsidRPr="004D5562" w:rsidRDefault="00EE35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Predpokladaná doba používania a metóda odpisovania sú uvedené v nasledujúcej tabuľke:</w:t>
      </w:r>
    </w:p>
    <w:tbl>
      <w:tblPr>
        <w:tblW w:w="911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94"/>
        <w:gridCol w:w="2700"/>
        <w:gridCol w:w="3121"/>
      </w:tblGrid>
      <w:tr w:rsidR="00EE35C8" w:rsidRPr="004D5562">
        <w:trPr>
          <w:trHeight w:val="202"/>
        </w:trPr>
        <w:tc>
          <w:tcPr>
            <w:tcW w:w="3294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2700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Predpokladaná doba používania v rokoch</w:t>
            </w:r>
          </w:p>
        </w:tc>
        <w:tc>
          <w:tcPr>
            <w:tcW w:w="3121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D5562">
              <w:rPr>
                <w:rFonts w:ascii="Tahoma" w:hAnsi="Tahoma" w:cs="Tahoma"/>
                <w:b/>
                <w:bCs/>
                <w:sz w:val="20"/>
                <w:szCs w:val="20"/>
              </w:rPr>
              <w:t>Metóda odpisovania</w:t>
            </w:r>
          </w:p>
        </w:tc>
      </w:tr>
      <w:tr w:rsidR="00EE35C8" w:rsidRPr="004D5562">
        <w:trPr>
          <w:trHeight w:val="120"/>
        </w:trPr>
        <w:tc>
          <w:tcPr>
            <w:tcW w:w="3294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Stavby</w:t>
            </w:r>
          </w:p>
        </w:tc>
        <w:tc>
          <w:tcPr>
            <w:tcW w:w="2700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20 - 50</w:t>
            </w:r>
          </w:p>
        </w:tc>
        <w:tc>
          <w:tcPr>
            <w:tcW w:w="3121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Rovnomerne</w:t>
            </w:r>
          </w:p>
        </w:tc>
      </w:tr>
      <w:tr w:rsidR="00EE35C8" w:rsidRPr="004D5562">
        <w:trPr>
          <w:trHeight w:val="124"/>
        </w:trPr>
        <w:tc>
          <w:tcPr>
            <w:tcW w:w="3294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Stroje a zariadenia </w:t>
            </w:r>
          </w:p>
        </w:tc>
        <w:tc>
          <w:tcPr>
            <w:tcW w:w="2700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4 - 12</w:t>
            </w:r>
          </w:p>
        </w:tc>
        <w:tc>
          <w:tcPr>
            <w:tcW w:w="3121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Rovnomerne</w:t>
            </w:r>
          </w:p>
        </w:tc>
      </w:tr>
      <w:tr w:rsidR="00EE35C8" w:rsidRPr="004D5562">
        <w:trPr>
          <w:trHeight w:val="219"/>
        </w:trPr>
        <w:tc>
          <w:tcPr>
            <w:tcW w:w="3294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Dopravné prostriedky</w:t>
            </w:r>
          </w:p>
        </w:tc>
        <w:tc>
          <w:tcPr>
            <w:tcW w:w="2700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4 - 6</w:t>
            </w:r>
          </w:p>
        </w:tc>
        <w:tc>
          <w:tcPr>
            <w:tcW w:w="3121" w:type="dxa"/>
          </w:tcPr>
          <w:p w:rsidR="00EE35C8" w:rsidRPr="004D5562" w:rsidRDefault="00EE35C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Rovnomerne</w:t>
            </w:r>
          </w:p>
        </w:tc>
      </w:tr>
    </w:tbl>
    <w:p w:rsidR="00EE35C8" w:rsidRPr="004D5562" w:rsidRDefault="00EE35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Odpisy sa mesačne zaokrúhľujú  </w:t>
      </w:r>
      <w:proofErr w:type="spellStart"/>
      <w:r w:rsidRPr="004D5562">
        <w:rPr>
          <w:rFonts w:ascii="Tahoma" w:hAnsi="Tahoma" w:cs="Tahoma"/>
          <w:sz w:val="20"/>
          <w:szCs w:val="20"/>
        </w:rPr>
        <w:t>nacelé</w:t>
      </w:r>
      <w:proofErr w:type="spellEnd"/>
      <w:r w:rsidRPr="004D5562">
        <w:rPr>
          <w:rFonts w:ascii="Tahoma" w:hAnsi="Tahoma" w:cs="Tahoma"/>
          <w:sz w:val="20"/>
          <w:szCs w:val="20"/>
        </w:rPr>
        <w:t xml:space="preserve"> eurá nahor. Doba životnosti a odpisové metódy sa preverujú raz ročne a posudzuje sa doba odpisovania s očakávaným prínosom ekonomických úžitkov z dlhodobého majetku. </w:t>
      </w:r>
    </w:p>
    <w:p w:rsidR="00EE35C8" w:rsidRPr="004D5562" w:rsidRDefault="00EE35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Zásoby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Nakupované zásoby sa oceňujú obstarávacou cenou, ktorá zahŕňa cenu zásob a náklady súvisiace s obstaraním. </w:t>
      </w:r>
      <w:r>
        <w:rPr>
          <w:rFonts w:ascii="Tahoma" w:hAnsi="Tahoma" w:cs="Tahoma"/>
          <w:sz w:val="20"/>
          <w:szCs w:val="20"/>
        </w:rPr>
        <w:t>Zníženie hodnoty zásob sa zohľadňuje vytvorením opravnej položky.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EE35C8" w:rsidRPr="004D5562" w:rsidRDefault="00EE35C8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Pohľadávky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Pohľadávky pri ich vzniku sa  oceňujú ich menovitou hodnotou.</w:t>
      </w:r>
      <w:r>
        <w:rPr>
          <w:rFonts w:ascii="Tahoma" w:hAnsi="Tahoma" w:cs="Tahoma"/>
          <w:sz w:val="20"/>
          <w:szCs w:val="20"/>
        </w:rPr>
        <w:t xml:space="preserve"> Postúpené pohľadávky sa oceňujú obstarávacou cenou vrátane nákladov súvisiacich s obstaraním. Zníženie hodnoty pri rizikových pohľadávkach sa zohľadňuje vytvorením opravnej položky.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Peňažné prostriedky a ceniny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Peňažné prostriedky a ceniny sa oceňujú ich menovitou hodnotou. </w:t>
      </w:r>
    </w:p>
    <w:p w:rsidR="00EE35C8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Náklady budúcich období </w:t>
      </w:r>
      <w:r>
        <w:rPr>
          <w:rFonts w:ascii="Tahoma" w:hAnsi="Tahoma" w:cs="Tahoma"/>
          <w:sz w:val="20"/>
          <w:szCs w:val="20"/>
        </w:rPr>
        <w:t xml:space="preserve"> a príjmy budúcich období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Náklady budúcich období  </w:t>
      </w:r>
      <w:r>
        <w:rPr>
          <w:rFonts w:ascii="Tahoma" w:hAnsi="Tahoma" w:cs="Tahoma"/>
          <w:sz w:val="20"/>
          <w:szCs w:val="20"/>
        </w:rPr>
        <w:t xml:space="preserve">a príjmy budúcich období </w:t>
      </w:r>
      <w:r w:rsidRPr="004D5562">
        <w:rPr>
          <w:rFonts w:ascii="Tahoma" w:hAnsi="Tahoma" w:cs="Tahoma"/>
          <w:sz w:val="20"/>
          <w:szCs w:val="20"/>
        </w:rPr>
        <w:t>sa vykazujú vo výške, ktorá je potrebná na dodržanie zásady vecnej a časovej súvislosti s účtovným obdobím.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Rezervy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 Spoločnosť tvorí rezervy na nevyčerpané dovolenky a súvisiace odvody do poistných fondov, na audit účtovnej závierky</w:t>
      </w:r>
      <w:r>
        <w:rPr>
          <w:rFonts w:ascii="Tahoma" w:hAnsi="Tahoma" w:cs="Tahoma"/>
          <w:sz w:val="20"/>
          <w:szCs w:val="20"/>
        </w:rPr>
        <w:t>.</w:t>
      </w:r>
    </w:p>
    <w:p w:rsidR="00EE35C8" w:rsidRPr="004D5562" w:rsidRDefault="00EE35C8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Záväzky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Záväzky pri ich vzniku sa oceňujú menovitou hodnotou. 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Vý</w:t>
      </w:r>
      <w:r w:rsidRPr="004D5562">
        <w:rPr>
          <w:rFonts w:ascii="Tahoma" w:hAnsi="Tahoma" w:cs="Tahoma"/>
          <w:b/>
          <w:bCs/>
          <w:sz w:val="20"/>
          <w:szCs w:val="20"/>
        </w:rPr>
        <w:t>nosy budúcich období</w:t>
      </w:r>
    </w:p>
    <w:p w:rsidR="00EE35C8" w:rsidRPr="004D5562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</w:t>
      </w:r>
      <w:r w:rsidRPr="004D5562">
        <w:rPr>
          <w:rFonts w:ascii="Tahoma" w:hAnsi="Tahoma" w:cs="Tahoma"/>
          <w:sz w:val="20"/>
          <w:szCs w:val="20"/>
        </w:rPr>
        <w:t>ýnosy budúcich období sa vykazujú vo výške, ktorá je potrebná na dodržanie zásady vecnej a časovej súvislosti s účtovným obdobím.</w:t>
      </w:r>
    </w:p>
    <w:p w:rsidR="00EE35C8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EE35C8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EE35C8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EE35C8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EE35C8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EE35C8" w:rsidRPr="004D5562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lastRenderedPageBreak/>
        <w:t>Odložená daň z príjmov</w:t>
      </w:r>
    </w:p>
    <w:p w:rsidR="00EE35C8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Odložené dane (odložená daňová pohľadávka a odložený daňový záväzok) sa vzťahujú na:</w:t>
      </w:r>
    </w:p>
    <w:p w:rsidR="00EE35C8" w:rsidRDefault="00EE35C8" w:rsidP="001B1E20">
      <w:pPr>
        <w:autoSpaceDE w:val="0"/>
        <w:autoSpaceDN w:val="0"/>
        <w:adjustRightInd w:val="0"/>
        <w:ind w:left="360" w:hanging="36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a) dočasné rozdiely medzi účtovnou hodnotou majetku a účtovnou hodnotou záväzkov vykázanou v súvahe a ich daňovou základňou,</w:t>
      </w:r>
    </w:p>
    <w:p w:rsidR="00EE35C8" w:rsidRDefault="00EE35C8" w:rsidP="001B1E20">
      <w:pPr>
        <w:autoSpaceDE w:val="0"/>
        <w:autoSpaceDN w:val="0"/>
        <w:adjustRightInd w:val="0"/>
        <w:ind w:left="360" w:hanging="36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b) možnosť umorovať daňovú stratu v budúcnosti, ktorou sa rozumie možnosť  odpočítať daňovú stratu od základu dane v budúcnosti,</w:t>
      </w:r>
    </w:p>
    <w:p w:rsidR="00EE35C8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c) možnosť previesť nevyužité daňové odpočty a iné daňové nároky do budúcich období.</w:t>
      </w:r>
    </w:p>
    <w:p w:rsidR="00EE35C8" w:rsidRDefault="00EE35C8" w:rsidP="0002346A">
      <w:pPr>
        <w:pStyle w:val="Zkladntext"/>
        <w:ind w:left="0"/>
        <w:rPr>
          <w:rFonts w:ascii="Tahoma" w:hAnsi="Tahoma" w:cs="Tahoma"/>
          <w:b/>
          <w:bCs/>
          <w:sz w:val="20"/>
          <w:szCs w:val="20"/>
        </w:rPr>
      </w:pPr>
    </w:p>
    <w:p w:rsidR="00EE35C8" w:rsidRPr="004D5562" w:rsidRDefault="00EE35C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 xml:space="preserve">Leasing </w:t>
      </w:r>
    </w:p>
    <w:p w:rsidR="00EE35C8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Finančný prenájom je obstaranie dlhodobého hmotného majetku na základe nájomnej zmluvy s dojednaným právom kúpy prenajatej veci za dohodnuté platby počas dohodnutej doby nájmu. Majetok prenajatý formou finančného prenájmu sa vykazuje ako svoj majetok a odpisuje ho jeho nájomca, nie vlastník.</w:t>
      </w:r>
    </w:p>
    <w:p w:rsidR="00EE35C8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</w:p>
    <w:p w:rsidR="00EE35C8" w:rsidRPr="003418D6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Prijatie majetku nájomcom sa v účtovníctve nájomcu účtuje v deň prijatia majetku na ťarchu príslušného účtu majetku so súvzťažným zápisom v prospech účtu 474 – Záväzky z nájmu vo výške dohodnutých platieb. </w:t>
      </w:r>
    </w:p>
    <w:p w:rsidR="00EE35C8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</w:p>
    <w:p w:rsidR="00EE35C8" w:rsidRPr="003418D6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splátkou istiny a finančné náklady. Finančné náklady sa účtujú na ťarchu účtu 562-Úroky. </w:t>
      </w:r>
    </w:p>
    <w:p w:rsidR="00EE35C8" w:rsidRDefault="00EE35C8" w:rsidP="0002346A">
      <w:pPr>
        <w:pStyle w:val="Zkladntext"/>
        <w:ind w:left="0"/>
        <w:rPr>
          <w:rFonts w:ascii="Tahoma" w:hAnsi="Tahoma" w:cs="Tahoma"/>
          <w:b/>
          <w:bCs/>
          <w:sz w:val="20"/>
          <w:szCs w:val="20"/>
        </w:rPr>
      </w:pPr>
    </w:p>
    <w:p w:rsidR="00EE35C8" w:rsidRPr="004D5562" w:rsidRDefault="00EE35C8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Výnosy</w:t>
      </w:r>
    </w:p>
    <w:p w:rsidR="00EE35C8" w:rsidRPr="004D5562" w:rsidRDefault="00EE35C8" w:rsidP="0002346A">
      <w:pPr>
        <w:pStyle w:val="Zkladntext"/>
        <w:ind w:left="0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>Tržby za vlastné výkony</w:t>
      </w:r>
      <w:r>
        <w:rPr>
          <w:rFonts w:ascii="Tahoma" w:hAnsi="Tahoma" w:cs="Tahoma"/>
          <w:sz w:val="20"/>
          <w:szCs w:val="20"/>
        </w:rPr>
        <w:t xml:space="preserve"> a tovar</w:t>
      </w:r>
      <w:r w:rsidRPr="004D5562">
        <w:rPr>
          <w:rFonts w:ascii="Tahoma" w:hAnsi="Tahoma" w:cs="Tahoma"/>
          <w:sz w:val="20"/>
          <w:szCs w:val="20"/>
        </w:rPr>
        <w:t xml:space="preserve"> neobsahujú daň z pridanej hodnoty a sú znížené o zľavy a zrážky (rabaty, bonusy, skontá, dobropisy a pod.) </w:t>
      </w:r>
    </w:p>
    <w:p w:rsidR="00EE35C8" w:rsidRPr="004D5562" w:rsidRDefault="00EE35C8" w:rsidP="0002346A">
      <w:pPr>
        <w:pStyle w:val="Nadpis1"/>
        <w:jc w:val="both"/>
        <w:rPr>
          <w:rFonts w:ascii="Tahoma" w:hAnsi="Tahoma" w:cs="Tahoma"/>
          <w:color w:val="auto"/>
          <w:sz w:val="20"/>
          <w:szCs w:val="20"/>
        </w:rPr>
      </w:pPr>
      <w:r w:rsidRPr="004D5562">
        <w:rPr>
          <w:rFonts w:ascii="Tahoma" w:hAnsi="Tahoma" w:cs="Tahoma"/>
          <w:color w:val="auto"/>
          <w:sz w:val="20"/>
          <w:szCs w:val="20"/>
        </w:rPr>
        <w:t>INFORMÁCIE O INÝCH AKTÍVACH A INÝCH PASÍVACH</w:t>
      </w:r>
    </w:p>
    <w:p w:rsidR="00EE35C8" w:rsidRPr="004D5562" w:rsidRDefault="00EE35C8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EE35C8" w:rsidRPr="00F74BAC" w:rsidRDefault="00EE35C8" w:rsidP="0002346A">
      <w:pPr>
        <w:jc w:val="both"/>
        <w:rPr>
          <w:rFonts w:ascii="Tahoma" w:hAnsi="Tahoma" w:cs="Tahoma"/>
          <w:sz w:val="20"/>
          <w:szCs w:val="20"/>
        </w:rPr>
      </w:pPr>
      <w:r w:rsidRPr="00F74BAC">
        <w:rPr>
          <w:rFonts w:ascii="Tahoma" w:hAnsi="Tahoma" w:cs="Tahoma"/>
          <w:sz w:val="20"/>
          <w:szCs w:val="20"/>
        </w:rPr>
        <w:t>Spoločnosť má uzatvorené  zmluvy o </w:t>
      </w:r>
      <w:r>
        <w:rPr>
          <w:rFonts w:ascii="Tahoma" w:hAnsi="Tahoma" w:cs="Tahoma"/>
          <w:sz w:val="20"/>
          <w:szCs w:val="20"/>
        </w:rPr>
        <w:t>pre</w:t>
      </w:r>
      <w:r w:rsidRPr="00F74BAC">
        <w:rPr>
          <w:rFonts w:ascii="Tahoma" w:hAnsi="Tahoma" w:cs="Tahoma"/>
          <w:sz w:val="20"/>
          <w:szCs w:val="20"/>
        </w:rPr>
        <w:t xml:space="preserve">nájme </w:t>
      </w:r>
      <w:r>
        <w:rPr>
          <w:rFonts w:ascii="Tahoma" w:hAnsi="Tahoma" w:cs="Tahoma"/>
          <w:sz w:val="20"/>
          <w:szCs w:val="20"/>
        </w:rPr>
        <w:t xml:space="preserve">kancelárskych a skladovacích priestorov.  Zmluvy sú uzatvorené na dobu neurčitú. Tržby z prenájmu v roku 2015 predstavujú čiastku 131 tis. Eur. </w:t>
      </w:r>
    </w:p>
    <w:p w:rsidR="00EE35C8" w:rsidRDefault="00EE35C8" w:rsidP="0002346A">
      <w:pPr>
        <w:jc w:val="both"/>
        <w:rPr>
          <w:rFonts w:ascii="Tahoma" w:hAnsi="Tahoma" w:cs="Tahoma"/>
          <w:b/>
          <w:bCs/>
          <w:sz w:val="20"/>
          <w:szCs w:val="20"/>
        </w:rPr>
      </w:pPr>
    </w:p>
    <w:p w:rsidR="00EE35C8" w:rsidRDefault="00EE35C8" w:rsidP="0002346A">
      <w:pPr>
        <w:jc w:val="both"/>
        <w:rPr>
          <w:rFonts w:ascii="Tahoma" w:hAnsi="Tahoma" w:cs="Tahoma"/>
          <w:sz w:val="20"/>
          <w:szCs w:val="20"/>
        </w:rPr>
      </w:pPr>
      <w:r w:rsidRPr="0002346A">
        <w:rPr>
          <w:rFonts w:ascii="Tahoma" w:hAnsi="Tahoma" w:cs="Tahoma"/>
          <w:sz w:val="20"/>
          <w:szCs w:val="20"/>
        </w:rPr>
        <w:t xml:space="preserve">Spoločnosť má poistený dlhodobý hmotný majetok v poisťovni </w:t>
      </w:r>
      <w:proofErr w:type="spellStart"/>
      <w:r>
        <w:rPr>
          <w:rFonts w:ascii="Tahoma" w:hAnsi="Tahoma" w:cs="Tahoma"/>
          <w:sz w:val="20"/>
          <w:szCs w:val="20"/>
        </w:rPr>
        <w:t>Kooperativa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r w:rsidRPr="0002346A">
        <w:rPr>
          <w:rFonts w:ascii="Tahoma" w:hAnsi="Tahoma" w:cs="Tahoma"/>
          <w:sz w:val="20"/>
          <w:szCs w:val="20"/>
        </w:rPr>
        <w:t>pre prípad škôd spôsobených krádežou</w:t>
      </w:r>
      <w:r>
        <w:rPr>
          <w:rFonts w:ascii="Tahoma" w:hAnsi="Tahoma" w:cs="Tahoma"/>
          <w:sz w:val="20"/>
          <w:szCs w:val="20"/>
        </w:rPr>
        <w:t xml:space="preserve"> a </w:t>
      </w:r>
      <w:r w:rsidRPr="0002346A">
        <w:rPr>
          <w:rFonts w:ascii="Tahoma" w:hAnsi="Tahoma" w:cs="Tahoma"/>
          <w:sz w:val="20"/>
          <w:szCs w:val="20"/>
        </w:rPr>
        <w:t xml:space="preserve"> živelnou </w:t>
      </w:r>
      <w:r>
        <w:rPr>
          <w:rFonts w:ascii="Tahoma" w:hAnsi="Tahoma" w:cs="Tahoma"/>
          <w:sz w:val="20"/>
          <w:szCs w:val="20"/>
        </w:rPr>
        <w:t>pohromou nasledovne:</w:t>
      </w:r>
    </w:p>
    <w:p w:rsidR="00EE35C8" w:rsidRDefault="00EE35C8" w:rsidP="00263DD6">
      <w:pPr>
        <w:tabs>
          <w:tab w:val="left" w:pos="1620"/>
        </w:tabs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- živelná pohroma - stavby a pozemky do výšky 1775 tis. Eur</w:t>
      </w:r>
    </w:p>
    <w:p w:rsidR="00EE35C8" w:rsidRDefault="00EE35C8" w:rsidP="00263DD6">
      <w:pPr>
        <w:tabs>
          <w:tab w:val="left" w:pos="1620"/>
        </w:tabs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  <w:t>- samostatné hnuteľné veci do výšky 190 tis. Eur.</w:t>
      </w:r>
    </w:p>
    <w:p w:rsidR="00EE35C8" w:rsidRDefault="00EE35C8" w:rsidP="00263DD6">
      <w:pPr>
        <w:tabs>
          <w:tab w:val="left" w:pos="1620"/>
        </w:tabs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- </w:t>
      </w:r>
      <w:proofErr w:type="spellStart"/>
      <w:r>
        <w:rPr>
          <w:rFonts w:ascii="Tahoma" w:hAnsi="Tahoma" w:cs="Tahoma"/>
          <w:sz w:val="20"/>
          <w:szCs w:val="20"/>
        </w:rPr>
        <w:t>škoda-krádež</w:t>
      </w:r>
      <w:proofErr w:type="spellEnd"/>
      <w:r>
        <w:rPr>
          <w:rFonts w:ascii="Tahoma" w:hAnsi="Tahoma" w:cs="Tahoma"/>
          <w:sz w:val="20"/>
          <w:szCs w:val="20"/>
        </w:rPr>
        <w:tab/>
        <w:t>- samostatné hnuteľné veci do výšky 83 tis. Eur.</w:t>
      </w:r>
    </w:p>
    <w:p w:rsidR="00EE35C8" w:rsidRPr="00263DD6" w:rsidRDefault="00EE35C8" w:rsidP="00263DD6">
      <w:pPr>
        <w:tabs>
          <w:tab w:val="left" w:pos="1620"/>
        </w:tabs>
        <w:jc w:val="both"/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pStyle w:val="Nadpis1"/>
        <w:jc w:val="both"/>
        <w:rPr>
          <w:rFonts w:ascii="Tahoma" w:hAnsi="Tahoma" w:cs="Tahoma"/>
          <w:color w:val="auto"/>
          <w:sz w:val="20"/>
          <w:szCs w:val="20"/>
        </w:rPr>
      </w:pPr>
      <w:r w:rsidRPr="004D5562">
        <w:rPr>
          <w:rFonts w:ascii="Tahoma" w:hAnsi="Tahoma" w:cs="Tahoma"/>
          <w:color w:val="auto"/>
          <w:sz w:val="20"/>
          <w:szCs w:val="20"/>
        </w:rPr>
        <w:t>UDALOSTI, KTORÉ NASTALI PO ZÁVIERKOVOM DNI</w:t>
      </w:r>
    </w:p>
    <w:p w:rsidR="00EE35C8" w:rsidRPr="004D5562" w:rsidRDefault="00EE35C8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  <w:szCs w:val="20"/>
        </w:rPr>
      </w:pPr>
    </w:p>
    <w:p w:rsidR="00EE35C8" w:rsidRPr="00263DD6" w:rsidRDefault="00EE35C8" w:rsidP="0002346A">
      <w:pPr>
        <w:jc w:val="both"/>
        <w:rPr>
          <w:rFonts w:ascii="Tahoma" w:hAnsi="Tahoma" w:cs="Tahoma"/>
          <w:color w:val="000000"/>
          <w:sz w:val="20"/>
          <w:szCs w:val="20"/>
        </w:rPr>
      </w:pPr>
      <w:bookmarkStart w:id="0" w:name="_GoBack"/>
      <w:bookmarkEnd w:id="0"/>
      <w:r w:rsidRPr="00263DD6">
        <w:rPr>
          <w:rFonts w:ascii="Tahoma" w:hAnsi="Tahoma" w:cs="Tahoma"/>
          <w:color w:val="000000"/>
          <w:sz w:val="20"/>
          <w:szCs w:val="20"/>
        </w:rPr>
        <w:t>K 1. aprílu</w:t>
      </w:r>
      <w:r>
        <w:rPr>
          <w:rFonts w:ascii="Tahoma" w:hAnsi="Tahoma" w:cs="Tahoma"/>
          <w:color w:val="000000"/>
          <w:sz w:val="20"/>
          <w:szCs w:val="20"/>
        </w:rPr>
        <w:t xml:space="preserve"> 2016 leasingový prenajímateľ VÚ</w:t>
      </w:r>
      <w:r w:rsidRPr="00263DD6">
        <w:rPr>
          <w:rFonts w:ascii="Tahoma" w:hAnsi="Tahoma" w:cs="Tahoma"/>
          <w:color w:val="000000"/>
          <w:sz w:val="20"/>
          <w:szCs w:val="20"/>
        </w:rPr>
        <w:t>B Leasing Bratislava predčasne ukončil so spoločnosťou leasingovú zmluvu v dôsledku porušenia zmluvných podmienok.</w:t>
      </w:r>
    </w:p>
    <w:p w:rsidR="00EE35C8" w:rsidRPr="004D5562" w:rsidRDefault="00EE35C8" w:rsidP="0002346A">
      <w:pPr>
        <w:pStyle w:val="Nadpis1"/>
        <w:jc w:val="center"/>
        <w:rPr>
          <w:rFonts w:ascii="Tahoma" w:hAnsi="Tahoma" w:cs="Tahoma"/>
          <w:sz w:val="20"/>
          <w:szCs w:val="20"/>
        </w:rPr>
      </w:pPr>
    </w:p>
    <w:p w:rsidR="00EE35C8" w:rsidRPr="004D5562" w:rsidRDefault="00EE35C8" w:rsidP="0002346A">
      <w:pPr>
        <w:ind w:hanging="142"/>
        <w:rPr>
          <w:rFonts w:ascii="Tahoma" w:hAnsi="Tahoma" w:cs="Tahoma"/>
          <w:b/>
          <w:bCs/>
          <w:sz w:val="20"/>
          <w:szCs w:val="20"/>
        </w:rPr>
      </w:pPr>
    </w:p>
    <w:p w:rsidR="00EE35C8" w:rsidRPr="004D5562" w:rsidRDefault="00EE35C8" w:rsidP="00EA795B">
      <w:pPr>
        <w:ind w:left="-142"/>
        <w:rPr>
          <w:rFonts w:ascii="Tahoma" w:hAnsi="Tahoma" w:cs="Tahoma"/>
          <w:sz w:val="20"/>
          <w:szCs w:val="20"/>
        </w:rPr>
      </w:pPr>
    </w:p>
    <w:sectPr w:rsidR="00EE35C8" w:rsidRPr="004D5562" w:rsidSect="00D2101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35C8" w:rsidRDefault="00EE35C8" w:rsidP="00E925DE">
      <w:r>
        <w:separator/>
      </w:r>
    </w:p>
  </w:endnote>
  <w:endnote w:type="continuationSeparator" w:id="1">
    <w:p w:rsidR="00EE35C8" w:rsidRDefault="00EE35C8" w:rsidP="00E925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5C8" w:rsidRDefault="00866EA9" w:rsidP="00E27322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35C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8490E">
      <w:rPr>
        <w:rStyle w:val="slostrany"/>
        <w:noProof/>
      </w:rPr>
      <w:t>1</w:t>
    </w:r>
    <w:r>
      <w:rPr>
        <w:rStyle w:val="slostrany"/>
      </w:rPr>
      <w:fldChar w:fldCharType="end"/>
    </w:r>
  </w:p>
  <w:p w:rsidR="00EE35C8" w:rsidRPr="004D5562" w:rsidRDefault="00EE35C8" w:rsidP="00D21011">
    <w:pPr>
      <w:pStyle w:val="Pta"/>
      <w:ind w:right="360"/>
      <w:jc w:val="right"/>
      <w:rPr>
        <w:rFonts w:ascii="Tahoma" w:hAnsi="Tahoma" w:cs="Tahoma"/>
        <w:sz w:val="16"/>
        <w:szCs w:val="16"/>
      </w:rPr>
    </w:pPr>
  </w:p>
  <w:p w:rsidR="00EE35C8" w:rsidRDefault="00EE35C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35C8" w:rsidRDefault="00EE35C8" w:rsidP="00E925DE">
      <w:r>
        <w:separator/>
      </w:r>
    </w:p>
  </w:footnote>
  <w:footnote w:type="continuationSeparator" w:id="1">
    <w:p w:rsidR="00EE35C8" w:rsidRDefault="00EE35C8" w:rsidP="00E925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5C8" w:rsidRPr="00E925DE" w:rsidRDefault="00EE35C8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36042731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>
      <w:rPr>
        <w:rFonts w:ascii="Arial" w:hAnsi="Arial" w:cs="Arial"/>
        <w:sz w:val="20"/>
        <w:szCs w:val="20"/>
        <w:bdr w:val="single" w:sz="4" w:space="0" w:color="auto"/>
      </w:rPr>
      <w:t>2020069205</w:t>
    </w:r>
  </w:p>
  <w:p w:rsidR="00EE35C8" w:rsidRDefault="00EE35C8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E35C8" w:rsidRDefault="00EE35C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638E7"/>
    <w:rsid w:val="00020223"/>
    <w:rsid w:val="0002346A"/>
    <w:rsid w:val="000340B2"/>
    <w:rsid w:val="00036CE1"/>
    <w:rsid w:val="000436AB"/>
    <w:rsid w:val="00046930"/>
    <w:rsid w:val="0005045A"/>
    <w:rsid w:val="00055990"/>
    <w:rsid w:val="00056592"/>
    <w:rsid w:val="00060D43"/>
    <w:rsid w:val="000810B5"/>
    <w:rsid w:val="000D66FC"/>
    <w:rsid w:val="00154558"/>
    <w:rsid w:val="001A419A"/>
    <w:rsid w:val="001B1E20"/>
    <w:rsid w:val="001E347E"/>
    <w:rsid w:val="00251FB1"/>
    <w:rsid w:val="00263DD6"/>
    <w:rsid w:val="002960B4"/>
    <w:rsid w:val="002B741A"/>
    <w:rsid w:val="002C2AE9"/>
    <w:rsid w:val="002E1BB3"/>
    <w:rsid w:val="003418D6"/>
    <w:rsid w:val="0036707C"/>
    <w:rsid w:val="00377152"/>
    <w:rsid w:val="003902E6"/>
    <w:rsid w:val="003929E9"/>
    <w:rsid w:val="003A28EF"/>
    <w:rsid w:val="003D44A5"/>
    <w:rsid w:val="003F62BE"/>
    <w:rsid w:val="00400C3C"/>
    <w:rsid w:val="00420045"/>
    <w:rsid w:val="004373E9"/>
    <w:rsid w:val="004616A2"/>
    <w:rsid w:val="00462D72"/>
    <w:rsid w:val="00464559"/>
    <w:rsid w:val="00495633"/>
    <w:rsid w:val="004D5562"/>
    <w:rsid w:val="00501738"/>
    <w:rsid w:val="005017B5"/>
    <w:rsid w:val="00534BF9"/>
    <w:rsid w:val="00542EB6"/>
    <w:rsid w:val="00581BD5"/>
    <w:rsid w:val="00583D78"/>
    <w:rsid w:val="005974A7"/>
    <w:rsid w:val="005B0673"/>
    <w:rsid w:val="005C0254"/>
    <w:rsid w:val="005E77C0"/>
    <w:rsid w:val="006547FA"/>
    <w:rsid w:val="006638E7"/>
    <w:rsid w:val="006879FE"/>
    <w:rsid w:val="00695195"/>
    <w:rsid w:val="006A1859"/>
    <w:rsid w:val="006F4B54"/>
    <w:rsid w:val="007451FD"/>
    <w:rsid w:val="0076395D"/>
    <w:rsid w:val="007A5BC8"/>
    <w:rsid w:val="007E1B72"/>
    <w:rsid w:val="0081536E"/>
    <w:rsid w:val="00822A23"/>
    <w:rsid w:val="00864E3D"/>
    <w:rsid w:val="00866EA9"/>
    <w:rsid w:val="00877C59"/>
    <w:rsid w:val="008B54D2"/>
    <w:rsid w:val="008E47FE"/>
    <w:rsid w:val="00915A1A"/>
    <w:rsid w:val="0097250E"/>
    <w:rsid w:val="00972522"/>
    <w:rsid w:val="009A0CDE"/>
    <w:rsid w:val="009A147A"/>
    <w:rsid w:val="009A7772"/>
    <w:rsid w:val="009E24A8"/>
    <w:rsid w:val="009F3393"/>
    <w:rsid w:val="00A07481"/>
    <w:rsid w:val="00A104DF"/>
    <w:rsid w:val="00A20AD0"/>
    <w:rsid w:val="00A81FF7"/>
    <w:rsid w:val="00AC0523"/>
    <w:rsid w:val="00AC0D9F"/>
    <w:rsid w:val="00AC1768"/>
    <w:rsid w:val="00AD7C43"/>
    <w:rsid w:val="00AF0671"/>
    <w:rsid w:val="00B04636"/>
    <w:rsid w:val="00B4236D"/>
    <w:rsid w:val="00B4498E"/>
    <w:rsid w:val="00B454FA"/>
    <w:rsid w:val="00B551E9"/>
    <w:rsid w:val="00C2075F"/>
    <w:rsid w:val="00C5173E"/>
    <w:rsid w:val="00CA550D"/>
    <w:rsid w:val="00D16148"/>
    <w:rsid w:val="00D21011"/>
    <w:rsid w:val="00D239F2"/>
    <w:rsid w:val="00D57572"/>
    <w:rsid w:val="00D73532"/>
    <w:rsid w:val="00D8490E"/>
    <w:rsid w:val="00D859ED"/>
    <w:rsid w:val="00DE457E"/>
    <w:rsid w:val="00DE7BFC"/>
    <w:rsid w:val="00E10491"/>
    <w:rsid w:val="00E11742"/>
    <w:rsid w:val="00E27322"/>
    <w:rsid w:val="00E36AA6"/>
    <w:rsid w:val="00E410F6"/>
    <w:rsid w:val="00E61DDA"/>
    <w:rsid w:val="00E6206B"/>
    <w:rsid w:val="00E925DE"/>
    <w:rsid w:val="00EA795B"/>
    <w:rsid w:val="00EA7A41"/>
    <w:rsid w:val="00EB73C4"/>
    <w:rsid w:val="00EC2FEB"/>
    <w:rsid w:val="00EE35C8"/>
    <w:rsid w:val="00F004CA"/>
    <w:rsid w:val="00F74BAC"/>
    <w:rsid w:val="00FA7A3D"/>
    <w:rsid w:val="00FD654B"/>
    <w:rsid w:val="00FF43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38E7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F4317"/>
    <w:pPr>
      <w:keepNext/>
      <w:keepLines/>
      <w:spacing w:before="48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77C59"/>
    <w:pPr>
      <w:keepNext/>
      <w:numPr>
        <w:numId w:val="1"/>
      </w:numPr>
      <w:outlineLvl w:val="1"/>
    </w:pPr>
    <w:rPr>
      <w:b/>
      <w:bCs/>
      <w:sz w:val="18"/>
      <w:szCs w:val="1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FF4317"/>
    <w:rPr>
      <w:rFonts w:ascii="Cambria" w:hAnsi="Cambria" w:cs="Cambria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877C59"/>
    <w:rPr>
      <w:rFonts w:eastAsia="Times New Roman"/>
      <w:b/>
      <w:bCs/>
      <w:sz w:val="18"/>
      <w:szCs w:val="18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877C59"/>
    <w:pPr>
      <w:ind w:left="426"/>
      <w:jc w:val="both"/>
    </w:pPr>
    <w:rPr>
      <w:sz w:val="18"/>
      <w:szCs w:val="18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77C59"/>
    <w:rPr>
      <w:rFonts w:ascii="Times New Roman" w:hAnsi="Times New Roman" w:cs="Times New Roman"/>
      <w:sz w:val="20"/>
      <w:szCs w:val="20"/>
    </w:rPr>
  </w:style>
  <w:style w:type="paragraph" w:customStyle="1" w:styleId="TopHeader">
    <w:name w:val="Top Header"/>
    <w:basedOn w:val="Normlny"/>
    <w:uiPriority w:val="99"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uiPriority w:val="99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  <w:bCs/>
    </w:rPr>
  </w:style>
  <w:style w:type="table" w:styleId="Mriekatabuky">
    <w:name w:val="Table Grid"/>
    <w:basedOn w:val="Normlnatabuka"/>
    <w:uiPriority w:val="99"/>
    <w:rsid w:val="00DE7BFC"/>
    <w:rPr>
      <w:rFonts w:cs="Calibri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99"/>
    <w:qFormat/>
    <w:rsid w:val="000436AB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6CE1"/>
    <w:rPr>
      <w:rFonts w:ascii="Tahom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25DE"/>
    <w:rPr>
      <w:rFonts w:ascii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25DE"/>
    <w:rPr>
      <w:rFonts w:ascii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uiPriority w:val="99"/>
    <w:rsid w:val="008E47FE"/>
  </w:style>
  <w:style w:type="character" w:customStyle="1" w:styleId="apple-converted-space">
    <w:name w:val="apple-converted-space"/>
    <w:basedOn w:val="Predvolenpsmoodseku"/>
    <w:uiPriority w:val="99"/>
    <w:rsid w:val="008E47FE"/>
  </w:style>
  <w:style w:type="character" w:styleId="slostrany">
    <w:name w:val="page number"/>
    <w:basedOn w:val="Predvolenpsmoodseku"/>
    <w:uiPriority w:val="99"/>
    <w:rsid w:val="00D210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5748</Characters>
  <Application>Microsoft Office Word</Application>
  <DocSecurity>0</DocSecurity>
  <Lines>47</Lines>
  <Paragraphs>13</Paragraphs>
  <ScaleCrop>false</ScaleCrop>
  <Company/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INFORMÁCIE</dc:title>
  <dc:subject/>
  <dc:creator>Owner</dc:creator>
  <cp:keywords/>
  <dc:description/>
  <cp:lastModifiedBy>Anna Liptaková</cp:lastModifiedBy>
  <cp:revision>2</cp:revision>
  <cp:lastPrinted>2016-02-28T20:30:00Z</cp:lastPrinted>
  <dcterms:created xsi:type="dcterms:W3CDTF">2016-06-27T08:29:00Z</dcterms:created>
  <dcterms:modified xsi:type="dcterms:W3CDTF">2016-06-27T08:29:00Z</dcterms:modified>
</cp:coreProperties>
</file>