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0FF" w:rsidRDefault="00686FE0">
      <w:pPr>
        <w:keepNext/>
        <w:jc w:val="center"/>
        <w:outlineLvl w:val="1"/>
        <w:rPr>
          <w:b/>
          <w:bCs/>
          <w:sz w:val="20"/>
        </w:rPr>
      </w:pPr>
      <w:r>
        <w:rPr>
          <w:b/>
          <w:bCs/>
          <w:sz w:val="20"/>
        </w:rPr>
        <w:t>Čl. I</w:t>
      </w:r>
    </w:p>
    <w:p w:rsidR="004340FF" w:rsidRDefault="00686FE0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>
        <w:rPr>
          <w:b/>
          <w:bCs/>
          <w:sz w:val="20"/>
        </w:rPr>
        <w:tab/>
      </w:r>
      <w:r>
        <w:rPr>
          <w:b/>
          <w:bCs/>
          <w:sz w:val="20"/>
        </w:rPr>
        <w:tab/>
        <w:t>Všeobecné údaje</w:t>
      </w:r>
    </w:p>
    <w:p w:rsidR="004340FF" w:rsidRDefault="004340FF">
      <w:pPr>
        <w:keepNext/>
        <w:jc w:val="center"/>
        <w:outlineLvl w:val="1"/>
        <w:rPr>
          <w:b/>
          <w:bCs/>
          <w:sz w:val="18"/>
          <w:szCs w:val="22"/>
        </w:rPr>
      </w:pPr>
    </w:p>
    <w:p w:rsidR="004340FF" w:rsidRDefault="00686FE0">
      <w:pPr>
        <w:numPr>
          <w:ilvl w:val="0"/>
          <w:numId w:val="11"/>
        </w:numPr>
        <w:ind w:hanging="1339"/>
        <w:jc w:val="both"/>
        <w:rPr>
          <w:sz w:val="20"/>
        </w:rPr>
      </w:pPr>
      <w:r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4340FF">
        <w:trPr>
          <w:trHeight w:val="1656"/>
        </w:trPr>
        <w:tc>
          <w:tcPr>
            <w:tcW w:w="9498" w:type="dxa"/>
          </w:tcPr>
          <w:p w:rsidR="004340FF" w:rsidRDefault="004340F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4340FF" w:rsidRDefault="00686F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CREATIVE MIND, s. r.o.</w:t>
            </w:r>
          </w:p>
          <w:p w:rsidR="004340FF" w:rsidRDefault="00686FE0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Alžbetin dvor 629</w:t>
            </w:r>
          </w:p>
          <w:p w:rsidR="004340FF" w:rsidRDefault="00686FE0">
            <w:pPr>
              <w:jc w:val="both"/>
              <w:rPr>
                <w:sz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900 42 Miloslavov</w:t>
            </w:r>
          </w:p>
        </w:tc>
      </w:tr>
    </w:tbl>
    <w:p w:rsidR="004340FF" w:rsidRDefault="004340FF">
      <w:pPr>
        <w:jc w:val="both"/>
        <w:rPr>
          <w:sz w:val="20"/>
          <w:u w:val="single"/>
        </w:rPr>
      </w:pPr>
    </w:p>
    <w:p w:rsidR="004340FF" w:rsidRDefault="00686FE0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>
        <w:rPr>
          <w:sz w:val="20"/>
        </w:rPr>
        <w:t xml:space="preserve">Údaje o konsolidovanom celku:   Účtovná jednotka </w:t>
      </w:r>
      <w:r>
        <w:rPr>
          <w:b/>
          <w:sz w:val="20"/>
        </w:rPr>
        <w:t>nie je</w:t>
      </w:r>
      <w:r>
        <w:rPr>
          <w:sz w:val="20"/>
        </w:rPr>
        <w:t xml:space="preserve"> súčasťou konsolidovaného celku.</w:t>
      </w:r>
    </w:p>
    <w:p w:rsidR="004340FF" w:rsidRDefault="00686FE0">
      <w:pPr>
        <w:numPr>
          <w:ilvl w:val="0"/>
          <w:numId w:val="11"/>
        </w:numPr>
        <w:ind w:hanging="1339"/>
        <w:jc w:val="both"/>
        <w:rPr>
          <w:sz w:val="20"/>
        </w:rPr>
      </w:pPr>
      <w:r>
        <w:rPr>
          <w:sz w:val="20"/>
        </w:rPr>
        <w:t xml:space="preserve">Priemerný prepočítaný počet zamestnancov: </w:t>
      </w:r>
      <w:r>
        <w:rPr>
          <w:b/>
          <w:sz w:val="20"/>
        </w:rPr>
        <w:t>nemá zamestnancov</w:t>
      </w:r>
      <w:r>
        <w:rPr>
          <w:sz w:val="20"/>
        </w:rPr>
        <w:t xml:space="preserve">.     </w:t>
      </w:r>
    </w:p>
    <w:p w:rsidR="004340FF" w:rsidRDefault="004340FF">
      <w:pPr>
        <w:tabs>
          <w:tab w:val="left" w:pos="851"/>
        </w:tabs>
        <w:ind w:left="2870"/>
        <w:jc w:val="both"/>
        <w:rPr>
          <w:sz w:val="20"/>
        </w:rPr>
      </w:pPr>
    </w:p>
    <w:p w:rsidR="004340FF" w:rsidRDefault="00686FE0">
      <w:pPr>
        <w:jc w:val="center"/>
        <w:rPr>
          <w:b/>
          <w:sz w:val="20"/>
        </w:rPr>
      </w:pPr>
      <w:r>
        <w:rPr>
          <w:b/>
          <w:sz w:val="20"/>
        </w:rPr>
        <w:t>Čl. II</w:t>
      </w:r>
    </w:p>
    <w:p w:rsidR="004340FF" w:rsidRDefault="00686FE0">
      <w:pPr>
        <w:jc w:val="center"/>
        <w:rPr>
          <w:b/>
          <w:sz w:val="20"/>
        </w:rPr>
      </w:pPr>
      <w:r>
        <w:rPr>
          <w:b/>
          <w:sz w:val="20"/>
        </w:rPr>
        <w:t>Informácie o prijatých postupoch</w:t>
      </w:r>
    </w:p>
    <w:p w:rsidR="004340FF" w:rsidRDefault="004340FF">
      <w:pPr>
        <w:ind w:left="1121"/>
        <w:jc w:val="both"/>
        <w:rPr>
          <w:b/>
          <w:sz w:val="20"/>
        </w:rPr>
      </w:pPr>
    </w:p>
    <w:p w:rsidR="004340FF" w:rsidRDefault="00686FE0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Účtovná závierka zostavená za splnenia predpokladu, že účtovná jednotka </w:t>
      </w:r>
      <w:r>
        <w:rPr>
          <w:b/>
          <w:sz w:val="20"/>
          <w:u w:val="single"/>
        </w:rPr>
        <w:t>bude</w:t>
      </w:r>
      <w:r>
        <w:rPr>
          <w:sz w:val="20"/>
        </w:rPr>
        <w:t xml:space="preserve"> nepretržite pokračovať vo svojej činnosti</w:t>
      </w:r>
    </w:p>
    <w:p w:rsidR="004340FF" w:rsidRDefault="00686FE0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Spôsob oceňovania jednotlivých položiek majetku a 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4340FF">
        <w:tc>
          <w:tcPr>
            <w:tcW w:w="9072" w:type="dxa"/>
            <w:gridSpan w:val="2"/>
            <w:vAlign w:val="center"/>
          </w:tcPr>
          <w:p w:rsidR="004340FF" w:rsidRDefault="00686FE0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Obstarávacou cenou</w:t>
            </w:r>
          </w:p>
        </w:tc>
      </w:tr>
      <w:tr w:rsidR="004340FF">
        <w:tc>
          <w:tcPr>
            <w:tcW w:w="8549" w:type="dxa"/>
            <w:vAlign w:val="center"/>
          </w:tcPr>
          <w:p w:rsidR="004340FF" w:rsidRDefault="00686FE0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4340FF" w:rsidRDefault="00686FE0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4340FF">
        <w:tc>
          <w:tcPr>
            <w:tcW w:w="8549" w:type="dxa"/>
            <w:vAlign w:val="center"/>
          </w:tcPr>
          <w:p w:rsidR="004340FF" w:rsidRDefault="00686FE0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4340FF" w:rsidRDefault="00686FE0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4340FF">
        <w:tc>
          <w:tcPr>
            <w:tcW w:w="8549" w:type="dxa"/>
            <w:vAlign w:val="center"/>
          </w:tcPr>
          <w:p w:rsidR="004340FF" w:rsidRDefault="00686FE0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4340FF" w:rsidRDefault="00686FE0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4340FF">
        <w:tc>
          <w:tcPr>
            <w:tcW w:w="8549" w:type="dxa"/>
            <w:vAlign w:val="center"/>
          </w:tcPr>
          <w:p w:rsidR="004340FF" w:rsidRDefault="00686FE0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4340FF" w:rsidRDefault="00686FE0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4340FF">
        <w:tc>
          <w:tcPr>
            <w:tcW w:w="8549" w:type="dxa"/>
            <w:vAlign w:val="center"/>
          </w:tcPr>
          <w:p w:rsidR="004340FF" w:rsidRDefault="00686FE0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4340FF" w:rsidRDefault="00686FE0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4340FF">
        <w:tc>
          <w:tcPr>
            <w:tcW w:w="8549" w:type="dxa"/>
            <w:vAlign w:val="center"/>
          </w:tcPr>
          <w:p w:rsidR="004340FF" w:rsidRDefault="00686FE0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4340FF" w:rsidRDefault="00686FE0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4340FF" w:rsidRDefault="004340FF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4340FF">
        <w:tc>
          <w:tcPr>
            <w:tcW w:w="9072" w:type="dxa"/>
            <w:gridSpan w:val="2"/>
            <w:vAlign w:val="center"/>
          </w:tcPr>
          <w:p w:rsidR="004340FF" w:rsidRDefault="00686FE0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Vlastnými nákladmi</w:t>
            </w:r>
          </w:p>
        </w:tc>
      </w:tr>
      <w:tr w:rsidR="004340FF">
        <w:tc>
          <w:tcPr>
            <w:tcW w:w="8549" w:type="dxa"/>
            <w:vAlign w:val="center"/>
          </w:tcPr>
          <w:p w:rsidR="004340FF" w:rsidRDefault="00686FE0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4340FF" w:rsidRDefault="004340F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4340FF">
        <w:tc>
          <w:tcPr>
            <w:tcW w:w="8549" w:type="dxa"/>
            <w:vAlign w:val="center"/>
          </w:tcPr>
          <w:p w:rsidR="004340FF" w:rsidRDefault="00686FE0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4340FF" w:rsidRDefault="004340F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4340FF">
        <w:tc>
          <w:tcPr>
            <w:tcW w:w="8549" w:type="dxa"/>
            <w:vAlign w:val="center"/>
          </w:tcPr>
          <w:p w:rsidR="004340FF" w:rsidRDefault="00686FE0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4340FF" w:rsidRDefault="004340F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4340FF">
        <w:tc>
          <w:tcPr>
            <w:tcW w:w="8549" w:type="dxa"/>
            <w:vAlign w:val="center"/>
          </w:tcPr>
          <w:p w:rsidR="004340FF" w:rsidRDefault="00686FE0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4340FF" w:rsidRDefault="004340F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4340FF" w:rsidRDefault="004340FF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4340FF">
        <w:tc>
          <w:tcPr>
            <w:tcW w:w="9072" w:type="dxa"/>
            <w:gridSpan w:val="2"/>
          </w:tcPr>
          <w:p w:rsidR="004340FF" w:rsidRDefault="00686FE0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Menovitou hodnotou</w:t>
            </w:r>
          </w:p>
        </w:tc>
      </w:tr>
      <w:tr w:rsidR="004340FF">
        <w:tc>
          <w:tcPr>
            <w:tcW w:w="8549" w:type="dxa"/>
          </w:tcPr>
          <w:p w:rsidR="004340FF" w:rsidRDefault="00686FE0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4340FF" w:rsidRDefault="00686FE0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4340FF">
        <w:tc>
          <w:tcPr>
            <w:tcW w:w="8549" w:type="dxa"/>
          </w:tcPr>
          <w:p w:rsidR="004340FF" w:rsidRDefault="00686FE0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4340FF" w:rsidRDefault="00686FE0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4340FF">
        <w:tc>
          <w:tcPr>
            <w:tcW w:w="8549" w:type="dxa"/>
          </w:tcPr>
          <w:p w:rsidR="004340FF" w:rsidRDefault="00686FE0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4340FF" w:rsidRDefault="00686FE0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4340FF">
        <w:tc>
          <w:tcPr>
            <w:tcW w:w="8549" w:type="dxa"/>
          </w:tcPr>
          <w:p w:rsidR="004340FF" w:rsidRDefault="004340FF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4340FF" w:rsidRDefault="004340F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4340FF" w:rsidRDefault="004340FF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4340FF">
        <w:tc>
          <w:tcPr>
            <w:tcW w:w="9072" w:type="dxa"/>
            <w:gridSpan w:val="2"/>
            <w:vAlign w:val="center"/>
          </w:tcPr>
          <w:p w:rsidR="004340FF" w:rsidRDefault="00686FE0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Reprodukčnou obstarávacou cenou</w:t>
            </w:r>
          </w:p>
        </w:tc>
      </w:tr>
      <w:tr w:rsidR="004340FF">
        <w:tc>
          <w:tcPr>
            <w:tcW w:w="8549" w:type="dxa"/>
            <w:vAlign w:val="center"/>
          </w:tcPr>
          <w:p w:rsidR="004340FF" w:rsidRDefault="00686FE0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4340FF" w:rsidRDefault="00686FE0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4340FF" w:rsidRDefault="004340F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4340FF">
        <w:tc>
          <w:tcPr>
            <w:tcW w:w="8549" w:type="dxa"/>
            <w:vAlign w:val="center"/>
          </w:tcPr>
          <w:p w:rsidR="004340FF" w:rsidRDefault="00686FE0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4340FF" w:rsidRDefault="004340F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4340FF">
        <w:tc>
          <w:tcPr>
            <w:tcW w:w="8549" w:type="dxa"/>
            <w:vAlign w:val="center"/>
          </w:tcPr>
          <w:p w:rsidR="004340FF" w:rsidRDefault="00686FE0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4340FF" w:rsidRDefault="004340F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4340FF">
        <w:tc>
          <w:tcPr>
            <w:tcW w:w="8549" w:type="dxa"/>
            <w:vAlign w:val="center"/>
          </w:tcPr>
          <w:p w:rsidR="004340FF" w:rsidRDefault="00686FE0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4340FF" w:rsidRDefault="004340F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4340FF">
        <w:tc>
          <w:tcPr>
            <w:tcW w:w="8549" w:type="dxa"/>
            <w:vAlign w:val="center"/>
          </w:tcPr>
          <w:p w:rsidR="004340FF" w:rsidRDefault="00686FE0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4340FF" w:rsidRDefault="00686FE0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4340FF" w:rsidRDefault="004340FF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4340FF">
        <w:tc>
          <w:tcPr>
            <w:tcW w:w="9072" w:type="dxa"/>
            <w:gridSpan w:val="2"/>
            <w:vAlign w:val="center"/>
          </w:tcPr>
          <w:p w:rsidR="004340FF" w:rsidRDefault="00686FE0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4340FF">
        <w:tc>
          <w:tcPr>
            <w:tcW w:w="8549" w:type="dxa"/>
            <w:vAlign w:val="center"/>
          </w:tcPr>
          <w:p w:rsidR="004340FF" w:rsidRDefault="00686FE0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4340FF" w:rsidRDefault="004340F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4340FF">
        <w:tc>
          <w:tcPr>
            <w:tcW w:w="8549" w:type="dxa"/>
            <w:vAlign w:val="center"/>
          </w:tcPr>
          <w:p w:rsidR="004340FF" w:rsidRDefault="00686FE0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4340FF" w:rsidRDefault="004340F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4340FF">
        <w:tc>
          <w:tcPr>
            <w:tcW w:w="8549" w:type="dxa"/>
            <w:vAlign w:val="center"/>
          </w:tcPr>
          <w:p w:rsidR="004340FF" w:rsidRDefault="00686FE0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Obstarávacia cena zásob sa rozdeľuje na cenu za ktoré sa zásoby obstarali</w:t>
            </w:r>
          </w:p>
          <w:p w:rsidR="004340FF" w:rsidRDefault="00686FE0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4340FF" w:rsidRDefault="004340F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4340FF">
        <w:tc>
          <w:tcPr>
            <w:tcW w:w="8549" w:type="dxa"/>
            <w:vAlign w:val="center"/>
          </w:tcPr>
          <w:p w:rsidR="004340FF" w:rsidRDefault="00686FE0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4340FF" w:rsidRDefault="004340F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4340FF" w:rsidRDefault="004340FF">
      <w:pPr>
        <w:jc w:val="both"/>
        <w:rPr>
          <w:sz w:val="20"/>
          <w:szCs w:val="22"/>
        </w:rPr>
      </w:pPr>
    </w:p>
    <w:p w:rsidR="004340FF" w:rsidRDefault="004340FF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4340FF">
        <w:tc>
          <w:tcPr>
            <w:tcW w:w="9072" w:type="dxa"/>
            <w:gridSpan w:val="2"/>
          </w:tcPr>
          <w:p w:rsidR="004340FF" w:rsidRDefault="004340FF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4340FF">
        <w:tc>
          <w:tcPr>
            <w:tcW w:w="8549" w:type="dxa"/>
            <w:vAlign w:val="center"/>
          </w:tcPr>
          <w:p w:rsidR="004340FF" w:rsidRDefault="00686FE0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4340FF" w:rsidRDefault="00686FE0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4340FF" w:rsidRDefault="004340F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4340FF">
        <w:tc>
          <w:tcPr>
            <w:tcW w:w="8549" w:type="dxa"/>
            <w:vAlign w:val="center"/>
          </w:tcPr>
          <w:p w:rsidR="004340FF" w:rsidRDefault="00686FE0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4340FF" w:rsidRDefault="00686FE0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4340FF" w:rsidRDefault="004340F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4340FF">
        <w:tc>
          <w:tcPr>
            <w:tcW w:w="8549" w:type="dxa"/>
            <w:vAlign w:val="center"/>
          </w:tcPr>
          <w:p w:rsidR="004340FF" w:rsidRDefault="00686FE0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Prenajatý  majetok a majetok obstaraný na základe  zmluvy o kúpe prenajatej veci - v ocenení</w:t>
            </w:r>
          </w:p>
          <w:p w:rsidR="004340FF" w:rsidRDefault="00686FE0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4340FF" w:rsidRDefault="00686FE0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4340FF">
        <w:tc>
          <w:tcPr>
            <w:tcW w:w="8549" w:type="dxa"/>
            <w:vAlign w:val="center"/>
          </w:tcPr>
          <w:p w:rsidR="004340FF" w:rsidRDefault="00686FE0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Daň z príjmov splatná – daň sa  určuje z účtovného zisku pred zdanením, po úpravách na daňové účely</w:t>
            </w:r>
          </w:p>
          <w:p w:rsidR="004340FF" w:rsidRDefault="00686FE0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podľa zákona o daniach z príjmov pri sadzbe 22 %</w:t>
            </w:r>
          </w:p>
        </w:tc>
        <w:tc>
          <w:tcPr>
            <w:tcW w:w="523" w:type="dxa"/>
            <w:vAlign w:val="center"/>
          </w:tcPr>
          <w:p w:rsidR="004340FF" w:rsidRDefault="00686FE0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4340FF">
        <w:tc>
          <w:tcPr>
            <w:tcW w:w="8549" w:type="dxa"/>
          </w:tcPr>
          <w:p w:rsidR="004340FF" w:rsidRDefault="00686FE0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Náklady a výnosy sa časovo rozlišujú. Časovo sa ne nerozlišujú náklady a výnosy, ak ide o nevýznamný </w:t>
            </w:r>
          </w:p>
          <w:p w:rsidR="004340FF" w:rsidRDefault="00686FE0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4340FF" w:rsidRDefault="00686FE0">
            <w:pPr>
              <w:ind w:right="-468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4340FF" w:rsidRDefault="00686FE0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4340FF">
        <w:tc>
          <w:tcPr>
            <w:tcW w:w="8549" w:type="dxa"/>
          </w:tcPr>
          <w:p w:rsidR="004340FF" w:rsidRDefault="00686FE0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kvót.</w:t>
            </w:r>
          </w:p>
        </w:tc>
        <w:tc>
          <w:tcPr>
            <w:tcW w:w="523" w:type="dxa"/>
            <w:vAlign w:val="center"/>
          </w:tcPr>
          <w:p w:rsidR="004340FF" w:rsidRDefault="00686FE0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4340FF" w:rsidRDefault="00686FE0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4340FF" w:rsidRDefault="004340FF">
      <w:pPr>
        <w:jc w:val="both"/>
        <w:rPr>
          <w:sz w:val="20"/>
          <w:szCs w:val="22"/>
        </w:rPr>
      </w:pPr>
    </w:p>
    <w:p w:rsidR="004340FF" w:rsidRDefault="00686FE0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4340FF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4340FF" w:rsidRDefault="00686F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4340FF" w:rsidRDefault="004340FF">
            <w:pPr>
              <w:rPr>
                <w:sz w:val="18"/>
              </w:rPr>
            </w:pPr>
          </w:p>
          <w:p w:rsidR="004340FF" w:rsidRDefault="00686FE0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4340FF" w:rsidRDefault="004340FF">
            <w:pPr>
              <w:rPr>
                <w:sz w:val="18"/>
              </w:rPr>
            </w:pPr>
          </w:p>
        </w:tc>
      </w:tr>
      <w:tr w:rsidR="004340FF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4340FF" w:rsidRDefault="00686FE0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rovnajú.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4340FF" w:rsidRDefault="004340FF">
            <w:pPr>
              <w:rPr>
                <w:sz w:val="18"/>
              </w:rPr>
            </w:pPr>
          </w:p>
          <w:p w:rsidR="004340FF" w:rsidRDefault="00686FE0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  <w:p w:rsidR="004340FF" w:rsidRDefault="004340FF">
            <w:pPr>
              <w:rPr>
                <w:sz w:val="18"/>
              </w:rPr>
            </w:pPr>
          </w:p>
        </w:tc>
      </w:tr>
      <w:tr w:rsidR="004340FF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4340FF" w:rsidRDefault="00686F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>
              <w:rPr>
                <w:b/>
                <w:sz w:val="20"/>
                <w:szCs w:val="22"/>
              </w:rPr>
              <w:t>nerovnajú.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4340FF" w:rsidRDefault="004340FF">
            <w:pPr>
              <w:rPr>
                <w:sz w:val="18"/>
              </w:rPr>
            </w:pPr>
          </w:p>
        </w:tc>
      </w:tr>
      <w:tr w:rsidR="004340FF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4340FF" w:rsidRDefault="00686F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Dlhodobý nehmotný majetok =doba použiteľnosti viac ako rok a vstupná cena je  viac ako 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4340FF" w:rsidRDefault="00686F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4340FF" w:rsidRDefault="00686FE0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4340FF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4340FF" w:rsidRDefault="00686F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4340FF" w:rsidRDefault="00686FE0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4340FF" w:rsidRDefault="00686FE0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</w:tbl>
    <w:p w:rsidR="004340FF" w:rsidRDefault="004340FF">
      <w:pPr>
        <w:jc w:val="both"/>
        <w:rPr>
          <w:sz w:val="18"/>
        </w:rPr>
      </w:pPr>
    </w:p>
    <w:p w:rsidR="004340FF" w:rsidRDefault="004340FF">
      <w:pPr>
        <w:ind w:left="709"/>
        <w:jc w:val="both"/>
        <w:rPr>
          <w:sz w:val="20"/>
        </w:rPr>
      </w:pPr>
    </w:p>
    <w:p w:rsidR="004340FF" w:rsidRDefault="004340FF">
      <w:pPr>
        <w:ind w:left="709"/>
        <w:jc w:val="both"/>
        <w:rPr>
          <w:sz w:val="20"/>
        </w:rPr>
      </w:pPr>
    </w:p>
    <w:p w:rsidR="004340FF" w:rsidRDefault="00686FE0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4340FF">
        <w:trPr>
          <w:trHeight w:val="283"/>
        </w:trPr>
        <w:tc>
          <w:tcPr>
            <w:tcW w:w="2062" w:type="dxa"/>
          </w:tcPr>
          <w:p w:rsidR="004340FF" w:rsidRDefault="00686FE0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Typ zmeny</w:t>
            </w:r>
          </w:p>
        </w:tc>
        <w:tc>
          <w:tcPr>
            <w:tcW w:w="1502" w:type="dxa"/>
          </w:tcPr>
          <w:p w:rsidR="004340FF" w:rsidRDefault="00686FE0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Dôvod zmeny</w:t>
            </w:r>
          </w:p>
        </w:tc>
        <w:tc>
          <w:tcPr>
            <w:tcW w:w="1503" w:type="dxa"/>
          </w:tcPr>
          <w:p w:rsidR="004340FF" w:rsidRDefault="00686FE0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Majetok</w:t>
            </w:r>
          </w:p>
        </w:tc>
        <w:tc>
          <w:tcPr>
            <w:tcW w:w="1503" w:type="dxa"/>
          </w:tcPr>
          <w:p w:rsidR="004340FF" w:rsidRDefault="00686FE0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Záväzky</w:t>
            </w:r>
          </w:p>
        </w:tc>
        <w:tc>
          <w:tcPr>
            <w:tcW w:w="1503" w:type="dxa"/>
          </w:tcPr>
          <w:p w:rsidR="004340FF" w:rsidRDefault="00686FE0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ZI</w:t>
            </w:r>
          </w:p>
        </w:tc>
        <w:tc>
          <w:tcPr>
            <w:tcW w:w="1425" w:type="dxa"/>
          </w:tcPr>
          <w:p w:rsidR="004340FF" w:rsidRDefault="00686FE0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HV</w:t>
            </w:r>
          </w:p>
        </w:tc>
      </w:tr>
      <w:tr w:rsidR="004340FF">
        <w:trPr>
          <w:trHeight w:val="283"/>
        </w:trPr>
        <w:tc>
          <w:tcPr>
            <w:tcW w:w="2062" w:type="dxa"/>
          </w:tcPr>
          <w:p w:rsidR="004340FF" w:rsidRDefault="00686FE0">
            <w:pPr>
              <w:pStyle w:val="Odsekzoznamu"/>
              <w:ind w:left="0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502" w:type="dxa"/>
          </w:tcPr>
          <w:p w:rsidR="004340FF" w:rsidRDefault="004340FF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4340FF" w:rsidRDefault="004340FF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4340FF" w:rsidRDefault="004340FF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4340FF" w:rsidRDefault="004340FF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4340FF" w:rsidRDefault="004340FF">
            <w:pPr>
              <w:pStyle w:val="Odsekzoznamu"/>
              <w:ind w:left="0"/>
              <w:rPr>
                <w:sz w:val="20"/>
              </w:rPr>
            </w:pPr>
          </w:p>
        </w:tc>
      </w:tr>
      <w:tr w:rsidR="004340FF">
        <w:trPr>
          <w:trHeight w:val="283"/>
        </w:trPr>
        <w:tc>
          <w:tcPr>
            <w:tcW w:w="2062" w:type="dxa"/>
          </w:tcPr>
          <w:p w:rsidR="004340FF" w:rsidRDefault="004340FF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2" w:type="dxa"/>
          </w:tcPr>
          <w:p w:rsidR="004340FF" w:rsidRDefault="004340FF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4340FF" w:rsidRDefault="004340FF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4340FF" w:rsidRDefault="004340FF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503" w:type="dxa"/>
          </w:tcPr>
          <w:p w:rsidR="004340FF" w:rsidRDefault="004340FF">
            <w:pPr>
              <w:pStyle w:val="Odsekzoznamu"/>
              <w:ind w:left="0"/>
              <w:rPr>
                <w:sz w:val="20"/>
              </w:rPr>
            </w:pPr>
          </w:p>
        </w:tc>
        <w:tc>
          <w:tcPr>
            <w:tcW w:w="1425" w:type="dxa"/>
          </w:tcPr>
          <w:p w:rsidR="004340FF" w:rsidRDefault="004340FF">
            <w:pPr>
              <w:pStyle w:val="Odsekzoznamu"/>
              <w:ind w:left="0"/>
              <w:rPr>
                <w:sz w:val="20"/>
              </w:rPr>
            </w:pPr>
          </w:p>
        </w:tc>
      </w:tr>
    </w:tbl>
    <w:p w:rsidR="004340FF" w:rsidRDefault="004340FF">
      <w:pPr>
        <w:pStyle w:val="Odsekzoznamu"/>
        <w:rPr>
          <w:sz w:val="20"/>
        </w:rPr>
      </w:pPr>
    </w:p>
    <w:p w:rsidR="004340FF" w:rsidRDefault="004340FF">
      <w:pPr>
        <w:pStyle w:val="Odsekzoznamu"/>
        <w:rPr>
          <w:sz w:val="20"/>
        </w:rPr>
      </w:pPr>
    </w:p>
    <w:p w:rsidR="004340FF" w:rsidRDefault="00686FE0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Informácie o dotáciách a ich oceňovanie v účtovníctve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4340FF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4340FF" w:rsidRDefault="00686FE0">
            <w:pPr>
              <w:jc w:val="both"/>
              <w:rPr>
                <w:sz w:val="20"/>
              </w:rPr>
            </w:pPr>
            <w:r>
              <w:rPr>
                <w:sz w:val="20"/>
              </w:rPr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4340FF" w:rsidRDefault="004340FF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340FF" w:rsidRDefault="00686FE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4340FF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4340FF" w:rsidRDefault="00686FE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4340FF" w:rsidRDefault="004340FF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4340FF" w:rsidRDefault="004340FF">
            <w:pPr>
              <w:jc w:val="both"/>
              <w:rPr>
                <w:sz w:val="20"/>
              </w:rPr>
            </w:pPr>
          </w:p>
        </w:tc>
      </w:tr>
      <w:tr w:rsidR="004340FF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4340FF" w:rsidRDefault="004340FF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4340FF" w:rsidRDefault="004340FF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4340FF" w:rsidRDefault="004340FF">
            <w:pPr>
              <w:jc w:val="both"/>
              <w:rPr>
                <w:sz w:val="20"/>
              </w:rPr>
            </w:pPr>
          </w:p>
        </w:tc>
      </w:tr>
    </w:tbl>
    <w:p w:rsidR="004340FF" w:rsidRDefault="004340FF">
      <w:pPr>
        <w:ind w:left="709"/>
        <w:jc w:val="both"/>
        <w:rPr>
          <w:sz w:val="18"/>
          <w:szCs w:val="22"/>
        </w:rPr>
      </w:pPr>
    </w:p>
    <w:p w:rsidR="004340FF" w:rsidRDefault="00686FE0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Informácie o účtovaní významných opráv chýb minulých účtovných období v bežnom účtovnom 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4340FF">
        <w:tc>
          <w:tcPr>
            <w:tcW w:w="2977" w:type="dxa"/>
          </w:tcPr>
          <w:p w:rsidR="004340FF" w:rsidRDefault="00686FE0">
            <w:pPr>
              <w:jc w:val="both"/>
              <w:rPr>
                <w:sz w:val="18"/>
                <w:szCs w:val="22"/>
              </w:rPr>
            </w:pPr>
            <w:r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4340FF" w:rsidRDefault="00686FE0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Patrí do obdobia</w:t>
            </w:r>
          </w:p>
        </w:tc>
        <w:tc>
          <w:tcPr>
            <w:tcW w:w="851" w:type="dxa"/>
          </w:tcPr>
          <w:p w:rsidR="004340FF" w:rsidRDefault="00686FE0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 xml:space="preserve">Účet </w:t>
            </w:r>
          </w:p>
        </w:tc>
        <w:tc>
          <w:tcPr>
            <w:tcW w:w="2126" w:type="dxa"/>
          </w:tcPr>
          <w:p w:rsidR="004340FF" w:rsidRDefault="00686FE0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Účtované na účet HV min. období (EUR)</w:t>
            </w:r>
          </w:p>
        </w:tc>
        <w:tc>
          <w:tcPr>
            <w:tcW w:w="2552" w:type="dxa"/>
          </w:tcPr>
          <w:p w:rsidR="004340FF" w:rsidRDefault="00686FE0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Účtované do HV bežného  obdobia(EUR)</w:t>
            </w:r>
          </w:p>
        </w:tc>
      </w:tr>
      <w:tr w:rsidR="004340FF">
        <w:trPr>
          <w:trHeight w:val="340"/>
        </w:trPr>
        <w:tc>
          <w:tcPr>
            <w:tcW w:w="2977" w:type="dxa"/>
          </w:tcPr>
          <w:p w:rsidR="004340FF" w:rsidRDefault="00686FE0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Bez náplne</w:t>
            </w:r>
          </w:p>
        </w:tc>
        <w:tc>
          <w:tcPr>
            <w:tcW w:w="992" w:type="dxa"/>
          </w:tcPr>
          <w:p w:rsidR="004340FF" w:rsidRDefault="004340F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4340FF" w:rsidRDefault="004340F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4340FF" w:rsidRDefault="004340F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4340FF" w:rsidRDefault="004340FF">
            <w:pPr>
              <w:jc w:val="both"/>
              <w:rPr>
                <w:sz w:val="18"/>
                <w:szCs w:val="22"/>
              </w:rPr>
            </w:pPr>
          </w:p>
        </w:tc>
      </w:tr>
      <w:tr w:rsidR="004340FF">
        <w:trPr>
          <w:trHeight w:val="340"/>
        </w:trPr>
        <w:tc>
          <w:tcPr>
            <w:tcW w:w="2977" w:type="dxa"/>
          </w:tcPr>
          <w:p w:rsidR="004340FF" w:rsidRDefault="004340FF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4340FF" w:rsidRDefault="004340F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4340FF" w:rsidRDefault="004340F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4340FF" w:rsidRDefault="004340F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4340FF" w:rsidRDefault="004340FF">
            <w:pPr>
              <w:jc w:val="both"/>
              <w:rPr>
                <w:sz w:val="18"/>
                <w:szCs w:val="22"/>
              </w:rPr>
            </w:pPr>
          </w:p>
        </w:tc>
      </w:tr>
      <w:tr w:rsidR="004340FF">
        <w:trPr>
          <w:trHeight w:val="340"/>
        </w:trPr>
        <w:tc>
          <w:tcPr>
            <w:tcW w:w="2977" w:type="dxa"/>
          </w:tcPr>
          <w:p w:rsidR="004340FF" w:rsidRDefault="004340FF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4340FF" w:rsidRDefault="004340F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4340FF" w:rsidRDefault="004340F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4340FF" w:rsidRDefault="004340F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4340FF" w:rsidRDefault="004340FF">
            <w:pPr>
              <w:jc w:val="both"/>
              <w:rPr>
                <w:sz w:val="18"/>
                <w:szCs w:val="22"/>
              </w:rPr>
            </w:pPr>
          </w:p>
        </w:tc>
      </w:tr>
      <w:tr w:rsidR="004340FF">
        <w:trPr>
          <w:trHeight w:val="340"/>
        </w:trPr>
        <w:tc>
          <w:tcPr>
            <w:tcW w:w="2977" w:type="dxa"/>
          </w:tcPr>
          <w:p w:rsidR="004340FF" w:rsidRDefault="004340FF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4340FF" w:rsidRDefault="004340F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4340FF" w:rsidRDefault="004340F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4340FF" w:rsidRDefault="004340F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4340FF" w:rsidRDefault="004340FF">
            <w:pPr>
              <w:jc w:val="both"/>
              <w:rPr>
                <w:sz w:val="18"/>
                <w:szCs w:val="22"/>
              </w:rPr>
            </w:pPr>
          </w:p>
        </w:tc>
      </w:tr>
      <w:tr w:rsidR="004340FF">
        <w:trPr>
          <w:trHeight w:val="340"/>
        </w:trPr>
        <w:tc>
          <w:tcPr>
            <w:tcW w:w="2977" w:type="dxa"/>
          </w:tcPr>
          <w:p w:rsidR="004340FF" w:rsidRDefault="004340FF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4340FF" w:rsidRDefault="004340F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4340FF" w:rsidRDefault="004340F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4340FF" w:rsidRDefault="004340F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4340FF" w:rsidRDefault="004340FF">
            <w:pPr>
              <w:jc w:val="both"/>
              <w:rPr>
                <w:sz w:val="18"/>
                <w:szCs w:val="22"/>
              </w:rPr>
            </w:pPr>
          </w:p>
        </w:tc>
      </w:tr>
      <w:tr w:rsidR="004340FF">
        <w:trPr>
          <w:trHeight w:val="340"/>
        </w:trPr>
        <w:tc>
          <w:tcPr>
            <w:tcW w:w="2977" w:type="dxa"/>
          </w:tcPr>
          <w:p w:rsidR="004340FF" w:rsidRDefault="004340FF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4340FF" w:rsidRDefault="004340F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4340FF" w:rsidRDefault="004340F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4340FF" w:rsidRDefault="004340F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4340FF" w:rsidRDefault="004340FF">
            <w:pPr>
              <w:jc w:val="both"/>
              <w:rPr>
                <w:sz w:val="18"/>
                <w:szCs w:val="22"/>
              </w:rPr>
            </w:pPr>
          </w:p>
        </w:tc>
      </w:tr>
      <w:tr w:rsidR="004340FF">
        <w:trPr>
          <w:trHeight w:val="340"/>
        </w:trPr>
        <w:tc>
          <w:tcPr>
            <w:tcW w:w="2977" w:type="dxa"/>
          </w:tcPr>
          <w:p w:rsidR="004340FF" w:rsidRDefault="004340FF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4340FF" w:rsidRDefault="004340F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4340FF" w:rsidRDefault="004340F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4340FF" w:rsidRDefault="004340FF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4340FF" w:rsidRDefault="004340FF">
            <w:pPr>
              <w:jc w:val="both"/>
              <w:rPr>
                <w:sz w:val="18"/>
                <w:szCs w:val="22"/>
              </w:rPr>
            </w:pPr>
          </w:p>
        </w:tc>
      </w:tr>
    </w:tbl>
    <w:p w:rsidR="004340FF" w:rsidRDefault="004340FF">
      <w:pPr>
        <w:jc w:val="both"/>
        <w:rPr>
          <w:sz w:val="18"/>
          <w:szCs w:val="22"/>
        </w:rPr>
      </w:pPr>
    </w:p>
    <w:p w:rsidR="004340FF" w:rsidRDefault="004340FF">
      <w:pPr>
        <w:ind w:left="360"/>
        <w:rPr>
          <w:sz w:val="20"/>
        </w:rPr>
      </w:pPr>
    </w:p>
    <w:p w:rsidR="004340FF" w:rsidRDefault="00686FE0">
      <w:pPr>
        <w:jc w:val="center"/>
        <w:rPr>
          <w:b/>
          <w:sz w:val="20"/>
        </w:rPr>
      </w:pPr>
      <w:r>
        <w:rPr>
          <w:b/>
          <w:sz w:val="20"/>
        </w:rPr>
        <w:t>Čl. III</w:t>
      </w:r>
    </w:p>
    <w:p w:rsidR="004340FF" w:rsidRDefault="00686FE0">
      <w:pPr>
        <w:jc w:val="center"/>
        <w:rPr>
          <w:b/>
          <w:sz w:val="20"/>
        </w:rPr>
      </w:pPr>
      <w:r>
        <w:rPr>
          <w:b/>
          <w:sz w:val="20"/>
        </w:rPr>
        <w:t>Informácie, ktoré vysvetľujú a dopĺňajú súvahu a výkaz ziskov a strát</w:t>
      </w:r>
    </w:p>
    <w:p w:rsidR="004340FF" w:rsidRDefault="004340FF">
      <w:pPr>
        <w:ind w:left="1841"/>
        <w:jc w:val="center"/>
        <w:rPr>
          <w:b/>
          <w:sz w:val="20"/>
        </w:rPr>
      </w:pPr>
    </w:p>
    <w:p w:rsidR="004340FF" w:rsidRDefault="00686FE0">
      <w:pPr>
        <w:numPr>
          <w:ilvl w:val="0"/>
          <w:numId w:val="16"/>
        </w:numPr>
        <w:ind w:left="709" w:hanging="567"/>
        <w:jc w:val="both"/>
        <w:rPr>
          <w:sz w:val="20"/>
        </w:rPr>
      </w:pPr>
      <w:r>
        <w:rPr>
          <w:sz w:val="20"/>
        </w:rPr>
        <w:t>Informácia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4340FF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4340FF" w:rsidRDefault="00686FE0">
            <w:pPr>
              <w:jc w:val="both"/>
              <w:rPr>
                <w:sz w:val="20"/>
              </w:rPr>
            </w:pPr>
            <w:r>
              <w:rPr>
                <w:sz w:val="20"/>
              </w:rPr>
              <w:t>Popis nákladov ,výnosov výnimoč. 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4340FF" w:rsidRDefault="00686FE0">
            <w:pPr>
              <w:jc w:val="both"/>
              <w:rPr>
                <w:sz w:val="20"/>
              </w:rPr>
            </w:pPr>
            <w:r>
              <w:rPr>
                <w:sz w:val="2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340FF" w:rsidRDefault="00686FE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4340FF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4340FF" w:rsidRDefault="00686FE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4340FF" w:rsidRDefault="004340FF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4340FF" w:rsidRDefault="004340FF">
            <w:pPr>
              <w:jc w:val="both"/>
              <w:rPr>
                <w:sz w:val="20"/>
              </w:rPr>
            </w:pPr>
          </w:p>
        </w:tc>
      </w:tr>
      <w:tr w:rsidR="004340FF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4340FF" w:rsidRDefault="004340FF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4340FF" w:rsidRDefault="004340FF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4340FF" w:rsidRDefault="004340FF">
            <w:pPr>
              <w:jc w:val="both"/>
              <w:rPr>
                <w:sz w:val="20"/>
              </w:rPr>
            </w:pPr>
          </w:p>
        </w:tc>
      </w:tr>
    </w:tbl>
    <w:p w:rsidR="004340FF" w:rsidRDefault="004340FF">
      <w:pPr>
        <w:ind w:left="1481"/>
        <w:jc w:val="both"/>
        <w:rPr>
          <w:sz w:val="20"/>
        </w:rPr>
      </w:pPr>
    </w:p>
    <w:p w:rsidR="004340FF" w:rsidRDefault="00686FE0">
      <w:pPr>
        <w:numPr>
          <w:ilvl w:val="0"/>
          <w:numId w:val="16"/>
        </w:numPr>
        <w:ind w:left="709" w:hanging="567"/>
        <w:jc w:val="both"/>
        <w:rPr>
          <w:sz w:val="20"/>
        </w:rPr>
      </w:pPr>
      <w:r>
        <w:rPr>
          <w:sz w:val="20"/>
        </w:rPr>
        <w:t xml:space="preserve">Informácie o záväzkoch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4340FF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4340FF" w:rsidRDefault="00686FE0">
            <w:pPr>
              <w:jc w:val="both"/>
              <w:rPr>
                <w:sz w:val="20"/>
              </w:rPr>
            </w:pPr>
            <w:r>
              <w:rPr>
                <w:sz w:val="20"/>
              </w:rPr>
              <w:t>Celková suma záväzkov so zostatkovou dobou splatnosti dlhšou ako päť rokov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4340FF" w:rsidRDefault="004340FF">
            <w:pPr>
              <w:jc w:val="both"/>
              <w:rPr>
                <w:sz w:val="20"/>
              </w:rPr>
            </w:pPr>
          </w:p>
        </w:tc>
      </w:tr>
      <w:tr w:rsidR="004340FF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4340FF" w:rsidRDefault="00686FE0">
            <w:pPr>
              <w:jc w:val="both"/>
              <w:rPr>
                <w:sz w:val="20"/>
              </w:rPr>
            </w:pPr>
            <w:r>
              <w:rPr>
                <w:sz w:val="20"/>
              </w:rPr>
              <w:t>Celková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4340FF" w:rsidRDefault="004340FF">
            <w:pPr>
              <w:jc w:val="both"/>
              <w:rPr>
                <w:sz w:val="20"/>
              </w:rPr>
            </w:pPr>
          </w:p>
        </w:tc>
      </w:tr>
      <w:tr w:rsidR="004340FF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340FF" w:rsidRDefault="00686FE0">
            <w:pPr>
              <w:jc w:val="center"/>
              <w:rPr>
                <w:sz w:val="20"/>
              </w:rPr>
            </w:pPr>
            <w:r>
              <w:rPr>
                <w:sz w:val="20"/>
              </w:rPr>
              <w:t>Opis a spôsoby zabezpečenia záväzkov</w:t>
            </w:r>
          </w:p>
        </w:tc>
      </w:tr>
      <w:tr w:rsidR="004340FF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FF" w:rsidRDefault="004340FF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340FF" w:rsidRDefault="004340FF">
            <w:pPr>
              <w:jc w:val="both"/>
              <w:rPr>
                <w:sz w:val="20"/>
              </w:rPr>
            </w:pPr>
          </w:p>
        </w:tc>
      </w:tr>
      <w:tr w:rsidR="004340FF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4340FF" w:rsidRDefault="004340FF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4340FF" w:rsidRDefault="004340FF">
            <w:pPr>
              <w:jc w:val="both"/>
              <w:rPr>
                <w:sz w:val="20"/>
              </w:rPr>
            </w:pPr>
          </w:p>
        </w:tc>
      </w:tr>
    </w:tbl>
    <w:p w:rsidR="004340FF" w:rsidRDefault="004340FF">
      <w:pPr>
        <w:ind w:left="1134"/>
        <w:jc w:val="both"/>
        <w:rPr>
          <w:sz w:val="20"/>
        </w:rPr>
      </w:pPr>
    </w:p>
    <w:p w:rsidR="004340FF" w:rsidRDefault="00686FE0">
      <w:pPr>
        <w:numPr>
          <w:ilvl w:val="0"/>
          <w:numId w:val="16"/>
        </w:numPr>
        <w:ind w:left="709" w:hanging="567"/>
        <w:jc w:val="both"/>
        <w:rPr>
          <w:sz w:val="20"/>
        </w:rPr>
      </w:pPr>
      <w:r>
        <w:rPr>
          <w:bCs/>
          <w:kern w:val="28"/>
          <w:sz w:val="20"/>
          <w:lang w:eastAsia="en-US"/>
        </w:rPr>
        <w:t>Informácie o vlastných akciách, a to</w:t>
      </w:r>
    </w:p>
    <w:p w:rsidR="004340FF" w:rsidRDefault="00686FE0">
      <w:pPr>
        <w:numPr>
          <w:ilvl w:val="0"/>
          <w:numId w:val="3"/>
        </w:numPr>
        <w:ind w:left="1276" w:hanging="567"/>
        <w:jc w:val="both"/>
        <w:rPr>
          <w:sz w:val="20"/>
        </w:rPr>
      </w:pPr>
      <w:r>
        <w:rPr>
          <w:sz w:val="20"/>
        </w:rPr>
        <w:t>dôvode nadobudnutia vlastných akcií počas účtovného obdobia,</w:t>
      </w:r>
    </w:p>
    <w:p w:rsidR="004340FF" w:rsidRDefault="00686FE0">
      <w:pPr>
        <w:numPr>
          <w:ilvl w:val="0"/>
          <w:numId w:val="3"/>
        </w:numPr>
        <w:ind w:left="1276" w:hanging="567"/>
        <w:jc w:val="both"/>
        <w:rPr>
          <w:sz w:val="20"/>
        </w:rPr>
      </w:pPr>
      <w:r>
        <w:rPr>
          <w:sz w:val="20"/>
        </w:rPr>
        <w:t>informáciách, ktorými sú</w:t>
      </w:r>
    </w:p>
    <w:p w:rsidR="004340FF" w:rsidRDefault="00686FE0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340FF" w:rsidRDefault="00686FE0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4340FF" w:rsidRDefault="00686FE0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>
        <w:rPr>
          <w:bCs/>
          <w:kern w:val="28"/>
          <w:sz w:val="20"/>
          <w:lang w:eastAsia="en-US"/>
        </w:rPr>
        <w:t>uvádza  sa aj ich percentuálny podiel na upísanom základnom imaní.</w:t>
      </w:r>
    </w:p>
    <w:p w:rsidR="004340FF" w:rsidRDefault="00686FE0">
      <w:pPr>
        <w:numPr>
          <w:ilvl w:val="0"/>
          <w:numId w:val="16"/>
        </w:numPr>
        <w:ind w:left="709" w:hanging="567"/>
        <w:jc w:val="both"/>
        <w:rPr>
          <w:sz w:val="20"/>
        </w:rPr>
      </w:pPr>
      <w:r>
        <w:rPr>
          <w:sz w:val="20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4340FF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4340FF" w:rsidRDefault="00686FE0">
            <w:pPr>
              <w:jc w:val="center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b/>
                <w:sz w:val="20"/>
              </w:rPr>
              <w:t>)</w:t>
            </w:r>
            <w:r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4340FF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4340FF" w:rsidRDefault="00686FE0">
            <w:pPr>
              <w:jc w:val="both"/>
              <w:rPr>
                <w:sz w:val="20"/>
              </w:rPr>
            </w:pPr>
            <w:r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4340FF" w:rsidRDefault="00686FE0">
            <w:pPr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4340FF" w:rsidRDefault="00686FE0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4340FF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0FF" w:rsidRDefault="004340FF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340FF" w:rsidRDefault="004340FF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340FF" w:rsidRDefault="004340FF">
            <w:pPr>
              <w:jc w:val="both"/>
              <w:rPr>
                <w:sz w:val="20"/>
              </w:rPr>
            </w:pPr>
          </w:p>
        </w:tc>
      </w:tr>
      <w:tr w:rsidR="004340FF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340FF" w:rsidRDefault="004340FF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340FF" w:rsidRDefault="004340FF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340FF" w:rsidRDefault="004340FF">
            <w:pPr>
              <w:jc w:val="both"/>
              <w:rPr>
                <w:sz w:val="20"/>
              </w:rPr>
            </w:pPr>
          </w:p>
        </w:tc>
      </w:tr>
      <w:tr w:rsidR="004340FF">
        <w:tc>
          <w:tcPr>
            <w:tcW w:w="9498" w:type="dxa"/>
            <w:gridSpan w:val="5"/>
          </w:tcPr>
          <w:p w:rsidR="004340FF" w:rsidRDefault="00686FE0">
            <w:pPr>
              <w:rPr>
                <w:sz w:val="20"/>
              </w:rPr>
            </w:pPr>
            <w:r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4340FF">
        <w:tc>
          <w:tcPr>
            <w:tcW w:w="5670" w:type="dxa"/>
            <w:tcBorders>
              <w:right w:val="single" w:sz="4" w:space="0" w:color="auto"/>
            </w:tcBorders>
          </w:tcPr>
          <w:p w:rsidR="004340FF" w:rsidRDefault="00686FE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Celková suma poskytnutých pôžičiek k poslednému dňu ÚO.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340FF" w:rsidRDefault="00686FE0">
            <w:pPr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340FF" w:rsidRDefault="00686FE0">
            <w:pPr>
              <w:rPr>
                <w:sz w:val="20"/>
              </w:rPr>
            </w:pPr>
            <w:r>
              <w:rPr>
                <w:sz w:val="20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4340FF" w:rsidRDefault="00686FE0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:rsidR="004340FF" w:rsidRDefault="004340FF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4340FF">
        <w:tc>
          <w:tcPr>
            <w:tcW w:w="5670" w:type="dxa"/>
            <w:tcBorders>
              <w:right w:val="single" w:sz="4" w:space="0" w:color="auto"/>
            </w:tcBorders>
          </w:tcPr>
          <w:p w:rsidR="004340FF" w:rsidRDefault="004340FF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340FF" w:rsidRDefault="004340FF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340FF" w:rsidRDefault="004340FF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4340FF" w:rsidRDefault="004340FF">
            <w:pPr>
              <w:rPr>
                <w:sz w:val="20"/>
              </w:rPr>
            </w:pPr>
          </w:p>
        </w:tc>
      </w:tr>
      <w:tr w:rsidR="004340FF">
        <w:tc>
          <w:tcPr>
            <w:tcW w:w="5670" w:type="dxa"/>
            <w:tcBorders>
              <w:right w:val="single" w:sz="4" w:space="0" w:color="auto"/>
            </w:tcBorders>
          </w:tcPr>
          <w:p w:rsidR="004340FF" w:rsidRDefault="004340FF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340FF" w:rsidRDefault="004340FF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340FF" w:rsidRDefault="004340FF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4340FF" w:rsidRDefault="004340FF">
            <w:pPr>
              <w:rPr>
                <w:sz w:val="20"/>
              </w:rPr>
            </w:pPr>
          </w:p>
        </w:tc>
      </w:tr>
      <w:tr w:rsidR="004340FF">
        <w:tc>
          <w:tcPr>
            <w:tcW w:w="5670" w:type="dxa"/>
            <w:tcBorders>
              <w:right w:val="single" w:sz="4" w:space="0" w:color="auto"/>
            </w:tcBorders>
          </w:tcPr>
          <w:p w:rsidR="004340FF" w:rsidRDefault="00686FE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Celková suma splatených pôžičiek k poslednému dňu účt. obdobia</w:t>
            </w:r>
          </w:p>
          <w:p w:rsidR="004340FF" w:rsidRDefault="004340FF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340FF" w:rsidRDefault="004340FF">
            <w:pPr>
              <w:rPr>
                <w:sz w:val="20"/>
              </w:rPr>
            </w:pPr>
          </w:p>
          <w:p w:rsidR="004340FF" w:rsidRDefault="004340FF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340FF" w:rsidRDefault="004340FF">
            <w:pPr>
              <w:rPr>
                <w:sz w:val="20"/>
              </w:rPr>
            </w:pPr>
          </w:p>
          <w:p w:rsidR="004340FF" w:rsidRDefault="004340FF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4340FF" w:rsidRDefault="004340FF">
            <w:pPr>
              <w:rPr>
                <w:sz w:val="20"/>
              </w:rPr>
            </w:pPr>
          </w:p>
          <w:p w:rsidR="004340FF" w:rsidRDefault="004340FF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4340FF">
        <w:tc>
          <w:tcPr>
            <w:tcW w:w="5670" w:type="dxa"/>
            <w:tcBorders>
              <w:right w:val="single" w:sz="4" w:space="0" w:color="auto"/>
            </w:tcBorders>
          </w:tcPr>
          <w:p w:rsidR="004340FF" w:rsidRDefault="004340FF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340FF" w:rsidRDefault="004340FF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340FF" w:rsidRDefault="004340FF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4340FF" w:rsidRDefault="004340FF">
            <w:pPr>
              <w:rPr>
                <w:sz w:val="20"/>
              </w:rPr>
            </w:pPr>
          </w:p>
        </w:tc>
      </w:tr>
      <w:tr w:rsidR="004340FF">
        <w:tc>
          <w:tcPr>
            <w:tcW w:w="5670" w:type="dxa"/>
            <w:tcBorders>
              <w:right w:val="single" w:sz="4" w:space="0" w:color="auto"/>
            </w:tcBorders>
          </w:tcPr>
          <w:p w:rsidR="004340FF" w:rsidRDefault="004340FF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340FF" w:rsidRDefault="004340FF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340FF" w:rsidRDefault="004340FF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4340FF" w:rsidRDefault="004340FF">
            <w:pPr>
              <w:rPr>
                <w:sz w:val="20"/>
              </w:rPr>
            </w:pPr>
          </w:p>
        </w:tc>
      </w:tr>
      <w:tr w:rsidR="004340FF">
        <w:tc>
          <w:tcPr>
            <w:tcW w:w="5670" w:type="dxa"/>
            <w:tcBorders>
              <w:right w:val="single" w:sz="4" w:space="0" w:color="auto"/>
            </w:tcBorders>
          </w:tcPr>
          <w:p w:rsidR="004340FF" w:rsidRDefault="00686FE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Celková suma odpustených pôžičiek a odpísaných pôžičiek </w:t>
            </w:r>
          </w:p>
          <w:p w:rsidR="004340FF" w:rsidRDefault="00686FE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340FF" w:rsidRDefault="004340FF">
            <w:pPr>
              <w:rPr>
                <w:sz w:val="20"/>
              </w:rPr>
            </w:pPr>
          </w:p>
          <w:p w:rsidR="004340FF" w:rsidRDefault="004340FF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340FF" w:rsidRDefault="004340FF">
            <w:pPr>
              <w:rPr>
                <w:sz w:val="20"/>
              </w:rPr>
            </w:pPr>
          </w:p>
          <w:p w:rsidR="004340FF" w:rsidRDefault="004340FF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4340FF" w:rsidRDefault="004340FF">
            <w:pPr>
              <w:rPr>
                <w:sz w:val="20"/>
              </w:rPr>
            </w:pPr>
          </w:p>
          <w:p w:rsidR="004340FF" w:rsidRDefault="004340FF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4340FF">
        <w:tc>
          <w:tcPr>
            <w:tcW w:w="5670" w:type="dxa"/>
            <w:tcBorders>
              <w:right w:val="single" w:sz="4" w:space="0" w:color="auto"/>
            </w:tcBorders>
          </w:tcPr>
          <w:p w:rsidR="004340FF" w:rsidRDefault="004340FF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340FF" w:rsidRDefault="004340FF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340FF" w:rsidRDefault="004340FF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4340FF" w:rsidRDefault="004340FF">
            <w:pPr>
              <w:rPr>
                <w:sz w:val="20"/>
              </w:rPr>
            </w:pPr>
          </w:p>
        </w:tc>
      </w:tr>
      <w:tr w:rsidR="004340FF">
        <w:tc>
          <w:tcPr>
            <w:tcW w:w="5670" w:type="dxa"/>
            <w:tcBorders>
              <w:right w:val="single" w:sz="4" w:space="0" w:color="auto"/>
            </w:tcBorders>
          </w:tcPr>
          <w:p w:rsidR="004340FF" w:rsidRDefault="004340FF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4340FF" w:rsidRDefault="004340FF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340FF" w:rsidRDefault="004340FF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4340FF" w:rsidRDefault="004340FF">
            <w:pPr>
              <w:rPr>
                <w:sz w:val="20"/>
              </w:rPr>
            </w:pPr>
          </w:p>
        </w:tc>
      </w:tr>
      <w:tr w:rsidR="004340FF">
        <w:trPr>
          <w:trHeight w:val="283"/>
        </w:trPr>
        <w:tc>
          <w:tcPr>
            <w:tcW w:w="9498" w:type="dxa"/>
            <w:gridSpan w:val="5"/>
          </w:tcPr>
          <w:p w:rsidR="004340FF" w:rsidRDefault="00686FE0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c)celková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4340FF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4340FF" w:rsidRDefault="00686FE0">
            <w:pPr>
              <w:jc w:val="both"/>
              <w:rPr>
                <w:sz w:val="20"/>
              </w:rPr>
            </w:pPr>
            <w:r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4340FF" w:rsidRDefault="00686FE0">
            <w:pPr>
              <w:jc w:val="both"/>
              <w:rPr>
                <w:sz w:val="20"/>
              </w:rPr>
            </w:pPr>
            <w:r>
              <w:rPr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4340FF" w:rsidRDefault="00686FE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4340FF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4340FF" w:rsidRDefault="004340FF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340FF" w:rsidRDefault="004340FF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340FF" w:rsidRDefault="004340FF">
            <w:pPr>
              <w:jc w:val="both"/>
              <w:rPr>
                <w:sz w:val="20"/>
              </w:rPr>
            </w:pPr>
          </w:p>
        </w:tc>
      </w:tr>
      <w:tr w:rsidR="004340FF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4340FF" w:rsidRDefault="004340FF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340FF" w:rsidRDefault="004340FF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340FF" w:rsidRDefault="004340FF">
            <w:pPr>
              <w:jc w:val="both"/>
              <w:rPr>
                <w:sz w:val="20"/>
              </w:rPr>
            </w:pPr>
          </w:p>
        </w:tc>
      </w:tr>
    </w:tbl>
    <w:p w:rsidR="004340FF" w:rsidRDefault="004340FF">
      <w:pPr>
        <w:jc w:val="both"/>
        <w:rPr>
          <w:sz w:val="20"/>
        </w:rPr>
      </w:pPr>
    </w:p>
    <w:p w:rsidR="004340FF" w:rsidRDefault="00686FE0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>
        <w:rPr>
          <w:sz w:val="20"/>
        </w:rPr>
        <w:t>Informácie o povinnostiach účtovnej jednotky, a to</w:t>
      </w:r>
    </w:p>
    <w:p w:rsidR="004340FF" w:rsidRDefault="00686FE0">
      <w:pPr>
        <w:numPr>
          <w:ilvl w:val="0"/>
          <w:numId w:val="5"/>
        </w:numPr>
        <w:ind w:left="1276" w:hanging="567"/>
        <w:jc w:val="both"/>
        <w:rPr>
          <w:sz w:val="20"/>
        </w:rPr>
      </w:pPr>
      <w:r>
        <w:rPr>
          <w:sz w:val="20"/>
        </w:rPr>
        <w:t xml:space="preserve"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 – </w:t>
      </w:r>
      <w:r>
        <w:rPr>
          <w:b/>
          <w:sz w:val="20"/>
        </w:rPr>
        <w:t>bez náplne</w:t>
      </w:r>
      <w:r>
        <w:rPr>
          <w:sz w:val="20"/>
        </w:rPr>
        <w:t>,</w:t>
      </w:r>
    </w:p>
    <w:p w:rsidR="004340FF" w:rsidRDefault="00686FE0">
      <w:pPr>
        <w:numPr>
          <w:ilvl w:val="0"/>
          <w:numId w:val="5"/>
        </w:numPr>
        <w:ind w:left="1276" w:hanging="567"/>
        <w:jc w:val="both"/>
        <w:rPr>
          <w:sz w:val="20"/>
        </w:rPr>
      </w:pPr>
      <w:r>
        <w:rPr>
          <w:sz w:val="20"/>
        </w:rPr>
        <w:t xml:space="preserve">celkovej sume významných podmienených záväzkov, ktorými sa rozumie – </w:t>
      </w:r>
      <w:r>
        <w:rPr>
          <w:b/>
          <w:sz w:val="20"/>
        </w:rPr>
        <w:t>bez náplne</w:t>
      </w:r>
    </w:p>
    <w:p w:rsidR="004340FF" w:rsidRDefault="00686FE0">
      <w:pPr>
        <w:numPr>
          <w:ilvl w:val="0"/>
          <w:numId w:val="9"/>
        </w:numPr>
        <w:ind w:left="1701" w:hanging="425"/>
        <w:jc w:val="both"/>
        <w:rPr>
          <w:sz w:val="20"/>
        </w:rPr>
      </w:pPr>
      <w:r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4340FF" w:rsidRDefault="00686FE0">
      <w:pPr>
        <w:numPr>
          <w:ilvl w:val="0"/>
          <w:numId w:val="9"/>
        </w:numPr>
        <w:ind w:left="1701" w:hanging="425"/>
        <w:jc w:val="both"/>
        <w:rPr>
          <w:sz w:val="20"/>
        </w:rPr>
      </w:pPr>
      <w:r>
        <w:rPr>
          <w:sz w:val="20"/>
        </w:rPr>
        <w:t>existujúca povinnosť, ktorá vznikla ako dôsledok minulej udalosti, ale ktorá sa nevykazuje v súvahe, pretože</w:t>
      </w:r>
    </w:p>
    <w:p w:rsidR="004340FF" w:rsidRDefault="00686FE0">
      <w:pPr>
        <w:numPr>
          <w:ilvl w:val="0"/>
          <w:numId w:val="8"/>
        </w:numPr>
        <w:ind w:left="2127" w:hanging="426"/>
        <w:jc w:val="both"/>
        <w:rPr>
          <w:sz w:val="20"/>
        </w:rPr>
      </w:pPr>
      <w:r>
        <w:rPr>
          <w:sz w:val="20"/>
        </w:rPr>
        <w:t>nie je pravdepodobné, že na splnenie tejto povinnosti bude potrebný úbytok ekonomických úžitkov, alebo</w:t>
      </w:r>
    </w:p>
    <w:p w:rsidR="004340FF" w:rsidRDefault="00686FE0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>
        <w:rPr>
          <w:sz w:val="20"/>
        </w:rPr>
        <w:t>výška tejto povinnosti sa nedá spoľahlivo oceniť,</w:t>
      </w:r>
    </w:p>
    <w:p w:rsidR="004340FF" w:rsidRDefault="00686FE0">
      <w:pPr>
        <w:numPr>
          <w:ilvl w:val="0"/>
          <w:numId w:val="5"/>
        </w:numPr>
        <w:ind w:left="1276" w:hanging="567"/>
        <w:jc w:val="both"/>
        <w:rPr>
          <w:sz w:val="20"/>
        </w:rPr>
      </w:pPr>
      <w:r>
        <w:rPr>
          <w:sz w:val="20"/>
        </w:rPr>
        <w:t>opise významných finančných povinností a významných podmienených záväzkov,</w:t>
      </w:r>
    </w:p>
    <w:p w:rsidR="004340FF" w:rsidRDefault="00686FE0">
      <w:pPr>
        <w:ind w:left="1276"/>
        <w:jc w:val="both"/>
        <w:rPr>
          <w:b/>
          <w:sz w:val="20"/>
        </w:rPr>
      </w:pPr>
      <w:r>
        <w:rPr>
          <w:b/>
          <w:sz w:val="20"/>
        </w:rPr>
        <w:t>- bez náplne</w:t>
      </w:r>
    </w:p>
    <w:p w:rsidR="004340FF" w:rsidRDefault="00686FE0">
      <w:pPr>
        <w:numPr>
          <w:ilvl w:val="0"/>
          <w:numId w:val="5"/>
        </w:numPr>
        <w:ind w:left="1276" w:hanging="567"/>
        <w:jc w:val="both"/>
        <w:rPr>
          <w:sz w:val="20"/>
        </w:rPr>
      </w:pPr>
      <w:r>
        <w:rPr>
          <w:sz w:val="20"/>
        </w:rPr>
        <w:t xml:space="preserve">celkovej sume významných finančných povinností a významných podmienených záväzkoch voči dcérskej účtovnej jednotke a účtovnej jednotke s podstatným vplyvom – </w:t>
      </w:r>
      <w:r>
        <w:rPr>
          <w:b/>
          <w:sz w:val="20"/>
        </w:rPr>
        <w:t>bez náplne</w:t>
      </w:r>
    </w:p>
    <w:p w:rsidR="004340FF" w:rsidRDefault="00686FE0">
      <w:pPr>
        <w:numPr>
          <w:ilvl w:val="0"/>
          <w:numId w:val="5"/>
        </w:numPr>
        <w:ind w:left="1276" w:hanging="567"/>
        <w:jc w:val="both"/>
        <w:rPr>
          <w:sz w:val="20"/>
        </w:rPr>
      </w:pPr>
      <w:r>
        <w:rPr>
          <w:sz w:val="20"/>
        </w:rPr>
        <w:t xml:space="preserve">opise významných povinností účtovnej jednotky vyplývajúcich z dôchodkových programov pre zamestnancov – </w:t>
      </w:r>
      <w:r>
        <w:rPr>
          <w:b/>
          <w:sz w:val="20"/>
        </w:rPr>
        <w:t>bez náplne</w:t>
      </w:r>
      <w:r>
        <w:rPr>
          <w:sz w:val="20"/>
        </w:rPr>
        <w:t>.</w:t>
      </w:r>
    </w:p>
    <w:p w:rsidR="004340FF" w:rsidRDefault="004340FF">
      <w:pPr>
        <w:jc w:val="both"/>
        <w:rPr>
          <w:sz w:val="20"/>
        </w:rPr>
      </w:pPr>
    </w:p>
    <w:p w:rsidR="004340FF" w:rsidRDefault="00686FE0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>
        <w:rPr>
          <w:sz w:val="20"/>
        </w:rPr>
        <w:t xml:space="preserve"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 : </w:t>
      </w:r>
      <w:r>
        <w:rPr>
          <w:b/>
          <w:sz w:val="20"/>
        </w:rPr>
        <w:t>bez náplne</w:t>
      </w:r>
    </w:p>
    <w:p w:rsidR="004340FF" w:rsidRDefault="00686FE0">
      <w:pPr>
        <w:numPr>
          <w:ilvl w:val="0"/>
          <w:numId w:val="18"/>
        </w:numPr>
        <w:ind w:left="1276" w:hanging="567"/>
        <w:jc w:val="both"/>
        <w:rPr>
          <w:sz w:val="20"/>
        </w:rPr>
      </w:pPr>
      <w:r>
        <w:rPr>
          <w:sz w:val="20"/>
        </w:rPr>
        <w:t>všetkých formách prijatej náhrady,</w:t>
      </w:r>
    </w:p>
    <w:p w:rsidR="004340FF" w:rsidRDefault="00686FE0">
      <w:pPr>
        <w:numPr>
          <w:ilvl w:val="0"/>
          <w:numId w:val="18"/>
        </w:numPr>
        <w:ind w:left="1276" w:hanging="567"/>
        <w:jc w:val="both"/>
        <w:rPr>
          <w:sz w:val="20"/>
        </w:rPr>
      </w:pPr>
      <w:r>
        <w:rPr>
          <w:sz w:val="20"/>
        </w:rPr>
        <w:t>účtovných zásadách použitých pri prideľovaní nákladov a výnosov,</w:t>
      </w:r>
    </w:p>
    <w:p w:rsidR="004340FF" w:rsidRDefault="00686FE0">
      <w:pPr>
        <w:numPr>
          <w:ilvl w:val="0"/>
          <w:numId w:val="18"/>
        </w:numPr>
        <w:ind w:left="1276" w:hanging="567"/>
        <w:jc w:val="both"/>
        <w:rPr>
          <w:sz w:val="20"/>
        </w:rPr>
      </w:pPr>
      <w:r>
        <w:rPr>
          <w:sz w:val="20"/>
        </w:rPr>
        <w:t>všetkých druhoch činností účtovnej jednotky.</w:t>
      </w:r>
    </w:p>
    <w:bookmarkEnd w:id="0"/>
    <w:p w:rsidR="004340FF" w:rsidRDefault="004340FF">
      <w:pPr>
        <w:ind w:firstLine="709"/>
        <w:rPr>
          <w:b/>
          <w:sz w:val="20"/>
        </w:rPr>
      </w:pPr>
    </w:p>
    <w:p w:rsidR="004340FF" w:rsidRDefault="004340FF">
      <w:pPr>
        <w:jc w:val="right"/>
        <w:rPr>
          <w:sz w:val="20"/>
        </w:rPr>
      </w:pPr>
    </w:p>
    <w:p w:rsidR="004340FF" w:rsidRDefault="00686FE0">
      <w:pPr>
        <w:rPr>
          <w:sz w:val="20"/>
        </w:rPr>
      </w:pPr>
      <w:r>
        <w:rPr>
          <w:sz w:val="20"/>
        </w:rPr>
        <w:t>Údaje v poznámkach sú uvádzané za bežne účtovné obdobie. Sumy sú uvádzané v celých eurách.</w:t>
      </w:r>
    </w:p>
    <w:p w:rsidR="004340FF" w:rsidRDefault="00686FE0">
      <w:pPr>
        <w:rPr>
          <w:sz w:val="20"/>
        </w:rPr>
      </w:pPr>
      <w:r>
        <w:rPr>
          <w:sz w:val="20"/>
        </w:rPr>
        <w:t>ÚJ - účtovná jednotka</w:t>
      </w:r>
    </w:p>
    <w:p w:rsidR="004340FF" w:rsidRDefault="00686FE0">
      <w:pPr>
        <w:rPr>
          <w:sz w:val="20"/>
        </w:rPr>
      </w:pPr>
      <w:r>
        <w:rPr>
          <w:sz w:val="20"/>
        </w:rPr>
        <w:t>BO-bežné obdobie</w:t>
      </w:r>
    </w:p>
    <w:sectPr w:rsidR="004340FF" w:rsidSect="004340FF">
      <w:headerReference w:type="default" r:id="rId7"/>
      <w:footerReference w:type="default" r:id="rId8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40FF" w:rsidRDefault="00686FE0">
      <w:r>
        <w:separator/>
      </w:r>
    </w:p>
  </w:endnote>
  <w:endnote w:type="continuationSeparator" w:id="0">
    <w:p w:rsidR="004340FF" w:rsidRDefault="00686FE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40FF" w:rsidRDefault="004340FF">
    <w:pPr>
      <w:pStyle w:val="Footer"/>
      <w:jc w:val="center"/>
    </w:pPr>
    <w:r>
      <w:fldChar w:fldCharType="begin"/>
    </w:r>
    <w:r w:rsidR="00686FE0">
      <w:instrText xml:space="preserve"> PAGE   \* MERGEFORMAT </w:instrText>
    </w:r>
    <w:r>
      <w:fldChar w:fldCharType="separate"/>
    </w:r>
    <w:r w:rsidR="0054655C">
      <w:rPr>
        <w:noProof/>
      </w:rPr>
      <w:t>1</w:t>
    </w:r>
    <w:r>
      <w:fldChar w:fldCharType="end"/>
    </w:r>
  </w:p>
  <w:p w:rsidR="004340FF" w:rsidRDefault="004340F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40FF" w:rsidRDefault="00686FE0">
      <w:r>
        <w:separator/>
      </w:r>
    </w:p>
  </w:footnote>
  <w:footnote w:type="continuationSeparator" w:id="0">
    <w:p w:rsidR="004340FF" w:rsidRDefault="00686FE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4340FF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4340FF" w:rsidRDefault="00686FE0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Poznámky Úč MÚJ 3 - 01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4340FF" w:rsidRDefault="00686FE0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4340FF" w:rsidRDefault="00686FE0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4340FF" w:rsidRDefault="00686FE0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4340FF" w:rsidRDefault="00686FE0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8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4340FF" w:rsidRDefault="00686FE0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4340FF" w:rsidRDefault="00686FE0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4340FF" w:rsidRDefault="00686FE0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4340FF" w:rsidRDefault="00686FE0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4340FF" w:rsidRDefault="00686FE0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9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4340FF" w:rsidRDefault="00686FE0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340FF" w:rsidRDefault="00686FE0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340FF" w:rsidRDefault="00686FE0">
          <w:pPr>
            <w:jc w:val="center"/>
            <w:rPr>
              <w:szCs w:val="22"/>
            </w:rPr>
          </w:pPr>
          <w:r>
            <w:rPr>
              <w:szCs w:val="22"/>
            </w:rPr>
            <w:t>0 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340FF" w:rsidRDefault="00686FE0">
          <w:pPr>
            <w:jc w:val="center"/>
            <w:rPr>
              <w:szCs w:val="22"/>
            </w:rPr>
          </w:pPr>
          <w:r>
            <w:rPr>
              <w:szCs w:val="22"/>
            </w:rPr>
            <w:t>2 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340FF" w:rsidRDefault="00686FE0">
          <w:pPr>
            <w:jc w:val="center"/>
            <w:rPr>
              <w:szCs w:val="22"/>
            </w:rPr>
          </w:pPr>
          <w:r>
            <w:rPr>
              <w:szCs w:val="22"/>
            </w:rPr>
            <w:t>1 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340FF" w:rsidRDefault="00686FE0">
          <w:pPr>
            <w:jc w:val="center"/>
            <w:rPr>
              <w:szCs w:val="22"/>
            </w:rPr>
          </w:pPr>
          <w:r>
            <w:rPr>
              <w:szCs w:val="22"/>
            </w:rPr>
            <w:t>7 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340FF" w:rsidRDefault="00686FE0">
          <w:pPr>
            <w:jc w:val="center"/>
            <w:rPr>
              <w:szCs w:val="22"/>
            </w:rPr>
          </w:pPr>
          <w:r>
            <w:rPr>
              <w:szCs w:val="22"/>
            </w:rPr>
            <w:t>3 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340FF" w:rsidRDefault="00686FE0">
          <w:pPr>
            <w:jc w:val="center"/>
            <w:rPr>
              <w:szCs w:val="22"/>
            </w:rPr>
          </w:pPr>
          <w:r>
            <w:rPr>
              <w:szCs w:val="22"/>
            </w:rPr>
            <w:t>6 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340FF" w:rsidRDefault="00686FE0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340FF" w:rsidRDefault="00686FE0">
          <w:pPr>
            <w:jc w:val="center"/>
            <w:rPr>
              <w:szCs w:val="22"/>
            </w:rPr>
          </w:pPr>
          <w:r>
            <w:rPr>
              <w:szCs w:val="22"/>
            </w:rPr>
            <w:t>1 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4340FF" w:rsidRDefault="00686FE0">
          <w:pPr>
            <w:jc w:val="center"/>
            <w:rPr>
              <w:szCs w:val="22"/>
            </w:rPr>
          </w:pPr>
          <w:r>
            <w:rPr>
              <w:szCs w:val="22"/>
            </w:rPr>
            <w:t>5 </w:t>
          </w:r>
        </w:p>
      </w:tc>
    </w:tr>
  </w:tbl>
  <w:p w:rsidR="004340FF" w:rsidRDefault="004340F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Heading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/>
  <w:rsids>
    <w:rsidRoot w:val="00686FE0"/>
    <w:rsid w:val="004340FF"/>
    <w:rsid w:val="0054655C"/>
    <w:rsid w:val="00686FE0"/>
    <w:rsid w:val="00B352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40FF"/>
    <w:rPr>
      <w:sz w:val="24"/>
      <w:szCs w:val="24"/>
    </w:rPr>
  </w:style>
  <w:style w:type="paragraph" w:styleId="Heading1">
    <w:name w:val="heading 1"/>
    <w:next w:val="Heading2"/>
    <w:qFormat/>
    <w:rsid w:val="004340FF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Heading2">
    <w:name w:val="heading 2"/>
    <w:basedOn w:val="Normal"/>
    <w:next w:val="Normal"/>
    <w:qFormat/>
    <w:rsid w:val="004340FF"/>
    <w:pPr>
      <w:keepNext/>
      <w:spacing w:after="120"/>
      <w:jc w:val="center"/>
      <w:outlineLvl w:val="1"/>
    </w:pPr>
    <w:rPr>
      <w:b/>
    </w:rPr>
  </w:style>
  <w:style w:type="paragraph" w:styleId="Heading3">
    <w:name w:val="heading 3"/>
    <w:basedOn w:val="Normal"/>
    <w:next w:val="Normal"/>
    <w:qFormat/>
    <w:rsid w:val="004340FF"/>
    <w:pPr>
      <w:keepNext/>
      <w:jc w:val="both"/>
      <w:outlineLvl w:val="2"/>
    </w:pPr>
    <w:rPr>
      <w:b/>
      <w:u w:val="single"/>
    </w:rPr>
  </w:style>
  <w:style w:type="paragraph" w:styleId="Heading4">
    <w:name w:val="heading 4"/>
    <w:basedOn w:val="Normal"/>
    <w:next w:val="Normal"/>
    <w:qFormat/>
    <w:rsid w:val="004340FF"/>
    <w:pPr>
      <w:keepNext/>
      <w:keepLines/>
      <w:ind w:firstLine="357"/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rsid w:val="004340FF"/>
    <w:pPr>
      <w:keepNext/>
      <w:keepLines/>
      <w:ind w:firstLine="360"/>
      <w:jc w:val="both"/>
      <w:outlineLvl w:val="4"/>
    </w:pPr>
    <w:rPr>
      <w:b/>
    </w:rPr>
  </w:style>
  <w:style w:type="paragraph" w:styleId="Heading6">
    <w:name w:val="heading 6"/>
    <w:basedOn w:val="Normal"/>
    <w:next w:val="Normal"/>
    <w:qFormat/>
    <w:rsid w:val="004340FF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kladntext">
    <w:name w:val="Základní text"/>
    <w:rsid w:val="004340FF"/>
    <w:pPr>
      <w:spacing w:after="240"/>
      <w:jc w:val="both"/>
    </w:pPr>
    <w:rPr>
      <w:snapToGrid w:val="0"/>
      <w:color w:val="000000"/>
      <w:sz w:val="24"/>
    </w:rPr>
  </w:style>
  <w:style w:type="paragraph" w:styleId="FootnoteText">
    <w:name w:val="footnote text"/>
    <w:basedOn w:val="Normal"/>
    <w:semiHidden/>
    <w:rsid w:val="004340FF"/>
    <w:rPr>
      <w:sz w:val="20"/>
      <w:szCs w:val="20"/>
    </w:rPr>
  </w:style>
  <w:style w:type="character" w:styleId="FootnoteReference">
    <w:name w:val="footnote reference"/>
    <w:semiHidden/>
    <w:rsid w:val="004340FF"/>
    <w:rPr>
      <w:vertAlign w:val="superscript"/>
    </w:rPr>
  </w:style>
  <w:style w:type="paragraph" w:styleId="Footer">
    <w:name w:val="footer"/>
    <w:basedOn w:val="Normal"/>
    <w:semiHidden/>
    <w:rsid w:val="004340FF"/>
    <w:pPr>
      <w:tabs>
        <w:tab w:val="center" w:pos="4536"/>
        <w:tab w:val="right" w:pos="9072"/>
      </w:tabs>
      <w:jc w:val="right"/>
    </w:pPr>
  </w:style>
  <w:style w:type="character" w:styleId="PageNumber">
    <w:name w:val="page number"/>
    <w:basedOn w:val="DefaultParagraphFont"/>
    <w:semiHidden/>
    <w:rsid w:val="004340FF"/>
  </w:style>
  <w:style w:type="paragraph" w:styleId="BodyText">
    <w:name w:val="Body Text"/>
    <w:basedOn w:val="Normal"/>
    <w:semiHidden/>
    <w:rsid w:val="004340FF"/>
    <w:rPr>
      <w:rFonts w:ascii="Arial" w:hAnsi="Arial" w:cs="Arial"/>
      <w:sz w:val="20"/>
      <w:szCs w:val="18"/>
      <w:lang w:val="en-GB"/>
    </w:rPr>
  </w:style>
  <w:style w:type="paragraph" w:styleId="BodyText2">
    <w:name w:val="Body Text 2"/>
    <w:basedOn w:val="Normal"/>
    <w:semiHidden/>
    <w:rsid w:val="004340FF"/>
    <w:pPr>
      <w:jc w:val="both"/>
    </w:pPr>
  </w:style>
  <w:style w:type="paragraph" w:styleId="BodyTextIndent">
    <w:name w:val="Body Text Indent"/>
    <w:basedOn w:val="Normal"/>
    <w:semiHidden/>
    <w:rsid w:val="004340FF"/>
    <w:pPr>
      <w:ind w:firstLine="360"/>
      <w:jc w:val="both"/>
    </w:pPr>
  </w:style>
  <w:style w:type="paragraph" w:styleId="BodyTextIndent2">
    <w:name w:val="Body Text Indent 2"/>
    <w:basedOn w:val="Normal"/>
    <w:semiHidden/>
    <w:rsid w:val="004340FF"/>
    <w:pPr>
      <w:ind w:firstLine="360"/>
    </w:pPr>
  </w:style>
  <w:style w:type="paragraph" w:styleId="BodyText3">
    <w:name w:val="Body Text 3"/>
    <w:basedOn w:val="Normal"/>
    <w:semiHidden/>
    <w:rsid w:val="004340FF"/>
    <w:pPr>
      <w:ind w:right="-468"/>
      <w:jc w:val="both"/>
    </w:pPr>
    <w:rPr>
      <w:b/>
      <w:bCs/>
    </w:rPr>
  </w:style>
  <w:style w:type="paragraph" w:styleId="BlockText">
    <w:name w:val="Block Text"/>
    <w:basedOn w:val="Normal"/>
    <w:semiHidden/>
    <w:rsid w:val="004340FF"/>
    <w:pPr>
      <w:ind w:left="1680" w:right="-468" w:hanging="240"/>
    </w:pPr>
  </w:style>
  <w:style w:type="paragraph" w:styleId="BodyTextIndent3">
    <w:name w:val="Body Text Indent 3"/>
    <w:basedOn w:val="Normal"/>
    <w:semiHidden/>
    <w:rsid w:val="004340FF"/>
    <w:pPr>
      <w:ind w:right="-468" w:firstLine="720"/>
      <w:jc w:val="both"/>
    </w:pPr>
    <w:rPr>
      <w:bCs/>
    </w:rPr>
  </w:style>
  <w:style w:type="paragraph" w:styleId="Header">
    <w:name w:val="header"/>
    <w:basedOn w:val="Normal"/>
    <w:semiHidden/>
    <w:rsid w:val="004340FF"/>
    <w:pPr>
      <w:tabs>
        <w:tab w:val="center" w:pos="4703"/>
        <w:tab w:val="right" w:pos="9406"/>
      </w:tabs>
    </w:pPr>
  </w:style>
  <w:style w:type="character" w:customStyle="1" w:styleId="PtaChar">
    <w:name w:val="Päta Char"/>
    <w:rsid w:val="004340FF"/>
    <w:rPr>
      <w:sz w:val="24"/>
      <w:szCs w:val="24"/>
    </w:rPr>
  </w:style>
  <w:style w:type="paragraph" w:customStyle="1" w:styleId="Odsekzoznamu">
    <w:name w:val="Odsek zoznamu"/>
    <w:basedOn w:val="Normal"/>
    <w:qFormat/>
    <w:rsid w:val="004340FF"/>
    <w:pPr>
      <w:ind w:left="708"/>
    </w:pPr>
  </w:style>
  <w:style w:type="paragraph" w:styleId="EndnoteText">
    <w:name w:val="endnote text"/>
    <w:basedOn w:val="Normal"/>
    <w:semiHidden/>
    <w:unhideWhenUsed/>
    <w:rsid w:val="004340FF"/>
    <w:rPr>
      <w:sz w:val="20"/>
      <w:szCs w:val="20"/>
    </w:rPr>
  </w:style>
  <w:style w:type="character" w:customStyle="1" w:styleId="TextkoncovejpoznmkyChar">
    <w:name w:val="Text koncovej poznámky Char"/>
    <w:basedOn w:val="DefaultParagraphFont"/>
    <w:semiHidden/>
    <w:rsid w:val="004340FF"/>
  </w:style>
  <w:style w:type="character" w:styleId="EndnoteReference">
    <w:name w:val="endnote reference"/>
    <w:semiHidden/>
    <w:unhideWhenUsed/>
    <w:rsid w:val="004340FF"/>
    <w:rPr>
      <w:vertAlign w:val="superscript"/>
    </w:rPr>
  </w:style>
  <w:style w:type="character" w:customStyle="1" w:styleId="HlavikaChar">
    <w:name w:val="Hlavička Char"/>
    <w:rsid w:val="004340FF"/>
    <w:rPr>
      <w:sz w:val="24"/>
      <w:szCs w:val="24"/>
    </w:rPr>
  </w:style>
  <w:style w:type="paragraph" w:customStyle="1" w:styleId="Textbubliny">
    <w:name w:val="Text bubliny"/>
    <w:basedOn w:val="Normal"/>
    <w:semiHidden/>
    <w:unhideWhenUsed/>
    <w:rsid w:val="004340FF"/>
    <w:rPr>
      <w:rFonts w:ascii="Tahoma" w:hAnsi="Tahoma"/>
      <w:sz w:val="16"/>
      <w:szCs w:val="16"/>
    </w:rPr>
  </w:style>
  <w:style w:type="character" w:customStyle="1" w:styleId="TextbublinyChar">
    <w:name w:val="Text bubliny Char"/>
    <w:semiHidden/>
    <w:rsid w:val="004340FF"/>
    <w:rPr>
      <w:rFonts w:ascii="Tahoma" w:hAnsi="Tahoma" w:cs="Tahoma"/>
      <w:sz w:val="16"/>
      <w:szCs w:val="16"/>
    </w:rPr>
  </w:style>
  <w:style w:type="paragraph" w:customStyle="1" w:styleId="tl1">
    <w:name w:val="Štýl1"/>
    <w:basedOn w:val="Footer"/>
    <w:qFormat/>
    <w:rsid w:val="004340FF"/>
  </w:style>
  <w:style w:type="character" w:customStyle="1" w:styleId="tl">
    <w:name w:val="tl"/>
    <w:basedOn w:val="DefaultParagraphFont"/>
    <w:rsid w:val="004340FF"/>
  </w:style>
  <w:style w:type="character" w:customStyle="1" w:styleId="tl1Char">
    <w:name w:val="Štýl1 Char"/>
    <w:basedOn w:val="PtaChar"/>
    <w:rsid w:val="004340FF"/>
  </w:style>
  <w:style w:type="character" w:customStyle="1" w:styleId="ra">
    <w:name w:val="ra"/>
    <w:basedOn w:val="DefaultParagraphFont"/>
    <w:rsid w:val="004340FF"/>
  </w:style>
  <w:style w:type="character" w:customStyle="1" w:styleId="OdsekzoznamuChar">
    <w:name w:val="Odsek zoznamu Char"/>
    <w:locked/>
    <w:rsid w:val="004340FF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1373</Words>
  <Characters>8331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Opatrenie</vt:lpstr>
    </vt:vector>
  </TitlesOfParts>
  <Company>Microsoft</Company>
  <LinksUpToDate>false</LinksUpToDate>
  <CharactersWithSpaces>9685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Janka</cp:lastModifiedBy>
  <cp:revision>2</cp:revision>
  <cp:lastPrinted>2015-01-28T08:23:00Z</cp:lastPrinted>
  <dcterms:created xsi:type="dcterms:W3CDTF">2016-06-29T14:46:00Z</dcterms:created>
  <dcterms:modified xsi:type="dcterms:W3CDTF">2016-06-29T14:46:00Z</dcterms:modified>
</cp:coreProperties>
</file>