
<file path=[Content_Types].xml><?xml version="1.0" encoding="utf-8"?>
<Types xmlns="http://schemas.openxmlformats.org/package/2006/content-types">
  <Default Extension="png" ContentType="image/png"/>
  <Default Extension="emf" ContentType="image/x-emf"/>
  <Default Extension="wmf" ContentType="image/x-w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22"/>
          <w:szCs w:val="22"/>
        </w:rPr>
        <w:id w:val="16927735"/>
        <w:docPartObj>
          <w:docPartGallery w:val="Cover Pages"/>
          <w:docPartUnique/>
        </w:docPartObj>
      </w:sdtPr>
      <w:sdtEndPr>
        <w:rPr>
          <w:color w:val="EEECE1" w:themeColor="background2"/>
        </w:rPr>
      </w:sdtEndPr>
      <w:sdtContent>
        <w:tbl>
          <w:tblPr>
            <w:tblStyle w:val="Mriekatabuky"/>
            <w:tblW w:w="5000" w:type="pct"/>
            <w:jc w:val="center"/>
            <w:tblBorders>
              <w:top w:val="single" w:sz="48" w:space="0" w:color="FFFFFF" w:themeColor="light1"/>
              <w:left w:val="single" w:sz="48" w:space="0" w:color="FFFFFF" w:themeColor="light1"/>
              <w:bottom w:val="single" w:sz="48" w:space="0" w:color="FFFFFF" w:themeColor="light1"/>
              <w:right w:val="single" w:sz="48" w:space="0" w:color="FFFFFF" w:themeColor="light1"/>
              <w:insideH w:val="single" w:sz="48" w:space="0" w:color="FFFFFF" w:themeColor="light1"/>
              <w:insideV w:val="single" w:sz="48" w:space="0" w:color="FFFFFF" w:themeColor="light1"/>
            </w:tblBorders>
            <w:tblCellMar>
              <w:left w:w="115" w:type="dxa"/>
              <w:right w:w="115" w:type="dxa"/>
            </w:tblCellMar>
            <w:tblLook w:val="01E0" w:firstRow="1" w:lastRow="1" w:firstColumn="1" w:lastColumn="1" w:noHBand="0" w:noVBand="0"/>
          </w:tblPr>
          <w:tblGrid>
            <w:gridCol w:w="1533"/>
            <w:gridCol w:w="7769"/>
          </w:tblGrid>
          <w:tr w:rsidR="00CB6D47" w:rsidTr="00005577">
            <w:trPr>
              <w:trHeight w:val="3960"/>
              <w:jc w:val="center"/>
            </w:trPr>
            <w:tc>
              <w:tcPr>
                <w:tcW w:w="824" w:type="pct"/>
                <w:tcBorders>
                  <w:top w:val="nil"/>
                  <w:left w:val="nil"/>
                  <w:bottom w:val="nil"/>
                  <w:right w:val="nil"/>
                </w:tcBorders>
                <w:shd w:val="clear" w:color="auto" w:fill="auto"/>
              </w:tcPr>
              <w:p w:rsidR="00CB6D47" w:rsidRDefault="00CB6D47" w:rsidP="006F0A12">
                <w:pPr>
                  <w:pStyle w:val="Bezriadkovania"/>
                </w:pPr>
              </w:p>
            </w:tc>
            <w:tc>
              <w:tcPr>
                <w:tcW w:w="4176" w:type="pct"/>
                <w:tcBorders>
                  <w:top w:val="nil"/>
                  <w:left w:val="nil"/>
                  <w:bottom w:val="nil"/>
                  <w:right w:val="nil"/>
                </w:tcBorders>
                <w:shd w:val="clear" w:color="auto" w:fill="auto"/>
                <w:tcMar>
                  <w:left w:w="115" w:type="dxa"/>
                  <w:bottom w:w="115" w:type="dxa"/>
                </w:tcMar>
                <w:vAlign w:val="bottom"/>
              </w:tcPr>
              <w:p w:rsidR="00CB6D47" w:rsidRPr="00005577" w:rsidRDefault="006830A5" w:rsidP="00005577">
                <w:pPr>
                  <w:pStyle w:val="Bezriadkovania"/>
                  <w:jc w:val="center"/>
                  <w:rPr>
                    <w:rFonts w:asciiTheme="majorHAnsi" w:eastAsiaTheme="majorEastAsia" w:hAnsiTheme="majorHAnsi" w:cstheme="majorBidi"/>
                    <w:color w:val="1F497D" w:themeColor="text2"/>
                    <w:sz w:val="92"/>
                    <w:szCs w:val="92"/>
                  </w:rPr>
                </w:pPr>
                <w:sdt>
                  <w:sdtPr>
                    <w:rPr>
                      <w:rFonts w:asciiTheme="majorHAnsi" w:eastAsiaTheme="majorEastAsia" w:hAnsiTheme="majorHAnsi" w:cstheme="majorBidi"/>
                      <w:caps/>
                      <w:color w:val="1F497D" w:themeColor="text2"/>
                      <w:sz w:val="92"/>
                      <w:szCs w:val="92"/>
                    </w:rPr>
                    <w:alias w:val="Názov"/>
                    <w:id w:val="541102321"/>
                    <w:dataBinding w:prefixMappings="xmlns:ns0='http://schemas.openxmlformats.org/package/2006/metadata/core-properties' xmlns:ns1='http://purl.org/dc/elements/1.1/'" w:xpath="/ns0:coreProperties[1]/ns1:title[1]" w:storeItemID="{6C3C8BC8-F283-45AE-878A-BAB7291924A1}"/>
                    <w:text/>
                  </w:sdtPr>
                  <w:sdtEndPr/>
                  <w:sdtContent>
                    <w:r w:rsidR="00CB6D47" w:rsidRPr="00005577">
                      <w:rPr>
                        <w:rFonts w:asciiTheme="majorHAnsi" w:eastAsiaTheme="majorEastAsia" w:hAnsiTheme="majorHAnsi" w:cstheme="majorBidi"/>
                        <w:caps/>
                        <w:color w:val="1F497D" w:themeColor="text2"/>
                        <w:sz w:val="92"/>
                        <w:szCs w:val="92"/>
                      </w:rPr>
                      <w:t>Výročná správa</w:t>
                    </w:r>
                  </w:sdtContent>
                </w:sdt>
              </w:p>
            </w:tc>
          </w:tr>
          <w:tr w:rsidR="00CB6D47" w:rsidTr="00005577">
            <w:trPr>
              <w:jc w:val="center"/>
            </w:trPr>
            <w:tc>
              <w:tcPr>
                <w:tcW w:w="824" w:type="pct"/>
                <w:tcBorders>
                  <w:top w:val="nil"/>
                  <w:left w:val="nil"/>
                  <w:bottom w:val="nil"/>
                  <w:right w:val="nil"/>
                </w:tcBorders>
                <w:shd w:val="clear" w:color="auto" w:fill="auto"/>
              </w:tcPr>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p w:rsidR="00CB6D47" w:rsidRDefault="00CB6D47" w:rsidP="006F0A12">
                <w:pPr>
                  <w:pStyle w:val="Bezriadkovania"/>
                  <w:rPr>
                    <w:color w:val="EEECE1" w:themeColor="background2"/>
                  </w:rPr>
                </w:pPr>
              </w:p>
            </w:tc>
            <w:tc>
              <w:tcPr>
                <w:tcW w:w="4176" w:type="pct"/>
                <w:tcBorders>
                  <w:top w:val="nil"/>
                  <w:left w:val="nil"/>
                  <w:bottom w:val="nil"/>
                  <w:right w:val="nil"/>
                </w:tcBorders>
                <w:shd w:val="clear" w:color="auto" w:fill="auto"/>
                <w:tcMar>
                  <w:left w:w="72" w:type="dxa"/>
                  <w:bottom w:w="216" w:type="dxa"/>
                  <w:right w:w="0" w:type="dxa"/>
                </w:tcMar>
                <w:vAlign w:val="bottom"/>
              </w:tcPr>
              <w:p w:rsidR="00CB6D47" w:rsidRDefault="00005577" w:rsidP="006F0A12">
                <w:r>
                  <w:rPr>
                    <w:noProof/>
                    <w:lang w:eastAsia="sk-SK"/>
                  </w:rPr>
                  <w:drawing>
                    <wp:anchor distT="0" distB="0" distL="114300" distR="114300" simplePos="0" relativeHeight="251659264" behindDoc="0" locked="0" layoutInCell="1" allowOverlap="1" wp14:anchorId="559432D8" wp14:editId="316F7CD6">
                      <wp:simplePos x="0" y="0"/>
                      <wp:positionH relativeFrom="page">
                        <wp:posOffset>78740</wp:posOffset>
                      </wp:positionH>
                      <wp:positionV relativeFrom="paragraph">
                        <wp:posOffset>-3230245</wp:posOffset>
                      </wp:positionV>
                      <wp:extent cx="3888105" cy="3888105"/>
                      <wp:effectExtent l="0" t="0" r="0" b="0"/>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UDIA LUDOM_LOGA.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888105" cy="3888105"/>
                              </a:xfrm>
                              <a:prstGeom prst="rect">
                                <a:avLst/>
                              </a:prstGeom>
                            </pic:spPr>
                          </pic:pic>
                        </a:graphicData>
                      </a:graphic>
                      <wp14:sizeRelH relativeFrom="page">
                        <wp14:pctWidth>0</wp14:pctWidth>
                      </wp14:sizeRelH>
                      <wp14:sizeRelV relativeFrom="page">
                        <wp14:pctHeight>0</wp14:pctHeight>
                      </wp14:sizeRelV>
                    </wp:anchor>
                  </w:drawing>
                </w:r>
              </w:p>
              <w:p w:rsidR="00CB6D47" w:rsidRDefault="00CB6D47" w:rsidP="006F0A12"/>
              <w:p w:rsidR="00CB6D47" w:rsidRDefault="00CB6D47" w:rsidP="006F0A12"/>
              <w:p w:rsidR="00CB6D47" w:rsidRDefault="00CB6D47" w:rsidP="006F0A12"/>
              <w:p w:rsidR="00CB6D47" w:rsidRDefault="00CB6D47" w:rsidP="006F0A12"/>
            </w:tc>
          </w:tr>
          <w:tr w:rsidR="00CB6D47" w:rsidTr="00005577">
            <w:trPr>
              <w:trHeight w:val="864"/>
              <w:jc w:val="center"/>
            </w:trPr>
            <w:tc>
              <w:tcPr>
                <w:tcW w:w="824" w:type="pct"/>
                <w:tcBorders>
                  <w:top w:val="nil"/>
                  <w:left w:val="nil"/>
                  <w:bottom w:val="nil"/>
                </w:tcBorders>
                <w:shd w:val="clear" w:color="auto" w:fill="C0504D" w:themeFill="accent2"/>
                <w:vAlign w:val="center"/>
              </w:tcPr>
              <w:p w:rsidR="00CB6D47" w:rsidRDefault="006830A5" w:rsidP="00326495">
                <w:pPr>
                  <w:pStyle w:val="Bezriadkovania"/>
                  <w:jc w:val="center"/>
                  <w:rPr>
                    <w:color w:val="FFFFFF" w:themeColor="background1"/>
                    <w:sz w:val="32"/>
                    <w:szCs w:val="32"/>
                  </w:rPr>
                </w:pPr>
                <w:sdt>
                  <w:sdtPr>
                    <w:rPr>
                      <w:color w:val="FFFFFF" w:themeColor="background1"/>
                      <w:sz w:val="32"/>
                      <w:szCs w:val="32"/>
                    </w:rPr>
                    <w:alias w:val="Dátum"/>
                    <w:id w:val="541102334"/>
                    <w:date>
                      <w:dateFormat w:val="d. M. yyyy"/>
                      <w:lid w:val="sk-SK"/>
                      <w:storeMappedDataAs w:val="dateTime"/>
                      <w:calendar w:val="gregorian"/>
                    </w:date>
                  </w:sdtPr>
                  <w:sdtEndPr/>
                  <w:sdtContent>
                    <w:r w:rsidR="00CB6D47">
                      <w:rPr>
                        <w:color w:val="FFFFFF" w:themeColor="background1"/>
                        <w:sz w:val="32"/>
                        <w:szCs w:val="32"/>
                      </w:rPr>
                      <w:t>201</w:t>
                    </w:r>
                    <w:r w:rsidR="00326495">
                      <w:rPr>
                        <w:color w:val="FFFFFF" w:themeColor="background1"/>
                        <w:sz w:val="32"/>
                        <w:szCs w:val="32"/>
                      </w:rPr>
                      <w:t>5</w:t>
                    </w:r>
                  </w:sdtContent>
                </w:sdt>
              </w:p>
            </w:tc>
            <w:tc>
              <w:tcPr>
                <w:tcW w:w="4176" w:type="pct"/>
                <w:tcBorders>
                  <w:top w:val="nil"/>
                  <w:bottom w:val="nil"/>
                  <w:right w:val="nil"/>
                </w:tcBorders>
                <w:shd w:val="clear" w:color="auto" w:fill="4F81BD" w:themeFill="accent1"/>
                <w:tcMar>
                  <w:left w:w="216" w:type="dxa"/>
                </w:tcMar>
                <w:vAlign w:val="center"/>
              </w:tcPr>
              <w:p w:rsidR="00CB6D47" w:rsidRDefault="006830A5" w:rsidP="00CB6D47">
                <w:pPr>
                  <w:pStyle w:val="Bezriadkovania"/>
                  <w:rPr>
                    <w:color w:val="FFFFFF" w:themeColor="background1"/>
                    <w:sz w:val="40"/>
                    <w:szCs w:val="40"/>
                  </w:rPr>
                </w:pPr>
                <w:sdt>
                  <w:sdtPr>
                    <w:rPr>
                      <w:color w:val="FFFFFF" w:themeColor="background1"/>
                      <w:sz w:val="40"/>
                      <w:szCs w:val="40"/>
                    </w:rPr>
                    <w:alias w:val="Podtitul"/>
                    <w:id w:val="541102329"/>
                    <w:dataBinding w:prefixMappings="xmlns:ns0='http://schemas.openxmlformats.org/package/2006/metadata/core-properties' xmlns:ns1='http://purl.org/dc/elements/1.1/'" w:xpath="/ns0:coreProperties[1]/ns1:subject[1]" w:storeItemID="{6C3C8BC8-F283-45AE-878A-BAB7291924A1}"/>
                    <w:text/>
                  </w:sdtPr>
                  <w:sdtEndPr/>
                  <w:sdtContent>
                    <w:r w:rsidR="00CB6D47">
                      <w:rPr>
                        <w:color w:val="FFFFFF" w:themeColor="background1"/>
                        <w:sz w:val="40"/>
                        <w:szCs w:val="40"/>
                      </w:rPr>
                      <w:t>ĽUDIA ĽUĎOM, n. o.</w:t>
                    </w:r>
                  </w:sdtContent>
                </w:sdt>
              </w:p>
            </w:tc>
          </w:tr>
        </w:tbl>
      </w:sdtContent>
    </w:sdt>
    <w:p w:rsidR="00CB6D47" w:rsidRDefault="00CB6D47" w:rsidP="00105056">
      <w:pPr>
        <w:pStyle w:val="Nadpis1"/>
      </w:pPr>
    </w:p>
    <w:p w:rsidR="00CB6D47" w:rsidRDefault="00CB6D47" w:rsidP="00105056">
      <w:pPr>
        <w:pStyle w:val="Nadpis1"/>
      </w:pPr>
    </w:p>
    <w:p w:rsidR="00CB6D47" w:rsidRDefault="00CB6D47" w:rsidP="00105056">
      <w:pPr>
        <w:pStyle w:val="Nadpis1"/>
      </w:pPr>
    </w:p>
    <w:p w:rsidR="00105056" w:rsidRPr="00165E8D" w:rsidRDefault="00105056" w:rsidP="00105056">
      <w:pPr>
        <w:pStyle w:val="Nadpis1"/>
        <w:rPr>
          <w:color w:val="EEECE1" w:themeColor="background2"/>
        </w:rPr>
      </w:pPr>
      <w:r>
        <w:lastRenderedPageBreak/>
        <w:t>Úvod</w:t>
      </w:r>
    </w:p>
    <w:p w:rsidR="00105056" w:rsidRDefault="00105056" w:rsidP="008D2D54">
      <w:pPr>
        <w:jc w:val="both"/>
      </w:pPr>
      <w:r>
        <w:t xml:space="preserve">Nezisková organizácia ĽUDIA ĽUĎOM, n. o. (predtým 4people, n. o.) bola dňa 09. 09. 2009 zapísaná do Registra neziskových organizácií poskytujúcich všeobecne prospešné služby, vedeným Obvodným úradom Bratislava, pod registračným číslom OVVS-23907/287/2009-NO. </w:t>
      </w:r>
    </w:p>
    <w:p w:rsidR="00105056" w:rsidRPr="000A1A3D" w:rsidRDefault="00105056" w:rsidP="00105056">
      <w:pPr>
        <w:pStyle w:val="Nadpis2"/>
      </w:pPr>
      <w:r w:rsidRPr="000A1A3D">
        <w:t>Základné údaje:</w:t>
      </w:r>
    </w:p>
    <w:p w:rsidR="00105056" w:rsidRDefault="00105056" w:rsidP="00105056">
      <w:r>
        <w:t xml:space="preserve">Názov: ĽUDIA ĽUĎOM, n. o. </w:t>
      </w:r>
      <w:r>
        <w:br/>
        <w:t>Sídlo: Borská 6, 841 04 Bratislava</w:t>
      </w:r>
      <w:r>
        <w:br/>
        <w:t>IČO: 42 166 683</w:t>
      </w:r>
      <w:r>
        <w:br/>
        <w:t>DIČ: 2022894115</w:t>
      </w:r>
      <w:r>
        <w:br/>
        <w:t>Účet: 2625078480/1100</w:t>
      </w:r>
      <w:r>
        <w:br/>
        <w:t xml:space="preserve">Štatutárny orgán: </w:t>
      </w:r>
      <w:r w:rsidR="00005577">
        <w:t xml:space="preserve">PhDr. </w:t>
      </w:r>
      <w:r>
        <w:t>Roland Kyška, riaditeľ</w:t>
      </w:r>
    </w:p>
    <w:p w:rsidR="008D2D54" w:rsidRPr="000A1A3D" w:rsidRDefault="008D2D54" w:rsidP="008D2D54">
      <w:pPr>
        <w:pStyle w:val="Nadpis2"/>
      </w:pPr>
      <w:r w:rsidRPr="000A1A3D">
        <w:t>Druh všeobecne poskytovaných služieb:</w:t>
      </w:r>
    </w:p>
    <w:p w:rsidR="008D2D54" w:rsidRPr="008D2D54" w:rsidRDefault="008D2D54" w:rsidP="008D2D54">
      <w:pPr>
        <w:jc w:val="both"/>
        <w:rPr>
          <w:b/>
        </w:rPr>
      </w:pPr>
      <w:r w:rsidRPr="008D2D54">
        <w:rPr>
          <w:b/>
        </w:rPr>
        <w:t>Tvorba, rozvoj, ochrana, obnova a prezentácia duchovných a kultúrnych hodnôt</w:t>
      </w:r>
      <w:r w:rsidRPr="008D2D54">
        <w:rPr>
          <w:b/>
        </w:rPr>
        <w:br/>
        <w:t>Výskum, vývoj, vedecko-technické služby a informačné služby</w:t>
      </w:r>
    </w:p>
    <w:p w:rsidR="008D2D54" w:rsidRPr="008D2D54" w:rsidRDefault="008D2D54" w:rsidP="008D2D54">
      <w:pPr>
        <w:jc w:val="both"/>
      </w:pPr>
      <w:r w:rsidRPr="008D2D54">
        <w:t xml:space="preserve">Nezisková organizácia </w:t>
      </w:r>
      <w:r w:rsidR="00326495">
        <w:t>poskytuje</w:t>
      </w:r>
      <w:r w:rsidRPr="008D2D54">
        <w:t xml:space="preserve"> všeobecne prospešné služby v oblasti výskumu, vývoja, vedecko-technických služieb a informačných služieb prostredníctvom prevádzkovania internetového portálu zameraného na propagáciu dobročinnosti a darcovstva v záujme internetovej komunity: </w:t>
      </w:r>
    </w:p>
    <w:p w:rsidR="008D2D54" w:rsidRPr="008D2D54" w:rsidRDefault="008D2D54" w:rsidP="008D2D54">
      <w:pPr>
        <w:pStyle w:val="Odsekzoznamu"/>
        <w:numPr>
          <w:ilvl w:val="0"/>
          <w:numId w:val="1"/>
        </w:numPr>
        <w:jc w:val="both"/>
        <w:rPr>
          <w:sz w:val="22"/>
          <w:szCs w:val="22"/>
        </w:rPr>
      </w:pPr>
      <w:r w:rsidRPr="008D2D54">
        <w:rPr>
          <w:sz w:val="22"/>
          <w:szCs w:val="22"/>
        </w:rPr>
        <w:t xml:space="preserve">jej cieľom </w:t>
      </w:r>
      <w:r w:rsidR="00326495">
        <w:rPr>
          <w:sz w:val="22"/>
          <w:szCs w:val="22"/>
        </w:rPr>
        <w:t>je</w:t>
      </w:r>
      <w:r w:rsidRPr="008D2D54">
        <w:rPr>
          <w:sz w:val="22"/>
          <w:szCs w:val="22"/>
        </w:rPr>
        <w:t xml:space="preserve"> posilniť informovanosť občanov o tomto internetovom portáli, o dobročinnosti a darcovstve prostredníctvom internetu a drobných tlačovín a ďalšie služby v oblasti tvorby, rozvoja, ochrany, obnovy a prezentácie duchovných a kultúrnych hodnôt </w:t>
      </w:r>
    </w:p>
    <w:p w:rsidR="008D2D54" w:rsidRDefault="008D2D54" w:rsidP="008D2D54">
      <w:pPr>
        <w:pStyle w:val="Odsekzoznamu"/>
        <w:numPr>
          <w:ilvl w:val="0"/>
          <w:numId w:val="1"/>
        </w:numPr>
        <w:jc w:val="both"/>
        <w:rPr>
          <w:sz w:val="22"/>
          <w:szCs w:val="22"/>
        </w:rPr>
      </w:pPr>
      <w:r w:rsidRPr="008D2D54">
        <w:rPr>
          <w:sz w:val="22"/>
          <w:szCs w:val="22"/>
        </w:rPr>
        <w:t>organizovanie seminárov, školení, konferencií a prezentácií.</w:t>
      </w:r>
    </w:p>
    <w:p w:rsidR="00B73084" w:rsidRDefault="00B73084" w:rsidP="00B73084">
      <w:pPr>
        <w:pStyle w:val="Nadpis1"/>
      </w:pPr>
      <w:r>
        <w:t>Prehľad č</w:t>
      </w:r>
      <w:r w:rsidR="00326495">
        <w:t>inností vykonávaných v roku 2015</w:t>
      </w:r>
    </w:p>
    <w:p w:rsidR="00B73084" w:rsidRDefault="00B73084" w:rsidP="00B73084">
      <w:pPr>
        <w:jc w:val="both"/>
      </w:pPr>
      <w:r>
        <w:t>Darcovský portál ĽudiaĽuďom.sk je unikátnym riešením, ktoré umožňuje ľuďom v núdzi, autorom zaujímavých projektov, aktivistom, neziskovým organizáciám alebo samosprávam prezentovať sa na webe, osloviť podporovateľov a efektívne s nimi komunikovať.</w:t>
      </w:r>
    </w:p>
    <w:p w:rsidR="002776BE" w:rsidRDefault="00B73084" w:rsidP="00B73084">
      <w:pPr>
        <w:jc w:val="both"/>
      </w:pPr>
      <w:r>
        <w:t>Hlavnými cieľmi projektu sú rozvoj efektívnej filantropie, zvyšovanie transparentnosti v neziskovom sektore na Slovensku a vytváranie dlhodobých vzťahov medzi darcami a príjemcami podpory. Jeho ďalšou úlohou je zvýšiť spoločenské povedomie v oblasti filantropie a pomôcť tak odstrániť nedôveru medzi štátom, súkromnoprávnym sektorom a neziskovou sférou a skvalitniť využitie internetového priestoru pre rozvoj filantropie.</w:t>
      </w:r>
    </w:p>
    <w:p w:rsidR="00B73084" w:rsidRDefault="00B73084" w:rsidP="00B73084">
      <w:pPr>
        <w:jc w:val="both"/>
      </w:pPr>
      <w:r>
        <w:t>Pre používateľa v pozícii darcu portál ponúka prehľadný výber výziev, žiadostí o podporu od fyzických i právnických osôb, v ktorých sa vie orientovať podľa zadaných kritérií (geografických alebo tematických). Spomedzi výziev si vyberá na základe ich obsahu (textového, fotografického i audiovizuálneho) ale i overení, v ktorých overovatelia verifikujú existenciu príjemcu aj to, že potrebuje zdroje na financovanie svojho projektu, zlej sociálnej situácie a pod. Darca vie výzvu okamžite podporiť, a to najmä prostredníctvom elektronického bankovníctva, následne si priamo cez portál vygeneruje darcovskú zmluvu, ktorá ho oprávňuje o. i. aj dožiadať si vyúčtovanie darovaných prostriedkov od príjemcu. Darca si na portáli môže vybrať jednu i viacero výziev, pričom si ich navolí ako do „košíka“ a podporí ich naraz jednou platbou. Celú sumu dostáva príjemca, prevádzka portálu je hradená z iných zdrojov, najmä z príspevkov od sponzorov a tvorcov projektu.</w:t>
      </w:r>
    </w:p>
    <w:p w:rsidR="00B73084" w:rsidRDefault="00B73084" w:rsidP="00B73084">
      <w:pPr>
        <w:jc w:val="both"/>
      </w:pPr>
      <w:r>
        <w:t xml:space="preserve">Pre používateľa v pozícii príjemcu je darcovský portál ĽudiaĽuďom.sk novou cestou, ako osloviť potenciálnych donorov. Na rozdiel od iných charitatívnych projektov vie príjemca jednoducho a bez tradičnej administratívnej procedúry uverejniť svoju výzvu a iniciatívne sa pokúsiť získať podporovateľov na internete. Príjemca má možnosť uverejniť dostatok informácií o sebe alebo svojom projekte, ale tiež získať overenie od overovateľa - osoby, ktorá je dostatočne kredibilná v prostredí potenciálnych darcov. Ide o funkcionalitu, ktorou sa projekt zásadne odlišuje od podobných. </w:t>
      </w:r>
    </w:p>
    <w:p w:rsidR="00B73084" w:rsidRDefault="00B73084" w:rsidP="00B73084">
      <w:pPr>
        <w:jc w:val="both"/>
      </w:pPr>
      <w:r>
        <w:t>Systém overovania zaručuje hodnovernosť a presnosť zverejnených informácií. Overovateľ certifikuje príjemcu, čím potvrdzuje, že údaje uvádzané príjemcom sú dôveryhodné, kvantifikuje jeho potrebu a účelnosť. Overovateľom sa môže stať ktorákoľvek fyzická alebo právnická osoba, na základe schválenia prevádzkovateľom portálu. Keďže portál je plne otvorený a výzvu na ňom môže zverejniť ktokoľvek, overenia sú veľmi dôležitou súčasťou celého systému. Medzi overovateľmi na ĽudiaĽuďom.sk figurujú mnohé renomované organizácie, ako napríklad Spoločnosť priateľov detí z detských domovov Úsmev ako dar, Liga za duševné zdravie, Asociácia pomoci postihnutým ADELI, Karpatská nadácia, Nadácia TA3, Centrum pre filantropiu, Tlačová agentúra SR či Spoločnosť na pomoc ľuďom s autizmom. Medzi overovateľmi je aj viacero samospráv, ktoré napísali overenia pre svojich obyvateľov.</w:t>
      </w:r>
    </w:p>
    <w:p w:rsidR="00B73084" w:rsidRDefault="00B73084" w:rsidP="00B73084">
      <w:pPr>
        <w:jc w:val="both"/>
      </w:pPr>
      <w:r w:rsidRPr="002F3C02">
        <w:t>Celkový ekosystém darcovského portálu rozširuj</w:t>
      </w:r>
      <w:r w:rsidR="00941C8E">
        <w:t xml:space="preserve">ú aj pridružené sekcie, a to </w:t>
      </w:r>
      <w:r>
        <w:t xml:space="preserve">blogy, elektronické benefičné </w:t>
      </w:r>
      <w:r w:rsidRPr="002F3C02">
        <w:t>aukcie</w:t>
      </w:r>
      <w:r w:rsidR="001A6C0B">
        <w:t>, dobrovoľníci, Kamoši z webu</w:t>
      </w:r>
      <w:r w:rsidRPr="002F3C02">
        <w:t xml:space="preserve"> a widgety systému darujme.ludialudom.sk. Blogy majú za cieľ prilákať návštevníkov, využívajú ich často samotní príjemcovia, ktorým dávajú možnosť poskytnúť viac informácií o svojom osude či výzve. Ďalšia skupina blogerov zas píše v prospech konkrétnej výzvy, na ktorú sa snažia svojim príspevkom upozorniť, keď na jeho konci čitateľ nájde odkaz priamo na darcovský portál. Sú teda prostriedkom podpory – pútavým spôsobom tak bloger šíri výzvu ďalej. Elektronické aukcie predstavujú výborný spôsob, ako podporiť výzvu inou formou – v jej prospech ide </w:t>
      </w:r>
      <w:r w:rsidR="00941C8E">
        <w:t xml:space="preserve">100% </w:t>
      </w:r>
      <w:r w:rsidRPr="002F3C02">
        <w:t>dar</w:t>
      </w:r>
      <w:r w:rsidR="00941C8E">
        <w:t>u</w:t>
      </w:r>
      <w:r w:rsidRPr="002F3C02">
        <w:t xml:space="preserve"> od vydražiteľov ponúkaných produktov, služieb či netradičných zážitkov. Vďaka vzájomnému prepojeniu celého ekosystému sú e-aukcie a blogy týkajúce sa konkrétnej výzvy pri nej aj zobrazené. Widgety systému darujme.ludialudom.sk umožňujú neziskovým organizáciám prijímať dary cez svoje webové stránky za využitia infraštruktúry systému ĽudiaĽuďom.sk</w:t>
      </w:r>
      <w:r w:rsidR="00EA2FA5">
        <w:t>.</w:t>
      </w:r>
    </w:p>
    <w:p w:rsidR="00BD5A04" w:rsidRDefault="005C64DA" w:rsidP="00B73084">
      <w:pPr>
        <w:jc w:val="both"/>
      </w:pPr>
      <w:r>
        <w:t>Najnovšími</w:t>
      </w:r>
      <w:r w:rsidR="00EA2FA5">
        <w:t xml:space="preserve"> platformami darcovského portálu ĽudiaĽuďom.sk sú </w:t>
      </w:r>
      <w:r>
        <w:t>dobrovoľníci</w:t>
      </w:r>
      <w:r w:rsidR="00EA2FA5">
        <w:t xml:space="preserve"> a Kamoši z webu. </w:t>
      </w:r>
      <w:r>
        <w:t>Darcovský portál ĽudiaĽuďom.sk dáva príležitosť pomôcť verejnoprospešným organizáciám či rodinám a jednotlivcom v núdzi nie len finančne, ale aj formou dobrovoľníckej práce. Tým, ktorí dobrovoľníkov hľadajú, umožňuje využiť ich pomoc na základe ich profilov a konkrétnych dobrovoľníckych ponúk, či na základe zverejnenia vlastných konkrétnych žiadostí o pomoc. Portál chce propagovať a priblížiť tému dobrovoľníctva, zjednodušiť celý proces hľadania dobrovoľníkov či dobrovoľníckych príležitostí, propagovať možnosť asignovať 3% z dane (namiesto 2%) pre tých, ktorí ako dobrovoľníci odpracujú minimálne 40 hodín dobrovoľníckej práce ročne.</w:t>
      </w:r>
      <w:r w:rsidR="00C60042">
        <w:t xml:space="preserve"> Dobrovoľníci.ĽudiaĽuďom.sk je nadstavbou darcovského portálu ĽudiaĽuďom.sk. </w:t>
      </w:r>
    </w:p>
    <w:p w:rsidR="00BD5A04" w:rsidRDefault="005C64DA" w:rsidP="00B73084">
      <w:pPr>
        <w:jc w:val="both"/>
      </w:pPr>
      <w:r>
        <w:t xml:space="preserve">Kamoši z webu sú projektom, ktorý vznikol na podporu vzdelávania a rozvoja talentu detí zo sociálne slabých skupín a vylúčených spoločenstiev. </w:t>
      </w:r>
      <w:r w:rsidR="00BD5A04">
        <w:t>Je rozdelený na 2 časti: Veľkí kamoši – s využitím infraštruktúry dar</w:t>
      </w:r>
      <w:r w:rsidR="001A6C0B">
        <w:t xml:space="preserve">covského portálu ĽudiaĽuďom.sk umožňuje </w:t>
      </w:r>
      <w:r w:rsidR="00BD5A04">
        <w:t xml:space="preserve">špeciálny druh výzvy na podporu, ktorú registruje inštitúcia, ktorá s dieťaťom pracuje. </w:t>
      </w:r>
      <w:r w:rsidR="008E1050">
        <w:t xml:space="preserve">Táto je aj príjemcom peňazí. </w:t>
      </w:r>
      <w:r w:rsidR="00082347">
        <w:t xml:space="preserve">Z príspevkov darcov sú hradené náklady na vzdelávanie, </w:t>
      </w:r>
      <w:r w:rsidR="00605001">
        <w:t xml:space="preserve">napr. </w:t>
      </w:r>
      <w:r w:rsidR="00605001" w:rsidRPr="00605001">
        <w:t>úhrada</w:t>
      </w:r>
      <w:r w:rsidR="00605001">
        <w:t xml:space="preserve"> cestovných nákladov, kúpa</w:t>
      </w:r>
      <w:r w:rsidR="002B6499">
        <w:t xml:space="preserve"> učebníc, zaplatenie hodín v umeleckej škole, kúp</w:t>
      </w:r>
      <w:r w:rsidR="00605001">
        <w:t>a</w:t>
      </w:r>
      <w:r w:rsidR="002B6499">
        <w:t xml:space="preserve"> hudobného nástroja či športovej výstroje. </w:t>
      </w:r>
      <w:r w:rsidR="00082347">
        <w:t xml:space="preserve">Malí kamoši – sociálna sieť umožňuje komunikáciu detí nielen s darcami, ale aj s ďalšími používateľmi, najmä rovesníkmi. Vzdelávacie moduly aktívne </w:t>
      </w:r>
      <w:r w:rsidR="00605001">
        <w:t>zapájajú</w:t>
      </w:r>
      <w:r w:rsidR="00082347">
        <w:t xml:space="preserve"> dieťa, majú za cieľ zlepšovať jeho vyjadrovacie schopnosti, všeobecnú i digitálnu gramotnosť. Mnohé sú nielen individuálnym, ale aj kolektívnym dielom detí. Dieťa pod dozorom vytvára on-line profil, blogy, fotogalériu, galériu svojich prác a pod. Spájaním používateľov z rôznych sociálnych vrstiev podporujeme sociálnu inklúziu a </w:t>
      </w:r>
      <w:r w:rsidR="00941C8E">
        <w:t>zabezpečenie</w:t>
      </w:r>
      <w:r w:rsidR="00082347">
        <w:t xml:space="preserve"> </w:t>
      </w:r>
      <w:r w:rsidR="00634A17">
        <w:t>základných práv</w:t>
      </w:r>
      <w:r w:rsidR="00082347">
        <w:t xml:space="preserve"> dieťaťa.</w:t>
      </w:r>
      <w:r w:rsidR="00AD2E83">
        <w:t xml:space="preserve"> Projekt Kamoši z webu </w:t>
      </w:r>
      <w:r w:rsidR="00AD2E83" w:rsidRPr="00AD2E83">
        <w:t xml:space="preserve">oslávil v septembri 2015 svoj prvý rok fungovania. Za tento čas pomohol celkom 20 deťom sumou 3097 eur. </w:t>
      </w:r>
      <w:r w:rsidR="00AD2E83" w:rsidRPr="00AD2E83">
        <w:rPr>
          <w:rStyle w:val="Siln"/>
          <w:b w:val="0"/>
        </w:rPr>
        <w:t xml:space="preserve">Úvodný rok pilotnej prevádzky ukončil symbolicky prijatím niektorých z podporených žiakov a študentov </w:t>
      </w:r>
      <w:r w:rsidR="00AD2E83">
        <w:rPr>
          <w:rStyle w:val="Siln"/>
          <w:b w:val="0"/>
        </w:rPr>
        <w:t xml:space="preserve">vtedajší </w:t>
      </w:r>
      <w:r w:rsidR="00AD2E83" w:rsidRPr="00AD2E83">
        <w:rPr>
          <w:rStyle w:val="Siln"/>
          <w:b w:val="0"/>
        </w:rPr>
        <w:t>predseda Národnej rady SR Peter Pellegrini.</w:t>
      </w:r>
      <w:r w:rsidR="00AD2E83" w:rsidRPr="00AD2E83">
        <w:rPr>
          <w:b/>
        </w:rPr>
        <w:t xml:space="preserve">  </w:t>
      </w:r>
    </w:p>
    <w:p w:rsidR="00B73084" w:rsidRDefault="00B73084" w:rsidP="00B73084">
      <w:pPr>
        <w:jc w:val="both"/>
      </w:pPr>
      <w:r>
        <w:t>Portál okrem väčšej transparentnosti v procese charity a filantropie prináša aj zjednodušenie procesu registrácie a publikovania výzvy, sprehľadnenie finančných tokov a väčšiu kvalitu kontroly pre donorov.</w:t>
      </w:r>
    </w:p>
    <w:p w:rsidR="00B73084" w:rsidRDefault="00B73084" w:rsidP="00B73084">
      <w:pPr>
        <w:jc w:val="both"/>
      </w:pPr>
      <w:r>
        <w:t>Súčasťou darcovského portálu ĽudiaĽuďom.sk je platobný portál, pomocou ktorého sa automaticky spracovávajú platby medzi darcami a príjemcami. Darca môže použiť platobné tlačidlo väčšiny bánk na Slovensku</w:t>
      </w:r>
      <w:r w:rsidR="005F77FF">
        <w:t xml:space="preserve"> či</w:t>
      </w:r>
      <w:r>
        <w:t xml:space="preserve"> </w:t>
      </w:r>
      <w:r w:rsidR="00DE2FA7">
        <w:t xml:space="preserve">zaplatiť prostredníctvom platobnej karty. </w:t>
      </w:r>
      <w:r>
        <w:t>V pravidelných časových intervaloch (maximálne 30 dní) sa nakumulované dary zašlú príjemcovi na jeho bankový účet, ktorý uviedol do systému pri registrácii.</w:t>
      </w:r>
    </w:p>
    <w:p w:rsidR="00B73084" w:rsidRPr="00AA6CE5" w:rsidRDefault="00B73084" w:rsidP="00B73084">
      <w:pPr>
        <w:jc w:val="both"/>
      </w:pPr>
      <w:r w:rsidRPr="00A5142A">
        <w:t xml:space="preserve">Vďaka darcovskému portálu ĽudiaĽuďom.sk sme </w:t>
      </w:r>
      <w:r w:rsidR="00941C8E">
        <w:t>v roku 2015</w:t>
      </w:r>
      <w:r w:rsidR="00334A9D" w:rsidRPr="00A5142A">
        <w:t xml:space="preserve"> </w:t>
      </w:r>
      <w:r w:rsidRPr="00A5142A">
        <w:t xml:space="preserve">sprostredkovali dary v celkovej výške </w:t>
      </w:r>
      <w:r w:rsidR="00941C8E">
        <w:t>1 579 409,21</w:t>
      </w:r>
      <w:r w:rsidR="00334A9D" w:rsidRPr="00A5142A">
        <w:t xml:space="preserve"> eur</w:t>
      </w:r>
      <w:r w:rsidRPr="00A5142A">
        <w:t xml:space="preserve">. </w:t>
      </w:r>
      <w:r w:rsidR="00334A9D" w:rsidRPr="00A5142A">
        <w:t>Túto su</w:t>
      </w:r>
      <w:r w:rsidR="00941C8E">
        <w:t>mu sa podarilo dosiahnuť vďaka 64 498</w:t>
      </w:r>
      <w:r w:rsidR="00334A9D" w:rsidRPr="00A5142A">
        <w:t xml:space="preserve"> jednotlivým darom od </w:t>
      </w:r>
      <w:r w:rsidR="00941C8E">
        <w:t>34</w:t>
      </w:r>
      <w:r w:rsidR="00334A9D" w:rsidRPr="00A5142A">
        <w:t> </w:t>
      </w:r>
      <w:r w:rsidR="00941C8E">
        <w:t>862</w:t>
      </w:r>
      <w:r w:rsidR="00334A9D" w:rsidRPr="00A5142A">
        <w:t xml:space="preserve"> darcov</w:t>
      </w:r>
      <w:r w:rsidR="00A5142A">
        <w:t xml:space="preserve">. Počet darcov, ktorí využili web ĽudiaĽuďom.sk </w:t>
      </w:r>
      <w:r w:rsidR="00166DDC">
        <w:t xml:space="preserve">sa </w:t>
      </w:r>
      <w:r w:rsidR="00A5142A">
        <w:t>oproti roku 201</w:t>
      </w:r>
      <w:r w:rsidR="00166DDC">
        <w:t>4</w:t>
      </w:r>
      <w:r w:rsidR="00A5142A">
        <w:t xml:space="preserve"> </w:t>
      </w:r>
      <w:r w:rsidR="00166DDC">
        <w:t xml:space="preserve">zdvojnásobil. Rekordnou výzvou bola Výzva na pomoc Vladimírovi Suchodolinskému, ktorú registroval jeho dlhoročný priateľ a kolega. Bývalý vojenský spravodajca bojoval zo zákernou chorobou a darcovia mu poskytli pomoc na liečbu vo výške 45 997 eur. Táto výzva bola zároveň aj najrýchlejšie naplnenou výzvou v roku 2015. Dosiahnutie cieľovej sumy trvalo 10 dní. Medzi najúspešnejších príjemcov patria </w:t>
      </w:r>
      <w:r w:rsidR="0076450C">
        <w:t>už tradične organizácia Plamienok, ktorá sa stará o nevyliečiteľne choré deti, .týždeň, fond pre kvalitnú žurnalistiku, Transparency International Slovensko a Slovenská katolícka charita. Viacero úspešných výziev, prostredníctvom ktorých sa tento rok pomohlo rodinám v núdzi</w:t>
      </w:r>
      <w:r w:rsidR="00AA6CE5">
        <w:t xml:space="preserve"> úzko súvisí so </w:t>
      </w:r>
      <w:r w:rsidR="00A9016F">
        <w:t xml:space="preserve"> spoluprácou </w:t>
      </w:r>
      <w:r w:rsidR="00AA6CE5">
        <w:t xml:space="preserve">darcovského portálu </w:t>
      </w:r>
      <w:r w:rsidR="00A9016F">
        <w:t>s</w:t>
      </w:r>
      <w:r w:rsidR="0047541A">
        <w:t> </w:t>
      </w:r>
      <w:r w:rsidR="0076450C">
        <w:t>reláciou TV JOJ</w:t>
      </w:r>
      <w:r w:rsidR="00A9016F">
        <w:t xml:space="preserve"> V siedmom nebi. </w:t>
      </w:r>
      <w:r w:rsidRPr="00AA6CE5">
        <w:t xml:space="preserve">Najnižší dar </w:t>
      </w:r>
      <w:r w:rsidR="0047541A">
        <w:t>v roku 201</w:t>
      </w:r>
      <w:r w:rsidR="0076450C">
        <w:t>5</w:t>
      </w:r>
      <w:r w:rsidR="0047541A">
        <w:t xml:space="preserve"> mal hodnotu</w:t>
      </w:r>
      <w:r w:rsidRPr="00AA6CE5">
        <w:t xml:space="preserve"> jedno euro, rekordne najvy</w:t>
      </w:r>
      <w:r w:rsidR="0076450C">
        <w:t>šším bol dar 12 210</w:t>
      </w:r>
      <w:r w:rsidR="00AA6CE5" w:rsidRPr="00AA6CE5">
        <w:t xml:space="preserve"> eur</w:t>
      </w:r>
      <w:r w:rsidRPr="00AA6CE5">
        <w:t>.</w:t>
      </w:r>
      <w:r w:rsidR="00AA6CE5" w:rsidRPr="00AA6CE5">
        <w:t xml:space="preserve"> </w:t>
      </w:r>
      <w:r w:rsidR="0076450C">
        <w:t>Druhými najvyššími boli dva dary v hodnote 10 000 eur a tretími</w:t>
      </w:r>
      <w:r w:rsidR="008C1CEC">
        <w:t xml:space="preserve"> bolo päť 5 000 eurových darov.</w:t>
      </w:r>
    </w:p>
    <w:p w:rsidR="00B73084" w:rsidRPr="00AA6CE5" w:rsidRDefault="00B73084" w:rsidP="00B73084">
      <w:pPr>
        <w:jc w:val="both"/>
      </w:pPr>
      <w:r w:rsidRPr="00AA6CE5">
        <w:t>Celkový prínos pre komunitu je možné najlepšie posúdiť priamo cez vyjadrenia ľudí, ktorí sa o portáli vyjadrujú na verejných fórach či sociálnych sieťach. Portál rozšíril priestor pre solidaritu medzi ľuďmi u</w:t>
      </w:r>
      <w:r w:rsidR="00AA6CE5" w:rsidRPr="00AA6CE5">
        <w:t> </w:t>
      </w:r>
      <w:r w:rsidRPr="00AA6CE5">
        <w:t>nás</w:t>
      </w:r>
      <w:r w:rsidR="00AA6CE5" w:rsidRPr="00AA6CE5">
        <w:t>,</w:t>
      </w:r>
      <w:r w:rsidRPr="00AA6CE5">
        <w:t xml:space="preserve"> čo dokumentujú údaje uvedené v odseku o kvantitatívnych výsledkoch vyššie.</w:t>
      </w:r>
    </w:p>
    <w:p w:rsidR="00B73084" w:rsidRPr="00AA6CE5" w:rsidRDefault="00B73084" w:rsidP="00B73084">
      <w:pPr>
        <w:jc w:val="both"/>
      </w:pPr>
      <w:r w:rsidRPr="00AA6CE5">
        <w:t>Zároveň doplnil on-line prostredie o systém s novým prístupom voči darcom a príjemcom, ktorý sa nesnaží centralizovane posudzovať vhodnosť prijímateľov</w:t>
      </w:r>
      <w:r w:rsidR="008C1CEC">
        <w:t>,</w:t>
      </w:r>
      <w:r w:rsidRPr="00AA6CE5">
        <w:t xml:space="preserve"> ale umožňuje komunite, aby si to regulovala cez nástroj overovania, ktorý je decentralizovaný. Buduje tak inú úr</w:t>
      </w:r>
      <w:r w:rsidR="0076450C">
        <w:t>oveň vzťahov v tomto prostredí a</w:t>
      </w:r>
      <w:r w:rsidR="00AA6CE5" w:rsidRPr="0076450C">
        <w:t xml:space="preserve"> výsledky </w:t>
      </w:r>
      <w:r w:rsidR="0076450C">
        <w:t>za takmer päť</w:t>
      </w:r>
      <w:r w:rsidRPr="0076450C">
        <w:t xml:space="preserve"> rok</w:t>
      </w:r>
      <w:r w:rsidR="0076450C">
        <w:t>ov</w:t>
      </w:r>
      <w:r w:rsidRPr="0076450C">
        <w:t xml:space="preserve"> </w:t>
      </w:r>
      <w:r w:rsidR="0076450C">
        <w:t xml:space="preserve">ostrej prevázdky </w:t>
      </w:r>
      <w:r w:rsidRPr="0076450C">
        <w:t>sú</w:t>
      </w:r>
      <w:r w:rsidRPr="00AA6CE5">
        <w:t xml:space="preserve"> povzbudzujúce. </w:t>
      </w:r>
    </w:p>
    <w:p w:rsidR="00330374" w:rsidRDefault="00B73084" w:rsidP="00330374">
      <w:pPr>
        <w:jc w:val="both"/>
      </w:pPr>
      <w:r w:rsidRPr="00AA6CE5">
        <w:t xml:space="preserve">Za </w:t>
      </w:r>
      <w:r w:rsidR="0076450C">
        <w:t>päť rokov fungovania</w:t>
      </w:r>
      <w:r w:rsidRPr="00AA6CE5">
        <w:t xml:space="preserve"> portálu sa podarilo dostať tento nástroj do povedomia ako neziskových organizácií, tak aj mnohých pomáhajúcich komunít i bežných ľudí, čo dokumentuje jeho „lajkovanie“ na sociálnych sieťach či referencie v publikáciách (projekt je spomínaný vo viacerých publikáciách týkajúcich sa inovatívnych riešení v neziskovom sektore). Projekt je taktiež reflektovaný na odborných fórach IT či filantropie. Napriek tomu do budúcnosti nás čaká ešte veľa práce.</w:t>
      </w:r>
    </w:p>
    <w:p w:rsidR="00330374" w:rsidRDefault="00B73084" w:rsidP="00330374">
      <w:pPr>
        <w:jc w:val="both"/>
      </w:pPr>
      <w:r w:rsidRPr="008222E2">
        <w:t xml:space="preserve">Viac ako </w:t>
      </w:r>
      <w:r w:rsidR="005B79B8">
        <w:t>23 323,60</w:t>
      </w:r>
      <w:r w:rsidR="00AA6CE5" w:rsidRPr="008222E2">
        <w:t xml:space="preserve"> </w:t>
      </w:r>
      <w:r w:rsidR="002865BF" w:rsidRPr="008222E2">
        <w:t>eur</w:t>
      </w:r>
      <w:r w:rsidRPr="008222E2">
        <w:t xml:space="preserve"> sa podarilo získať </w:t>
      </w:r>
      <w:r w:rsidR="006F586C">
        <w:t>v roku 201</w:t>
      </w:r>
      <w:r w:rsidR="005B79B8">
        <w:t>5</w:t>
      </w:r>
      <w:r w:rsidR="006F586C">
        <w:t xml:space="preserve"> </w:t>
      </w:r>
      <w:r w:rsidRPr="008222E2">
        <w:t xml:space="preserve">prostredníctvom projektu benefičných elektronických aukcií. Tie môžu vyhlasovať samotní príjemcovia, alebo aukciu v ich prospech zorganizuje tretia osoba. </w:t>
      </w:r>
      <w:r w:rsidR="008222E2" w:rsidRPr="008222E2">
        <w:t xml:space="preserve">Medzi najúspešnejšie aukcie </w:t>
      </w:r>
      <w:r w:rsidR="005B79B8">
        <w:t>roku 2015 patrila aukcia na podporu projektu Hľadáme mladé športové talenty. Predmetom aukcie bola unikátna podpísaná kombinéza od lyžiarky Petry Vlhovej, ktorá sa vydražila za 1000 eur. Druhou najvyššou</w:t>
      </w:r>
      <w:r w:rsidR="00330374">
        <w:t xml:space="preserve"> </w:t>
      </w:r>
      <w:r w:rsidR="005B79B8">
        <w:t xml:space="preserve">vydraženou aukciou v hodnote 505 eur bolo Valentínske stretnutie s celebritou Kristínou Kormúthovou. Veľkému úspechu sa tešila aj predvianočná aukcia Sajfa pod stromčekom, ktorá sa vydražila za 370 eur a obľúbený moderátor ozdobil vianočný stromček rodine vydražiteľa. </w:t>
      </w:r>
      <w:r w:rsidR="00330374">
        <w:t xml:space="preserve">Celý výťažok z aukcií </w:t>
      </w:r>
      <w:r w:rsidR="006F586C">
        <w:t>bol</w:t>
      </w:r>
      <w:r w:rsidR="00330374">
        <w:t xml:space="preserve"> venovaný v prospech výziev z darcovského portálu ĽudiaĽuďom.sk. </w:t>
      </w:r>
    </w:p>
    <w:p w:rsidR="00AD2E83" w:rsidRPr="006A726D" w:rsidRDefault="00022FC0" w:rsidP="00330374">
      <w:pPr>
        <w:jc w:val="both"/>
        <w:rPr>
          <w:i/>
        </w:rPr>
      </w:pPr>
      <w:r>
        <w:t xml:space="preserve">Rok 2015 bol pre darcovský portál ĽudiaĽuďom.sk neobyčajne aktívny. Organizovali sme množstvo jedinečných a inovatívnych projektov. Jedným z najvýznamnejších bolo nepochybne charitatívne podujatie Veslovanie pre Sýriu, ktorého cieľom bolo vyzbierať 10 000 eur na výstavbu zdravotníckej kliniky pre utečencov pri kláštore </w:t>
      </w:r>
      <w:proofErr w:type="spellStart"/>
      <w:r>
        <w:t>Deir</w:t>
      </w:r>
      <w:proofErr w:type="spellEnd"/>
      <w:r>
        <w:t xml:space="preserve"> Mar </w:t>
      </w:r>
      <w:proofErr w:type="spellStart"/>
      <w:r>
        <w:t>Elian</w:t>
      </w:r>
      <w:proofErr w:type="spellEnd"/>
      <w:r>
        <w:t xml:space="preserve"> v Sýri</w:t>
      </w:r>
      <w:r w:rsidR="00AC4359">
        <w:t>i</w:t>
      </w:r>
      <w:r>
        <w:t xml:space="preserve">. Druhotným cieľom 24-hodinového podujatia bolo aj upozorniť na situáciu na Blízkom východe, kde závratnou rýchlosťou stúpal počet utečencov. Projekt, ktorý organizovala Teologická fakulta Trnavskej univerzity so sídlom v Bratislave v spolupráci s ĽUDIA ĽUĎOM, n.o. </w:t>
      </w:r>
      <w:r w:rsidRPr="006A726D">
        <w:t>prebiehal dvoma spôsobmi, a to pripievaním na výzvu a 24-hodinovým maratónom na veslovacích trenažéroch. Veslovanie pre Sýriu bolo rozdelené do troch etáp. Pred podujatím si záujemcovia mohli vydražiť konkrétny časový úsek prostredníctvom platformy benefičných aukcií. Takýmto spôso</w:t>
      </w:r>
      <w:r w:rsidR="008C1CEC">
        <w:t>bo</w:t>
      </w:r>
      <w:r w:rsidRPr="006A726D">
        <w:t>m sa vyzbieral</w:t>
      </w:r>
      <w:r w:rsidR="008C1CEC">
        <w:t>o</w:t>
      </w:r>
      <w:r w:rsidRPr="006A726D">
        <w:t xml:space="preserve"> vyše 6-tisíc eur. Priamo počas</w:t>
      </w:r>
      <w:r w:rsidRPr="006A726D">
        <w:rPr>
          <w:rStyle w:val="Zvraznenie"/>
        </w:rPr>
        <w:t xml:space="preserve"> </w:t>
      </w:r>
      <w:r w:rsidRPr="006A726D">
        <w:rPr>
          <w:rStyle w:val="Zvraznenie"/>
          <w:i w:val="0"/>
        </w:rPr>
        <w:t>24-hodinového maratónu ľudia prispeli sumou 4407 eur. Ďalších viac ako 6-tisíc eur pribudlo na výzve na darcovskom portáli ĽudiaĽuď</w:t>
      </w:r>
      <w:r w:rsidR="008C1CEC">
        <w:rPr>
          <w:rStyle w:val="Zvraznenie"/>
          <w:i w:val="0"/>
        </w:rPr>
        <w:t>om.sk v priebehu apríla, keď</w:t>
      </w:r>
      <w:r w:rsidRPr="006A726D">
        <w:rPr>
          <w:rStyle w:val="Zvraznenie"/>
          <w:i w:val="0"/>
        </w:rPr>
        <w:t xml:space="preserve"> sa </w:t>
      </w:r>
      <w:r w:rsidR="006A726D" w:rsidRPr="006A726D">
        <w:rPr>
          <w:rStyle w:val="Zvraznenie"/>
          <w:i w:val="0"/>
        </w:rPr>
        <w:t xml:space="preserve">organizátori </w:t>
      </w:r>
      <w:r w:rsidRPr="006A726D">
        <w:rPr>
          <w:rStyle w:val="Zvraznenie"/>
          <w:i w:val="0"/>
        </w:rPr>
        <w:t>rozhodli pre záujem verejnosti umožniť ďalšie zb</w:t>
      </w:r>
      <w:r w:rsidR="006A726D" w:rsidRPr="006A726D">
        <w:rPr>
          <w:rStyle w:val="Zvraznenie"/>
          <w:i w:val="0"/>
        </w:rPr>
        <w:t xml:space="preserve">ieranie financií pre utečencov. Na výstavbu kliniky sa celkom vyzbieralo 16 919 eur. </w:t>
      </w:r>
    </w:p>
    <w:p w:rsidR="00AD2E83" w:rsidRDefault="00CA0D32" w:rsidP="00330374">
      <w:pPr>
        <w:jc w:val="both"/>
      </w:pPr>
      <w:r>
        <w:t>V októbri 2015 naviazal darcovský portál ĽudiaĽuďom.sk spoluprácu s mobilným operátorom 4ka. Ten po príchode na trh avizoval, že venuje stopercentný výťažok z rezervácie zaujímavých mobilných čísel štyrom výzvam z portálu ĽudiaĽuďom.sk. Vďaka tomuto projektu pribudlo na výzvy celkom 16 500 eur. Sumou 450 eur podporila 4ka mladý hudobný talent Jarka, ktorý hrá na klarinet a na zdokonaľovanie potreboval nový. Zo Sumy 1825 eur sa tešil Martinko Kupec, chl</w:t>
      </w:r>
      <w:r w:rsidR="00AD2E83">
        <w:t>apec, ktorý trpí Luis-Barovej syn</w:t>
      </w:r>
      <w:r>
        <w:t xml:space="preserve">drómom, má špecifickú mutáciu DNA a nutne potreboval rehabilitácie. Babička Beatric Gáliková sama vychováva svoju vnučku, ktorú živí len zo skromného dôchodku a suma 2015 eur im zlepšila životnú situáciu. Najvyšším darom 12 210 eur pomohla 4ka k otvoreniu rehabilitačného centra pre deti s viacnásobným postihnutím </w:t>
      </w:r>
      <w:r w:rsidR="00AD2E83">
        <w:t xml:space="preserve">Svetielko </w:t>
      </w:r>
      <w:r>
        <w:t>v</w:t>
      </w:r>
      <w:r w:rsidR="00AD2E83">
        <w:t> </w:t>
      </w:r>
      <w:r>
        <w:t>Bratislave</w:t>
      </w:r>
      <w:r w:rsidR="00AD2E83">
        <w:t>. Týmto darom sa mobilný operátor stal n</w:t>
      </w:r>
      <w:r w:rsidR="008C1CEC">
        <w:t>ajštedrejším darcom roku 2015.</w:t>
      </w:r>
    </w:p>
    <w:p w:rsidR="00CA0D32" w:rsidRPr="00803D80" w:rsidRDefault="00B73084" w:rsidP="00B73084">
      <w:pPr>
        <w:jc w:val="both"/>
      </w:pPr>
      <w:r w:rsidRPr="00936B3C">
        <w:t>Projekt Detský čin roka už 1</w:t>
      </w:r>
      <w:r w:rsidR="00D209B5">
        <w:t>5</w:t>
      </w:r>
      <w:r w:rsidR="000C4238">
        <w:t xml:space="preserve"> rokov</w:t>
      </w:r>
      <w:r w:rsidR="00936B3C" w:rsidRPr="00936B3C">
        <w:t xml:space="preserve"> podáva výnimočnú výpoveď o svete detí, o konaní dobra a</w:t>
      </w:r>
      <w:r w:rsidR="00D209B5">
        <w:t> </w:t>
      </w:r>
      <w:r w:rsidRPr="00936B3C">
        <w:t>motivuje</w:t>
      </w:r>
      <w:r w:rsidR="00D209B5">
        <w:t xml:space="preserve"> nielen</w:t>
      </w:r>
      <w:r w:rsidRPr="00936B3C">
        <w:t xml:space="preserve"> </w:t>
      </w:r>
      <w:r w:rsidR="00936B3C" w:rsidRPr="00936B3C">
        <w:t xml:space="preserve">všetky </w:t>
      </w:r>
      <w:r w:rsidRPr="00936B3C">
        <w:t>deti,</w:t>
      </w:r>
      <w:r w:rsidR="00D209B5">
        <w:t xml:space="preserve"> ale aj dospelých, a</w:t>
      </w:r>
      <w:r w:rsidRPr="00936B3C">
        <w:t xml:space="preserve">by robili dobré skutky. </w:t>
      </w:r>
      <w:r w:rsidR="00D209B5">
        <w:t>V roku 2015</w:t>
      </w:r>
      <w:r w:rsidR="00936B3C">
        <w:t xml:space="preserve"> bolo do projektu prihlásených </w:t>
      </w:r>
      <w:r w:rsidR="00D209B5">
        <w:t>5 265</w:t>
      </w:r>
      <w:r w:rsidR="00936B3C">
        <w:t xml:space="preserve"> skutkov detí a kolektívov. Výberová komisia a Občianske združenie Detský čin roka vybrali 35 nominácií v týchto kategóriách: Záchrana života, Pomoc v rodine, Pomoc rovesníkom, Pomoc iným ľuďom, Pomoc prírode, Dobrý nápad a Cena Sašky Fischerovej – Malý Veľký čin. Tridsaťšesť nominovaných príbehov bolo</w:t>
      </w:r>
      <w:r w:rsidR="002F0151">
        <w:t xml:space="preserve"> následne publikovaných v pedagogickom materiáli, ktorý bol zaslaný do cca 2 200 škôl</w:t>
      </w:r>
      <w:r w:rsidR="009D0E37">
        <w:t xml:space="preserve"> a školských úradov</w:t>
      </w:r>
      <w:r w:rsidR="002F0151">
        <w:t xml:space="preserve"> na Slovensku. </w:t>
      </w:r>
      <w:r w:rsidRPr="009D0E37">
        <w:t xml:space="preserve">Učitelia s tlačeným pedagogickým materiálom pracujú na hodinách etickej výchovy, slovenského jazyka či v školskom klube. </w:t>
      </w:r>
      <w:r w:rsidR="00D209B5">
        <w:t xml:space="preserve">Aj tento rok mohla verejnosť hlasovať prostredníctvom </w:t>
      </w:r>
      <w:proofErr w:type="spellStart"/>
      <w:r w:rsidR="00D209B5">
        <w:t>darcovského</w:t>
      </w:r>
      <w:proofErr w:type="spellEnd"/>
      <w:r w:rsidR="00D209B5">
        <w:t xml:space="preserve"> portálu ĽudiaĽuďom.sk za najhrdinskejší čin. S</w:t>
      </w:r>
      <w:r w:rsidRPr="009D0E37">
        <w:t xml:space="preserve">polu </w:t>
      </w:r>
      <w:r w:rsidR="00D209B5">
        <w:t>163 223 hlasov rozhodlo o laureátoch Ceny ĽudiaĽuďom.sk. Toto ocenenie získal kolektív detí zo Spojenej školy F. Hanáka v Prievidzi za pomoc hendikepovanému spolužiakovi.</w:t>
      </w:r>
      <w:r w:rsidRPr="009D0E37">
        <w:t xml:space="preserve"> </w:t>
      </w:r>
      <w:r w:rsidRPr="00A00C50">
        <w:t>Vzájomná synergia hlasovania detí v detskej porote cez školy a</w:t>
      </w:r>
      <w:r w:rsidR="00A00C50" w:rsidRPr="00A00C50">
        <w:t> </w:t>
      </w:r>
      <w:r w:rsidRPr="00A00C50">
        <w:t>on</w:t>
      </w:r>
      <w:r w:rsidR="00A00C50" w:rsidRPr="00A00C50">
        <w:t>-</w:t>
      </w:r>
      <w:r w:rsidRPr="00A00C50">
        <w:t>line hlasovania cez portál, priniesl</w:t>
      </w:r>
      <w:r w:rsidR="00A00C50" w:rsidRPr="00A00C50">
        <w:t>a</w:t>
      </w:r>
      <w:r w:rsidRPr="00A00C50">
        <w:t xml:space="preserve"> nečakané pozitívne výsledky, </w:t>
      </w:r>
      <w:r w:rsidR="00A00C50" w:rsidRPr="00A00C50">
        <w:t>veľkú</w:t>
      </w:r>
      <w:r w:rsidRPr="00A00C50">
        <w:t xml:space="preserve"> </w:t>
      </w:r>
      <w:r w:rsidRPr="00803D80">
        <w:t xml:space="preserve">účasť zapojených detí i verejnosti. </w:t>
      </w:r>
    </w:p>
    <w:p w:rsidR="00D209B5" w:rsidRDefault="00443197" w:rsidP="00B73084">
      <w:pPr>
        <w:jc w:val="both"/>
      </w:pPr>
      <w:r w:rsidRPr="00803D80">
        <w:t xml:space="preserve">Darcovský portál ĽudiaĽuďom.sk sa stal </w:t>
      </w:r>
      <w:r w:rsidR="00803D80" w:rsidRPr="00803D80">
        <w:t xml:space="preserve">aj v roku </w:t>
      </w:r>
      <w:r w:rsidR="00D209B5" w:rsidRPr="00803D80">
        <w:t>2015</w:t>
      </w:r>
      <w:r w:rsidR="005D0DEB" w:rsidRPr="00803D80">
        <w:t xml:space="preserve"> </w:t>
      </w:r>
      <w:r w:rsidRPr="00803D80">
        <w:t xml:space="preserve">partnerom </w:t>
      </w:r>
      <w:r w:rsidR="00803D80" w:rsidRPr="00803D80">
        <w:t xml:space="preserve">jesennej série </w:t>
      </w:r>
      <w:r w:rsidRPr="00803D80">
        <w:t>relácie Vila Rozborila V siedmom nebi</w:t>
      </w:r>
      <w:r w:rsidR="00803D80" w:rsidRPr="00803D80">
        <w:t>, ktorú vysiela televízia JOJ</w:t>
      </w:r>
      <w:r w:rsidRPr="00803D80">
        <w:t xml:space="preserve">. </w:t>
      </w:r>
      <w:r w:rsidR="00416A34" w:rsidRPr="00803D80">
        <w:t>Prostredníctvom portálu ĽudiaĽuďom.sk, konkrétne n</w:t>
      </w:r>
      <w:r w:rsidRPr="00803D80">
        <w:t>a platforme vilo.ludialudom.sk</w:t>
      </w:r>
      <w:r w:rsidR="00416A34" w:rsidRPr="00803D80">
        <w:t>,</w:t>
      </w:r>
      <w:r w:rsidR="00803D80" w:rsidRPr="00803D80">
        <w:t xml:space="preserve"> si záujemcovia od 21. marca 2014</w:t>
      </w:r>
      <w:r w:rsidRPr="00803D80">
        <w:t xml:space="preserve"> n</w:t>
      </w:r>
      <w:r w:rsidR="00803D80" w:rsidRPr="00803D80">
        <w:t>epretržite registrovali sny, ktoré sa stali námetom relácie</w:t>
      </w:r>
      <w:r w:rsidRPr="00803D80">
        <w:t>. Príbehy</w:t>
      </w:r>
      <w:r w:rsidR="00BC27B3" w:rsidRPr="00803D80">
        <w:t xml:space="preserve"> už</w:t>
      </w:r>
      <w:r w:rsidRPr="00803D80">
        <w:t xml:space="preserve"> odvysielané v relácii mali na portáli zaregistrované výzvy a tak ich mohli diváci finančne podporiť. Prostredníctvom darcovského portálu ĽudiaĽuďom.sk sa </w:t>
      </w:r>
      <w:r w:rsidR="00BC27B3" w:rsidRPr="00803D80">
        <w:t>v roku 201</w:t>
      </w:r>
      <w:r w:rsidR="00803D80" w:rsidRPr="00803D80">
        <w:t>5</w:t>
      </w:r>
      <w:r w:rsidR="00BC27B3" w:rsidRPr="00803D80">
        <w:t xml:space="preserve"> </w:t>
      </w:r>
      <w:r w:rsidRPr="00803D80">
        <w:t>na výzvy z relácie v Siedmom nebi vyzbierali</w:t>
      </w:r>
      <w:r w:rsidR="00BC27B3" w:rsidRPr="00803D80">
        <w:t xml:space="preserve"> </w:t>
      </w:r>
      <w:r w:rsidRPr="00803D80">
        <w:t>d</w:t>
      </w:r>
      <w:r w:rsidR="005D0DEB" w:rsidRPr="00803D80">
        <w:t xml:space="preserve">ary v celkovej výške </w:t>
      </w:r>
      <w:r w:rsidR="00803D80" w:rsidRPr="00803D80">
        <w:t>77 765</w:t>
      </w:r>
      <w:r w:rsidR="005D0DEB" w:rsidRPr="00803D80">
        <w:t xml:space="preserve"> eur</w:t>
      </w:r>
      <w:r w:rsidRPr="00803D80">
        <w:t>.</w:t>
      </w:r>
      <w:r>
        <w:t xml:space="preserve"> </w:t>
      </w:r>
    </w:p>
    <w:p w:rsidR="00AC4359" w:rsidRDefault="00AC4359" w:rsidP="00B73084">
      <w:pPr>
        <w:pStyle w:val="Nadpis1"/>
        <w:keepNext/>
        <w:keepLines/>
        <w:spacing w:before="480" w:after="240" w:line="360" w:lineRule="auto"/>
        <w:jc w:val="both"/>
      </w:pPr>
    </w:p>
    <w:p w:rsidR="00B73084" w:rsidRPr="00BA1BBB" w:rsidRDefault="00B73084" w:rsidP="00B73084">
      <w:pPr>
        <w:pStyle w:val="Nadpis1"/>
        <w:keepNext/>
        <w:keepLines/>
        <w:spacing w:before="480" w:after="240" w:line="360" w:lineRule="auto"/>
        <w:jc w:val="both"/>
      </w:pPr>
      <w:r w:rsidRPr="00BA1BBB">
        <w:t>Ročná účtovná závierka a zhodnotenie základných údajov v nej obsiahnutých</w:t>
      </w:r>
    </w:p>
    <w:p w:rsidR="0076251E" w:rsidRPr="00AC4359" w:rsidRDefault="00B73084" w:rsidP="00AC4359">
      <w:pPr>
        <w:jc w:val="both"/>
        <w:rPr>
          <w:szCs w:val="20"/>
        </w:rPr>
      </w:pPr>
      <w:r w:rsidRPr="00BA1BBB">
        <w:t xml:space="preserve">Ročná účtovná závierka </w:t>
      </w:r>
      <w:r w:rsidRPr="00BA1BBB">
        <w:rPr>
          <w:szCs w:val="20"/>
        </w:rPr>
        <w:t xml:space="preserve">neziskovej organizácie </w:t>
      </w:r>
      <w:r w:rsidR="00BA1BBB" w:rsidRPr="00BA1BBB">
        <w:rPr>
          <w:szCs w:val="20"/>
        </w:rPr>
        <w:t>ĽUDIA ĽUĎOM</w:t>
      </w:r>
      <w:r w:rsidRPr="00BA1BBB">
        <w:rPr>
          <w:szCs w:val="20"/>
        </w:rPr>
        <w:t>, n.</w:t>
      </w:r>
      <w:r w:rsidR="00BA1BBB" w:rsidRPr="00BA1BBB">
        <w:rPr>
          <w:szCs w:val="20"/>
        </w:rPr>
        <w:t xml:space="preserve"> </w:t>
      </w:r>
      <w:r w:rsidRPr="00BA1BBB">
        <w:rPr>
          <w:szCs w:val="20"/>
        </w:rPr>
        <w:t>o. za rok 201</w:t>
      </w:r>
      <w:r w:rsidR="006A726D">
        <w:rPr>
          <w:szCs w:val="20"/>
        </w:rPr>
        <w:t>5</w:t>
      </w:r>
      <w:r w:rsidRPr="00BA1BBB">
        <w:rPr>
          <w:szCs w:val="20"/>
        </w:rPr>
        <w:t xml:space="preserve">, teda súvaha, výkaz ziskov a strát, ako aj prehľad o daroch, príspevkoch a príjmoch neziskovej organizácie </w:t>
      </w:r>
      <w:r w:rsidR="00BA1BBB" w:rsidRPr="00BA1BBB">
        <w:rPr>
          <w:szCs w:val="20"/>
        </w:rPr>
        <w:t xml:space="preserve">ĽUDIA ĽUĎOM, n. o. </w:t>
      </w:r>
      <w:r w:rsidRPr="00BA1BBB">
        <w:rPr>
          <w:szCs w:val="20"/>
        </w:rPr>
        <w:t>za rok 201</w:t>
      </w:r>
      <w:r w:rsidR="006A726D">
        <w:rPr>
          <w:szCs w:val="20"/>
        </w:rPr>
        <w:t>5</w:t>
      </w:r>
      <w:r w:rsidRPr="00BA1BBB">
        <w:rPr>
          <w:szCs w:val="20"/>
        </w:rPr>
        <w:t>, je súčasťou finančnej správy za rok 201</w:t>
      </w:r>
      <w:r w:rsidR="006A726D">
        <w:rPr>
          <w:szCs w:val="20"/>
        </w:rPr>
        <w:t>5</w:t>
      </w:r>
      <w:r w:rsidR="00BA1BBB" w:rsidRPr="00BA1BBB">
        <w:rPr>
          <w:szCs w:val="20"/>
        </w:rPr>
        <w:t>.</w:t>
      </w:r>
    </w:p>
    <w:p w:rsidR="00AC4359" w:rsidRDefault="00AC4359" w:rsidP="00AC4359">
      <w:pPr>
        <w:pStyle w:val="Nadpis1"/>
      </w:pPr>
    </w:p>
    <w:p w:rsidR="00AC4359" w:rsidRDefault="00AC4359" w:rsidP="00AC4359">
      <w:pPr>
        <w:pStyle w:val="Nadpis1"/>
      </w:pPr>
    </w:p>
    <w:p w:rsidR="00AC4359" w:rsidRDefault="00AC4359" w:rsidP="00AC4359">
      <w:pPr>
        <w:pStyle w:val="Nadpis1"/>
      </w:pPr>
    </w:p>
    <w:p w:rsidR="00AC4359" w:rsidRDefault="00AC4359" w:rsidP="00AC4359">
      <w:pPr>
        <w:pStyle w:val="Nadpis1"/>
      </w:pPr>
    </w:p>
    <w:p w:rsidR="00AC4359" w:rsidRDefault="00AC4359" w:rsidP="00AC4359">
      <w:pPr>
        <w:pStyle w:val="Nadpis1"/>
      </w:pPr>
    </w:p>
    <w:p w:rsidR="00AC4359" w:rsidRDefault="00AC4359" w:rsidP="00AC4359">
      <w:pPr>
        <w:pStyle w:val="Nadpis1"/>
      </w:pPr>
    </w:p>
    <w:p w:rsidR="00AC4359" w:rsidRDefault="00AC4359" w:rsidP="00AC4359">
      <w:pPr>
        <w:pStyle w:val="Nadpis1"/>
      </w:pPr>
    </w:p>
    <w:p w:rsidR="00AC4359" w:rsidRDefault="00AC4359" w:rsidP="00AC4359">
      <w:pPr>
        <w:pStyle w:val="Nadpis1"/>
      </w:pPr>
    </w:p>
    <w:p w:rsidR="002D31FF" w:rsidRDefault="0076251E" w:rsidP="00AC4359">
      <w:pPr>
        <w:pStyle w:val="Nadpis1"/>
      </w:pPr>
      <w:r w:rsidRPr="0076251E">
        <w:t>VÝROK AUDÍTORA K ROČNEJ ÚČTOVNEJ ZÁVIERKE</w:t>
      </w:r>
    </w:p>
    <w:p w:rsidR="00AC4359" w:rsidRPr="00AC4359" w:rsidRDefault="00AC4359" w:rsidP="00AC4359"/>
    <w:p w:rsidR="0076251E" w:rsidRPr="00B73084" w:rsidRDefault="002D31FF" w:rsidP="00B73084">
      <w:pPr>
        <w:jc w:val="both"/>
      </w:pPr>
      <w:r>
        <w:rPr>
          <w:noProof/>
          <w:lang w:eastAsia="sk-SK"/>
        </w:rPr>
        <w:drawing>
          <wp:inline distT="0" distB="0" distL="0" distR="0" wp14:anchorId="1CF454D0" wp14:editId="64666BA7">
            <wp:extent cx="5601755" cy="7911548"/>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09000" cy="7921781"/>
                    </a:xfrm>
                    <a:prstGeom prst="rect">
                      <a:avLst/>
                    </a:prstGeom>
                    <a:noFill/>
                    <a:ln>
                      <a:noFill/>
                    </a:ln>
                  </pic:spPr>
                </pic:pic>
              </a:graphicData>
            </a:graphic>
          </wp:inline>
        </w:drawing>
      </w:r>
    </w:p>
    <w:p w:rsidR="0019733B" w:rsidRDefault="0019733B"/>
    <w:p w:rsidR="009E1AF7" w:rsidRDefault="009E1AF7" w:rsidP="009E1AF7">
      <w:pPr>
        <w:pStyle w:val="Nadpis1"/>
        <w:keepNext/>
        <w:keepLines/>
        <w:spacing w:before="480" w:after="240" w:line="360" w:lineRule="auto"/>
        <w:jc w:val="both"/>
      </w:pPr>
      <w:r>
        <w:t>Prehľad o peňažných príjmoch a výdavkoch</w:t>
      </w:r>
    </w:p>
    <w:p w:rsidR="009E1AF7" w:rsidRDefault="009E1AF7" w:rsidP="009E1AF7">
      <w:pPr>
        <w:rPr>
          <w:szCs w:val="20"/>
        </w:rPr>
      </w:pPr>
      <w:r>
        <w:rPr>
          <w:szCs w:val="20"/>
        </w:rPr>
        <w:t xml:space="preserve">Súvaha, výkaz ziskov a strát, ako aj prehľad o daroch, príspevkoch a príjmoch neziskovej organizácie </w:t>
      </w:r>
      <w:r w:rsidRPr="00BA1BBB">
        <w:rPr>
          <w:szCs w:val="20"/>
        </w:rPr>
        <w:t>ĽUDIA ĽUĎOM, n. o.</w:t>
      </w:r>
      <w:r>
        <w:rPr>
          <w:szCs w:val="20"/>
        </w:rPr>
        <w:t xml:space="preserve"> za rok 201</w:t>
      </w:r>
      <w:r w:rsidR="0076251E">
        <w:rPr>
          <w:szCs w:val="20"/>
        </w:rPr>
        <w:t>5</w:t>
      </w:r>
      <w:r>
        <w:rPr>
          <w:szCs w:val="20"/>
        </w:rPr>
        <w:t>, je súčasťou finančnej správy za rok 201</w:t>
      </w:r>
      <w:r w:rsidR="0076251E">
        <w:rPr>
          <w:szCs w:val="20"/>
        </w:rPr>
        <w:t>5</w:t>
      </w:r>
      <w:r>
        <w:rPr>
          <w:szCs w:val="20"/>
        </w:rPr>
        <w:t>.</w:t>
      </w:r>
    </w:p>
    <w:p w:rsidR="009E1AF7" w:rsidRDefault="009E1AF7" w:rsidP="009E1AF7">
      <w:pPr>
        <w:pStyle w:val="Nadpis1"/>
        <w:keepNext/>
        <w:keepLines/>
        <w:spacing w:before="480" w:after="240" w:line="360" w:lineRule="auto"/>
      </w:pPr>
      <w:r>
        <w:t>Stav a pohyb majetku a záväzkov neziskovej organizácie</w:t>
      </w:r>
    </w:p>
    <w:p w:rsidR="001778B8" w:rsidRDefault="001778B8" w:rsidP="001778B8">
      <w:pPr>
        <w:rPr>
          <w:szCs w:val="20"/>
        </w:rPr>
      </w:pPr>
      <w:r>
        <w:rPr>
          <w:szCs w:val="20"/>
        </w:rPr>
        <w:t xml:space="preserve">Súvaha, výkaz ziskov a strát, ako aj prehľad o daroch, príspevkoch a príjmoch neziskovej organizácie </w:t>
      </w:r>
      <w:r w:rsidRPr="00BA1BBB">
        <w:rPr>
          <w:szCs w:val="20"/>
        </w:rPr>
        <w:t>ĽUDIA ĽUĎOM, n. o.</w:t>
      </w:r>
      <w:r w:rsidR="00635872">
        <w:rPr>
          <w:szCs w:val="20"/>
        </w:rPr>
        <w:t xml:space="preserve"> za rok 2015</w:t>
      </w:r>
      <w:r>
        <w:rPr>
          <w:szCs w:val="20"/>
        </w:rPr>
        <w:t>, je súčas</w:t>
      </w:r>
      <w:r w:rsidR="00635872">
        <w:rPr>
          <w:szCs w:val="20"/>
        </w:rPr>
        <w:t>ťou finančnej správy za rok 2015</w:t>
      </w:r>
      <w:r>
        <w:rPr>
          <w:szCs w:val="20"/>
        </w:rPr>
        <w:t>.</w:t>
      </w:r>
    </w:p>
    <w:p w:rsidR="009E1AF7" w:rsidRDefault="009E1AF7" w:rsidP="009E1AF7">
      <w:pPr>
        <w:pStyle w:val="Nadpis1"/>
      </w:pPr>
      <w:r>
        <w:t>Zmeny a nové zloženie orgánov neziskovej organizácie, ku ktorým došlo v priebehu roka</w:t>
      </w:r>
    </w:p>
    <w:p w:rsidR="009E1AF7" w:rsidRDefault="00635872" w:rsidP="009E1AF7">
      <w:r>
        <w:t>V priebehu roka 2015</w:t>
      </w:r>
      <w:r w:rsidR="00703F47">
        <w:t xml:space="preserve"> </w:t>
      </w:r>
      <w:r>
        <w:t>ne</w:t>
      </w:r>
      <w:r w:rsidR="009E1AF7" w:rsidRPr="00635872">
        <w:t>došlo</w:t>
      </w:r>
      <w:r w:rsidR="009E1AF7">
        <w:t xml:space="preserve"> k  zmenám v orgánoch neziskovej organizácie.</w:t>
      </w:r>
    </w:p>
    <w:p w:rsidR="009E1AF7" w:rsidRDefault="009E1AF7" w:rsidP="009E1AF7">
      <w:pPr>
        <w:pStyle w:val="Nadpis2"/>
      </w:pPr>
      <w:r>
        <w:t>Správna rada</w:t>
      </w:r>
    </w:p>
    <w:p w:rsidR="009E1AF7" w:rsidRDefault="009E1AF7" w:rsidP="009E1AF7">
      <w:pPr>
        <w:pStyle w:val="Odsekzoznamu"/>
        <w:numPr>
          <w:ilvl w:val="0"/>
          <w:numId w:val="2"/>
        </w:numPr>
        <w:spacing w:after="200" w:line="276" w:lineRule="auto"/>
      </w:pPr>
      <w:r>
        <w:t>Ing. Juraj Ondriš - predseda</w:t>
      </w:r>
    </w:p>
    <w:p w:rsidR="009E1AF7" w:rsidRDefault="009E1AF7" w:rsidP="009E1AF7">
      <w:pPr>
        <w:pStyle w:val="Odsekzoznamu"/>
        <w:numPr>
          <w:ilvl w:val="0"/>
          <w:numId w:val="2"/>
        </w:numPr>
        <w:spacing w:after="200" w:line="276" w:lineRule="auto"/>
      </w:pPr>
      <w:r>
        <w:t>Mgr. Jaroslav Ferianec</w:t>
      </w:r>
    </w:p>
    <w:p w:rsidR="009E1AF7" w:rsidRDefault="009E1AF7" w:rsidP="009E1AF7">
      <w:pPr>
        <w:pStyle w:val="Odsekzoznamu"/>
        <w:numPr>
          <w:ilvl w:val="0"/>
          <w:numId w:val="2"/>
        </w:numPr>
        <w:spacing w:after="200" w:line="276" w:lineRule="auto"/>
      </w:pPr>
      <w:r>
        <w:t>Mgr. Martin Holák</w:t>
      </w:r>
    </w:p>
    <w:p w:rsidR="009E1AF7" w:rsidRDefault="009E1AF7" w:rsidP="009E1AF7">
      <w:pPr>
        <w:pStyle w:val="Odsekzoznamu"/>
        <w:numPr>
          <w:ilvl w:val="0"/>
          <w:numId w:val="2"/>
        </w:numPr>
        <w:spacing w:after="200" w:line="276" w:lineRule="auto"/>
      </w:pPr>
      <w:r>
        <w:t>Mgr. Rastislav Pavlík</w:t>
      </w:r>
    </w:p>
    <w:p w:rsidR="009E1AF7" w:rsidRDefault="009E1AF7" w:rsidP="009E1AF7">
      <w:pPr>
        <w:pStyle w:val="Odsekzoznamu"/>
        <w:numPr>
          <w:ilvl w:val="0"/>
          <w:numId w:val="2"/>
        </w:numPr>
        <w:spacing w:after="200" w:line="276" w:lineRule="auto"/>
      </w:pPr>
      <w:r>
        <w:t>Mgr. Boris Strečanský</w:t>
      </w:r>
    </w:p>
    <w:p w:rsidR="009E1AF7" w:rsidRDefault="009E1AF7" w:rsidP="009E1AF7">
      <w:pPr>
        <w:pStyle w:val="Nadpis2"/>
      </w:pPr>
      <w:r w:rsidRPr="00E60656">
        <w:t>Dozorná rada</w:t>
      </w:r>
    </w:p>
    <w:p w:rsidR="009E1AF7" w:rsidRDefault="009E1AF7" w:rsidP="009E1AF7">
      <w:pPr>
        <w:pStyle w:val="Odsekzoznamu"/>
        <w:numPr>
          <w:ilvl w:val="0"/>
          <w:numId w:val="3"/>
        </w:numPr>
        <w:spacing w:after="200" w:line="276" w:lineRule="auto"/>
      </w:pPr>
      <w:r>
        <w:t>Ing. Karol Pipta - predseda</w:t>
      </w:r>
    </w:p>
    <w:p w:rsidR="009E1AF7" w:rsidRDefault="009E1AF7" w:rsidP="009E1AF7">
      <w:pPr>
        <w:pStyle w:val="Odsekzoznamu"/>
        <w:numPr>
          <w:ilvl w:val="0"/>
          <w:numId w:val="3"/>
        </w:numPr>
        <w:spacing w:after="200" w:line="276" w:lineRule="auto"/>
      </w:pPr>
      <w:r>
        <w:t>Mgr. Zuzana Thullnerová</w:t>
      </w:r>
    </w:p>
    <w:p w:rsidR="009E1AF7" w:rsidRDefault="009E1AF7" w:rsidP="009E1AF7">
      <w:pPr>
        <w:pStyle w:val="Odsekzoznamu"/>
        <w:numPr>
          <w:ilvl w:val="0"/>
          <w:numId w:val="3"/>
        </w:numPr>
        <w:spacing w:after="200" w:line="276" w:lineRule="auto"/>
      </w:pPr>
      <w:r>
        <w:t>Mgr. Marcel Zajac</w:t>
      </w:r>
    </w:p>
    <w:p w:rsidR="009E1AF7" w:rsidRDefault="009E1AF7" w:rsidP="009E1AF7">
      <w:pPr>
        <w:pStyle w:val="Nadpis2"/>
      </w:pPr>
      <w:r w:rsidRPr="00E60656">
        <w:t>Riaditeľ</w:t>
      </w:r>
    </w:p>
    <w:p w:rsidR="009E1AF7" w:rsidRDefault="00D077D6" w:rsidP="009E1AF7">
      <w:r w:rsidRPr="00635872">
        <w:t>PhDr. Roland Kyška</w:t>
      </w:r>
    </w:p>
    <w:p w:rsidR="0094239A" w:rsidRDefault="0094239A" w:rsidP="009E1AF7"/>
    <w:p w:rsidR="002D31FF" w:rsidRDefault="002D31FF" w:rsidP="002D31FF">
      <w:pPr>
        <w:pStyle w:val="Nadpis1"/>
        <w:rPr>
          <w:highlight w:val="yellow"/>
        </w:rPr>
      </w:pPr>
    </w:p>
    <w:p w:rsidR="002D31FF" w:rsidRDefault="002D31FF" w:rsidP="002D31FF">
      <w:pPr>
        <w:pStyle w:val="Nadpis1"/>
        <w:rPr>
          <w:highlight w:val="yellow"/>
        </w:rPr>
      </w:pPr>
    </w:p>
    <w:p w:rsidR="002D31FF" w:rsidRDefault="002D31FF" w:rsidP="002D31FF">
      <w:pPr>
        <w:pStyle w:val="Nadpis1"/>
        <w:rPr>
          <w:highlight w:val="yellow"/>
        </w:rPr>
      </w:pPr>
    </w:p>
    <w:p w:rsidR="00AC4359" w:rsidRDefault="00AC4359" w:rsidP="00AC4359">
      <w:pPr>
        <w:rPr>
          <w:highlight w:val="yellow"/>
        </w:rPr>
      </w:pPr>
    </w:p>
    <w:p w:rsidR="006830A5" w:rsidRPr="00AC4359" w:rsidRDefault="006830A5" w:rsidP="00AC4359">
      <w:pPr>
        <w:rPr>
          <w:highlight w:val="yellow"/>
        </w:rPr>
      </w:pPr>
    </w:p>
    <w:p w:rsidR="002D31FF" w:rsidRPr="002D31FF" w:rsidRDefault="0094239A" w:rsidP="002D31FF">
      <w:pPr>
        <w:pStyle w:val="Nadpis1"/>
      </w:pPr>
      <w:r w:rsidRPr="00856384">
        <w:t>Finančná správa za rok 201</w:t>
      </w:r>
      <w:r w:rsidR="00635872" w:rsidRPr="00856384">
        <w:t>5</w:t>
      </w:r>
    </w:p>
    <w:p w:rsidR="0094239A" w:rsidRDefault="0094239A" w:rsidP="0094239A">
      <w:pPr>
        <w:pStyle w:val="Nadpis2"/>
      </w:pPr>
      <w:r w:rsidRPr="00856384">
        <w:t>Súvaha</w:t>
      </w:r>
    </w:p>
    <w:p w:rsidR="0076251E" w:rsidRDefault="002D31FF" w:rsidP="0076251E">
      <w:pPr>
        <w:rPr>
          <w:highlight w:val="yellow"/>
        </w:rPr>
      </w:pPr>
      <w:r>
        <w:rPr>
          <w:noProof/>
          <w:lang w:eastAsia="sk-SK"/>
        </w:rPr>
        <w:drawing>
          <wp:inline distT="0" distB="0" distL="0" distR="0">
            <wp:extent cx="5760720" cy="8136059"/>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8136059"/>
                    </a:xfrm>
                    <a:prstGeom prst="rect">
                      <a:avLst/>
                    </a:prstGeom>
                    <a:noFill/>
                    <a:ln>
                      <a:noFill/>
                    </a:ln>
                  </pic:spPr>
                </pic:pic>
              </a:graphicData>
            </a:graphic>
          </wp:inline>
        </w:drawing>
      </w:r>
    </w:p>
    <w:p w:rsidR="002D31FF" w:rsidRDefault="002D31FF" w:rsidP="0076251E">
      <w:pPr>
        <w:rPr>
          <w:highlight w:val="yellow"/>
        </w:rPr>
      </w:pPr>
      <w:r>
        <w:rPr>
          <w:noProof/>
          <w:lang w:eastAsia="sk-SK"/>
        </w:rPr>
        <w:drawing>
          <wp:inline distT="0" distB="0" distL="0" distR="0">
            <wp:extent cx="5760720" cy="8136059"/>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8136059"/>
                    </a:xfrm>
                    <a:prstGeom prst="rect">
                      <a:avLst/>
                    </a:prstGeom>
                    <a:noFill/>
                    <a:ln>
                      <a:noFill/>
                    </a:ln>
                  </pic:spPr>
                </pic:pic>
              </a:graphicData>
            </a:graphic>
          </wp:inline>
        </w:drawing>
      </w:r>
    </w:p>
    <w:p w:rsidR="002D31FF" w:rsidRDefault="002D31FF" w:rsidP="0076251E">
      <w:pPr>
        <w:rPr>
          <w:highlight w:val="yellow"/>
        </w:rPr>
      </w:pPr>
      <w:r>
        <w:rPr>
          <w:noProof/>
          <w:lang w:eastAsia="sk-SK"/>
        </w:rPr>
        <w:drawing>
          <wp:inline distT="0" distB="0" distL="0" distR="0">
            <wp:extent cx="5760720" cy="8136059"/>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8136059"/>
                    </a:xfrm>
                    <a:prstGeom prst="rect">
                      <a:avLst/>
                    </a:prstGeom>
                    <a:noFill/>
                    <a:ln>
                      <a:noFill/>
                    </a:ln>
                  </pic:spPr>
                </pic:pic>
              </a:graphicData>
            </a:graphic>
          </wp:inline>
        </w:drawing>
      </w:r>
    </w:p>
    <w:p w:rsidR="0076251E" w:rsidRDefault="0076251E" w:rsidP="0076251E">
      <w:pPr>
        <w:rPr>
          <w:highlight w:val="yellow"/>
        </w:rPr>
      </w:pPr>
    </w:p>
    <w:p w:rsidR="002D31FF" w:rsidRDefault="002D31FF" w:rsidP="0076251E">
      <w:pPr>
        <w:rPr>
          <w:highlight w:val="yellow"/>
        </w:rPr>
      </w:pPr>
    </w:p>
    <w:p w:rsidR="0076251E" w:rsidRDefault="008D6504" w:rsidP="0076251E">
      <w:pPr>
        <w:rPr>
          <w:highlight w:val="yellow"/>
        </w:rPr>
      </w:pPr>
      <w:r w:rsidRPr="0076251E">
        <w:rPr>
          <w:rStyle w:val="Nadpis2Char"/>
        </w:rPr>
        <w:t>Výkaz ziskov a strát</w:t>
      </w:r>
    </w:p>
    <w:p w:rsidR="0076251E" w:rsidRDefault="002D31FF" w:rsidP="0076251E">
      <w:pPr>
        <w:rPr>
          <w:highlight w:val="yellow"/>
        </w:rPr>
      </w:pPr>
      <w:r>
        <w:rPr>
          <w:noProof/>
          <w:lang w:eastAsia="sk-SK"/>
        </w:rPr>
        <w:drawing>
          <wp:inline distT="0" distB="0" distL="0" distR="0" wp14:anchorId="38CF26EA" wp14:editId="7E14BE50">
            <wp:extent cx="5760720" cy="8135620"/>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0720" cy="8135620"/>
                    </a:xfrm>
                    <a:prstGeom prst="rect">
                      <a:avLst/>
                    </a:prstGeom>
                    <a:noFill/>
                    <a:ln>
                      <a:noFill/>
                    </a:ln>
                  </pic:spPr>
                </pic:pic>
              </a:graphicData>
            </a:graphic>
          </wp:inline>
        </w:drawing>
      </w:r>
    </w:p>
    <w:p w:rsidR="002D31FF" w:rsidRDefault="002D31FF" w:rsidP="0076251E">
      <w:pPr>
        <w:rPr>
          <w:highlight w:val="yellow"/>
        </w:rPr>
      </w:pPr>
      <w:r>
        <w:rPr>
          <w:noProof/>
          <w:lang w:eastAsia="sk-SK"/>
        </w:rPr>
        <w:drawing>
          <wp:inline distT="0" distB="0" distL="0" distR="0">
            <wp:extent cx="5760720" cy="8136059"/>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8136059"/>
                    </a:xfrm>
                    <a:prstGeom prst="rect">
                      <a:avLst/>
                    </a:prstGeom>
                    <a:noFill/>
                    <a:ln>
                      <a:noFill/>
                    </a:ln>
                  </pic:spPr>
                </pic:pic>
              </a:graphicData>
            </a:graphic>
          </wp:inline>
        </w:drawing>
      </w:r>
    </w:p>
    <w:p w:rsidR="002D31FF" w:rsidRDefault="002D31FF" w:rsidP="0076251E">
      <w:pPr>
        <w:rPr>
          <w:highlight w:val="yellow"/>
        </w:rPr>
      </w:pPr>
    </w:p>
    <w:p w:rsidR="0076251E" w:rsidRDefault="0076251E" w:rsidP="0076251E">
      <w:pPr>
        <w:rPr>
          <w:highlight w:val="yellow"/>
        </w:rPr>
      </w:pPr>
    </w:p>
    <w:p w:rsidR="0094239A" w:rsidRDefault="00011D9C" w:rsidP="0094239A">
      <w:pPr>
        <w:pStyle w:val="Nadpis2"/>
      </w:pPr>
      <w:r w:rsidRPr="008D6504">
        <w:t>POZNÁMKY K ÚČTOVNEJ ZÁVIERKE</w:t>
      </w:r>
    </w:p>
    <w:p w:rsidR="00011D9C" w:rsidRDefault="00011D9C" w:rsidP="008D6504">
      <w:pPr>
        <w:rPr>
          <w:highlight w:val="yellow"/>
        </w:rPr>
      </w:pPr>
    </w:p>
    <w:p w:rsidR="00011D9C" w:rsidRPr="00011D9C" w:rsidRDefault="00011D9C" w:rsidP="00011D9C">
      <w:pPr>
        <w:pStyle w:val="Nadpis2"/>
        <w:rPr>
          <w:sz w:val="22"/>
          <w:szCs w:val="22"/>
        </w:rPr>
      </w:pPr>
      <w:bookmarkStart w:id="0" w:name="_Toc530739894"/>
      <w:r w:rsidRPr="00011D9C">
        <w:rPr>
          <w:sz w:val="22"/>
          <w:szCs w:val="22"/>
        </w:rPr>
        <w:t>A . ZÁKLADNÉ INFORMÁCIE O ÚČTOVNEJ JEDNOTKE</w:t>
      </w:r>
      <w:bookmarkEnd w:id="0"/>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Nadpis2"/>
        <w:keepNext/>
        <w:numPr>
          <w:ilvl w:val="0"/>
          <w:numId w:val="5"/>
        </w:numPr>
        <w:spacing w:before="0" w:after="0" w:line="240" w:lineRule="auto"/>
        <w:rPr>
          <w:sz w:val="22"/>
          <w:szCs w:val="22"/>
        </w:rPr>
      </w:pPr>
      <w:bookmarkStart w:id="1" w:name="_Toc530739895"/>
      <w:r w:rsidRPr="00011D9C">
        <w:rPr>
          <w:sz w:val="22"/>
          <w:szCs w:val="22"/>
        </w:rPr>
        <w:t>Názov právnických osôb, ktoré sú zakladateľmi účtovnej jednotky, dátum jej vzniku:</w:t>
      </w:r>
      <w:bookmarkEnd w:id="1"/>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Zakladatelia:</w:t>
      </w:r>
      <w:r w:rsidRPr="00011D9C">
        <w:rPr>
          <w:rFonts w:asciiTheme="minorHAnsi" w:hAnsiTheme="minorHAnsi"/>
          <w:sz w:val="22"/>
          <w:szCs w:val="22"/>
        </w:rPr>
        <w:tab/>
        <w:t>SK-NIC, a.s., Borská 6, 841 04  Bratislava</w:t>
      </w: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ab/>
      </w:r>
      <w:r w:rsidRPr="00011D9C">
        <w:rPr>
          <w:rFonts w:asciiTheme="minorHAnsi" w:hAnsiTheme="minorHAnsi"/>
          <w:sz w:val="22"/>
          <w:szCs w:val="22"/>
        </w:rPr>
        <w:tab/>
      </w:r>
      <w:r w:rsidRPr="00011D9C">
        <w:rPr>
          <w:rFonts w:asciiTheme="minorHAnsi" w:hAnsiTheme="minorHAnsi"/>
          <w:sz w:val="22"/>
          <w:szCs w:val="22"/>
        </w:rPr>
        <w:tab/>
        <w:t>Centrum pre filantropiu n.o., Kozia 11, 811 03  Bratislava</w:t>
      </w: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Nezisková organizácia ĽUDIA ĽUĎOM, n.o. bola dňa 09. 09. 2009 zapísaná do Registra neziskových organizácií poskytujúcich všeobecne prospešné služby vedený Obvodným úradom Bratislava pod registračným číslom OVVS-23907/287/2009-NO. Identifikačné číslo organizácie (IČO) je 42 166 683.</w:t>
      </w: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Nadpis2"/>
        <w:keepNext/>
        <w:numPr>
          <w:ilvl w:val="0"/>
          <w:numId w:val="5"/>
        </w:numPr>
        <w:spacing w:before="0" w:after="0" w:line="240" w:lineRule="auto"/>
        <w:rPr>
          <w:sz w:val="22"/>
          <w:szCs w:val="22"/>
        </w:rPr>
      </w:pPr>
      <w:r w:rsidRPr="00011D9C">
        <w:rPr>
          <w:sz w:val="22"/>
          <w:szCs w:val="22"/>
        </w:rPr>
        <w:t>Informácie o orgánoch účtovnej jednotky</w:t>
      </w:r>
    </w:p>
    <w:p w:rsidR="00011D9C" w:rsidRPr="00011D9C" w:rsidRDefault="00011D9C" w:rsidP="00011D9C"/>
    <w:p w:rsidR="00011D9C" w:rsidRPr="00011D9C" w:rsidRDefault="00011D9C" w:rsidP="00011D9C">
      <w:pPr>
        <w:pStyle w:val="Bezriadkovania"/>
        <w:ind w:firstLine="708"/>
      </w:pPr>
      <w:r>
        <w:t xml:space="preserve">Štatutárny orgán: </w:t>
      </w:r>
      <w:r>
        <w:tab/>
      </w:r>
      <w:r w:rsidRPr="00011D9C">
        <w:t>riaditeľ</w:t>
      </w:r>
    </w:p>
    <w:p w:rsidR="00011D9C" w:rsidRPr="00011D9C" w:rsidRDefault="00011D9C" w:rsidP="00011D9C">
      <w:pPr>
        <w:pStyle w:val="Bezriadkovania"/>
      </w:pPr>
      <w:r w:rsidRPr="00011D9C">
        <w:tab/>
      </w:r>
      <w:r w:rsidRPr="00011D9C">
        <w:tab/>
      </w:r>
      <w:r w:rsidRPr="00011D9C">
        <w:tab/>
      </w:r>
      <w:r>
        <w:tab/>
      </w:r>
      <w:r w:rsidRPr="00011D9C">
        <w:t>PhDr. Roland Kyška, Bratislava (od 28.08.2014)</w:t>
      </w:r>
    </w:p>
    <w:p w:rsidR="00011D9C" w:rsidRPr="00011D9C" w:rsidRDefault="00011D9C" w:rsidP="00011D9C">
      <w:pPr>
        <w:pStyle w:val="Bezriadkovania"/>
      </w:pPr>
    </w:p>
    <w:p w:rsidR="00011D9C" w:rsidRPr="00011D9C" w:rsidRDefault="00011D9C" w:rsidP="00011D9C">
      <w:pPr>
        <w:pStyle w:val="Bezriadkovania"/>
        <w:ind w:firstLine="708"/>
      </w:pPr>
      <w:r w:rsidRPr="00011D9C">
        <w:t>Dozorná rada:</w:t>
      </w:r>
      <w:r w:rsidRPr="00011D9C">
        <w:tab/>
      </w:r>
      <w:r>
        <w:tab/>
      </w:r>
      <w:r w:rsidRPr="00011D9C">
        <w:t xml:space="preserve">Ing. Karol </w:t>
      </w:r>
      <w:proofErr w:type="spellStart"/>
      <w:r w:rsidRPr="00011D9C">
        <w:t>Pipta</w:t>
      </w:r>
      <w:proofErr w:type="spellEnd"/>
      <w:r w:rsidRPr="00011D9C">
        <w:t xml:space="preserve"> – predseda</w:t>
      </w:r>
    </w:p>
    <w:p w:rsidR="00011D9C" w:rsidRPr="00011D9C" w:rsidRDefault="00011D9C" w:rsidP="00011D9C">
      <w:pPr>
        <w:pStyle w:val="Bezriadkovania"/>
      </w:pPr>
      <w:r w:rsidRPr="00011D9C">
        <w:tab/>
      </w:r>
      <w:r w:rsidRPr="00011D9C">
        <w:tab/>
      </w:r>
      <w:r w:rsidRPr="00011D9C">
        <w:tab/>
      </w:r>
      <w:r>
        <w:tab/>
      </w:r>
      <w:r w:rsidRPr="00011D9C">
        <w:t xml:space="preserve">Mgr. Zuzana </w:t>
      </w:r>
      <w:proofErr w:type="spellStart"/>
      <w:r w:rsidRPr="00011D9C">
        <w:t>Thullnerová</w:t>
      </w:r>
      <w:proofErr w:type="spellEnd"/>
    </w:p>
    <w:p w:rsidR="00011D9C" w:rsidRPr="00011D9C" w:rsidRDefault="00011D9C" w:rsidP="00011D9C">
      <w:pPr>
        <w:pStyle w:val="Bezriadkovania"/>
      </w:pPr>
      <w:r w:rsidRPr="00011D9C">
        <w:tab/>
      </w:r>
      <w:r w:rsidRPr="00011D9C">
        <w:tab/>
      </w:r>
      <w:r w:rsidRPr="00011D9C">
        <w:tab/>
      </w:r>
      <w:r>
        <w:tab/>
      </w:r>
      <w:r w:rsidRPr="00011D9C">
        <w:t>Mgr. Marcel Zajac</w:t>
      </w:r>
    </w:p>
    <w:p w:rsidR="00011D9C" w:rsidRPr="00011D9C" w:rsidRDefault="00011D9C" w:rsidP="00011D9C">
      <w:pPr>
        <w:pStyle w:val="Bezriadkovania"/>
      </w:pPr>
    </w:p>
    <w:p w:rsidR="00011D9C" w:rsidRPr="00011D9C" w:rsidRDefault="00011D9C" w:rsidP="00011D9C">
      <w:pPr>
        <w:pStyle w:val="Bezriadkovania"/>
        <w:ind w:firstLine="708"/>
      </w:pPr>
      <w:r w:rsidRPr="00011D9C">
        <w:t>Správna rada:</w:t>
      </w:r>
      <w:r w:rsidRPr="00011D9C">
        <w:tab/>
      </w:r>
      <w:r>
        <w:tab/>
      </w:r>
      <w:r w:rsidRPr="00011D9C">
        <w:t xml:space="preserve">Ing. Juraj </w:t>
      </w:r>
      <w:proofErr w:type="spellStart"/>
      <w:r w:rsidRPr="00011D9C">
        <w:t>Ondriš</w:t>
      </w:r>
      <w:proofErr w:type="spellEnd"/>
      <w:r w:rsidRPr="00011D9C">
        <w:t xml:space="preserve"> – predseda</w:t>
      </w:r>
    </w:p>
    <w:p w:rsidR="00011D9C" w:rsidRPr="00011D9C" w:rsidRDefault="00011D9C" w:rsidP="00011D9C">
      <w:pPr>
        <w:pStyle w:val="Bezriadkovania"/>
      </w:pPr>
      <w:r w:rsidRPr="00011D9C">
        <w:tab/>
      </w:r>
      <w:r w:rsidRPr="00011D9C">
        <w:tab/>
      </w:r>
      <w:r w:rsidRPr="00011D9C">
        <w:tab/>
      </w:r>
      <w:r>
        <w:tab/>
      </w:r>
      <w:r w:rsidRPr="00011D9C">
        <w:t>Ing. Jaroslav Ferianec</w:t>
      </w:r>
    </w:p>
    <w:p w:rsidR="00011D9C" w:rsidRPr="00011D9C" w:rsidRDefault="00011D9C" w:rsidP="00011D9C">
      <w:pPr>
        <w:pStyle w:val="Bezriadkovania"/>
      </w:pPr>
      <w:r w:rsidRPr="00011D9C">
        <w:tab/>
      </w:r>
      <w:r w:rsidRPr="00011D9C">
        <w:tab/>
      </w:r>
      <w:r w:rsidRPr="00011D9C">
        <w:tab/>
      </w:r>
      <w:r>
        <w:tab/>
      </w:r>
      <w:r w:rsidRPr="00011D9C">
        <w:t xml:space="preserve">Mgr. Martin </w:t>
      </w:r>
      <w:proofErr w:type="spellStart"/>
      <w:r w:rsidRPr="00011D9C">
        <w:t>Holák</w:t>
      </w:r>
      <w:proofErr w:type="spellEnd"/>
    </w:p>
    <w:p w:rsidR="00011D9C" w:rsidRPr="00011D9C" w:rsidRDefault="00011D9C" w:rsidP="00011D9C">
      <w:pPr>
        <w:pStyle w:val="Bezriadkovania"/>
      </w:pPr>
      <w:r w:rsidRPr="00011D9C">
        <w:tab/>
      </w:r>
      <w:r w:rsidRPr="00011D9C">
        <w:tab/>
      </w:r>
      <w:r w:rsidRPr="00011D9C">
        <w:tab/>
      </w:r>
      <w:r>
        <w:tab/>
      </w:r>
      <w:r w:rsidRPr="00011D9C">
        <w:t>Mgr. Rastislav Pavlík</w:t>
      </w:r>
    </w:p>
    <w:p w:rsidR="00011D9C" w:rsidRPr="00011D9C" w:rsidRDefault="00011D9C" w:rsidP="00011D9C">
      <w:pPr>
        <w:pStyle w:val="Bezriadkovania"/>
      </w:pPr>
      <w:r w:rsidRPr="00011D9C">
        <w:tab/>
      </w:r>
      <w:r w:rsidRPr="00011D9C">
        <w:tab/>
      </w:r>
      <w:r w:rsidRPr="00011D9C">
        <w:tab/>
      </w:r>
      <w:r>
        <w:tab/>
      </w:r>
      <w:r w:rsidRPr="00011D9C">
        <w:t>Mgr. Boris Strečanský</w:t>
      </w:r>
    </w:p>
    <w:p w:rsidR="00011D9C" w:rsidRPr="00011D9C" w:rsidRDefault="00011D9C" w:rsidP="00011D9C"/>
    <w:p w:rsidR="00011D9C" w:rsidRPr="00011D9C" w:rsidRDefault="00011D9C" w:rsidP="00011D9C">
      <w:pPr>
        <w:pStyle w:val="Nadpis2"/>
        <w:keepNext/>
        <w:numPr>
          <w:ilvl w:val="0"/>
          <w:numId w:val="5"/>
        </w:numPr>
        <w:spacing w:before="0" w:after="0" w:line="240" w:lineRule="auto"/>
        <w:rPr>
          <w:sz w:val="22"/>
          <w:szCs w:val="22"/>
        </w:rPr>
      </w:pPr>
      <w:bookmarkStart w:id="2" w:name="_Toc530739896"/>
      <w:r w:rsidRPr="00011D9C">
        <w:rPr>
          <w:sz w:val="22"/>
          <w:szCs w:val="22"/>
        </w:rPr>
        <w:t>Opis činnosti, na účel ktorej bola účtovná jednotka zriadená:</w:t>
      </w:r>
      <w:bookmarkEnd w:id="2"/>
    </w:p>
    <w:p w:rsidR="00011D9C" w:rsidRPr="00011D9C" w:rsidRDefault="00011D9C" w:rsidP="00011D9C"/>
    <w:p w:rsidR="00011D9C" w:rsidRPr="00011D9C" w:rsidRDefault="00011D9C" w:rsidP="00011D9C">
      <w:pPr>
        <w:pStyle w:val="Default"/>
        <w:ind w:left="426"/>
        <w:rPr>
          <w:rFonts w:asciiTheme="minorHAnsi" w:hAnsiTheme="minorHAnsi" w:cs="Times New Roman"/>
          <w:color w:val="auto"/>
          <w:sz w:val="22"/>
          <w:szCs w:val="22"/>
          <w:lang w:eastAsia="en-US"/>
        </w:rPr>
      </w:pPr>
      <w:r w:rsidRPr="00011D9C">
        <w:rPr>
          <w:rFonts w:asciiTheme="minorHAnsi" w:hAnsiTheme="minorHAnsi" w:cs="Times New Roman"/>
          <w:color w:val="auto"/>
          <w:sz w:val="22"/>
          <w:szCs w:val="22"/>
          <w:lang w:eastAsia="en-US"/>
        </w:rPr>
        <w:t xml:space="preserve">Nezisková organizácia poskytuje všeobecne prospešné služby v oblasti výskumu, vývoja, vedecko-technických služieb a informačných služieb prostredníctvom prevádzkovania internetového portálu zameraného na propagáciu dobročinnosti a darcovstva v záujme internetovej komunity: </w:t>
      </w:r>
    </w:p>
    <w:p w:rsidR="00011D9C" w:rsidRPr="00011D9C" w:rsidRDefault="00011D9C" w:rsidP="00011D9C">
      <w:pPr>
        <w:pStyle w:val="Default"/>
        <w:ind w:left="426"/>
        <w:rPr>
          <w:rFonts w:asciiTheme="minorHAnsi" w:hAnsiTheme="minorHAnsi" w:cs="Times New Roman"/>
          <w:color w:val="auto"/>
          <w:sz w:val="22"/>
          <w:szCs w:val="22"/>
          <w:lang w:eastAsia="en-US"/>
        </w:rPr>
      </w:pPr>
    </w:p>
    <w:p w:rsidR="00011D9C" w:rsidRPr="00011D9C" w:rsidRDefault="00011D9C" w:rsidP="00011D9C">
      <w:pPr>
        <w:pStyle w:val="Default"/>
        <w:spacing w:after="78"/>
        <w:ind w:left="426"/>
        <w:rPr>
          <w:rFonts w:asciiTheme="minorHAnsi" w:hAnsiTheme="minorHAnsi" w:cs="Times New Roman"/>
          <w:color w:val="auto"/>
          <w:sz w:val="22"/>
          <w:szCs w:val="22"/>
          <w:lang w:eastAsia="en-US"/>
        </w:rPr>
      </w:pPr>
      <w:r w:rsidRPr="00011D9C">
        <w:rPr>
          <w:rFonts w:asciiTheme="minorHAnsi" w:hAnsiTheme="minorHAnsi" w:cs="Times New Roman"/>
          <w:color w:val="auto"/>
          <w:sz w:val="22"/>
          <w:szCs w:val="22"/>
          <w:lang w:eastAsia="en-US"/>
        </w:rPr>
        <w:t xml:space="preserve">- jej cieľom bude posilniť informovanosť občanov o tomto internetovom portáli, o dobročinnosti a darcovstve prostredníctvom internetu a drobných tlačovín a ďalšie služby v oblasti tvorby, rozvoja, ochrany, obnovy a prezentácie duchovných a kultúrnych hodnôt: </w:t>
      </w:r>
    </w:p>
    <w:tbl>
      <w:tblPr>
        <w:tblW w:w="4985" w:type="pct"/>
        <w:tblCellSpacing w:w="15" w:type="dxa"/>
        <w:tblCellMar>
          <w:top w:w="15" w:type="dxa"/>
          <w:left w:w="15" w:type="dxa"/>
          <w:bottom w:w="15" w:type="dxa"/>
          <w:right w:w="15" w:type="dxa"/>
        </w:tblCellMar>
        <w:tblLook w:val="0000" w:firstRow="0" w:lastRow="0" w:firstColumn="0" w:lastColumn="0" w:noHBand="0" w:noVBand="0"/>
      </w:tblPr>
      <w:tblGrid>
        <w:gridCol w:w="9135"/>
      </w:tblGrid>
      <w:tr w:rsidR="00011D9C" w:rsidRPr="00011D9C" w:rsidTr="009126AB">
        <w:trPr>
          <w:trHeight w:val="168"/>
          <w:tblCellSpacing w:w="15" w:type="dxa"/>
        </w:trPr>
        <w:tc>
          <w:tcPr>
            <w:tcW w:w="4968" w:type="pct"/>
            <w:vAlign w:val="center"/>
          </w:tcPr>
          <w:p w:rsidR="00011D9C" w:rsidRPr="00011D9C" w:rsidRDefault="00011D9C" w:rsidP="009126AB">
            <w:pPr>
              <w:ind w:left="426"/>
              <w:rPr>
                <w:color w:val="000000"/>
              </w:rPr>
            </w:pPr>
            <w:r w:rsidRPr="00011D9C">
              <w:t xml:space="preserve">- organizovanie seminárov, školení, konferencií a prezentácií. </w:t>
            </w:r>
          </w:p>
        </w:tc>
      </w:tr>
      <w:tr w:rsidR="00011D9C" w:rsidRPr="00011D9C" w:rsidTr="009126AB">
        <w:trPr>
          <w:trHeight w:val="168"/>
          <w:tblCellSpacing w:w="15" w:type="dxa"/>
        </w:trPr>
        <w:tc>
          <w:tcPr>
            <w:tcW w:w="4968" w:type="pct"/>
            <w:vAlign w:val="center"/>
          </w:tcPr>
          <w:p w:rsidR="00011D9C" w:rsidRPr="00011D9C" w:rsidRDefault="00011D9C" w:rsidP="009126AB">
            <w:pPr>
              <w:rPr>
                <w:color w:val="000000"/>
              </w:rPr>
            </w:pPr>
          </w:p>
        </w:tc>
      </w:tr>
    </w:tbl>
    <w:p w:rsidR="00011D9C" w:rsidRPr="00011D9C" w:rsidRDefault="00011D9C" w:rsidP="00011D9C">
      <w:pPr>
        <w:pStyle w:val="Nadpis2"/>
        <w:keepNext/>
        <w:numPr>
          <w:ilvl w:val="0"/>
          <w:numId w:val="5"/>
        </w:numPr>
        <w:spacing w:before="0" w:after="0" w:line="240" w:lineRule="auto"/>
        <w:rPr>
          <w:sz w:val="22"/>
          <w:szCs w:val="22"/>
        </w:rPr>
      </w:pPr>
      <w:r w:rsidRPr="00011D9C">
        <w:rPr>
          <w:sz w:val="22"/>
          <w:szCs w:val="22"/>
        </w:rPr>
        <w:t xml:space="preserve">Počet zamestnancov </w:t>
      </w: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Údaje o počte zamestnancov za bežné účtovné obdobie a bezprostredne predchádzajúce účtovné obdobie sú uvedené v nasledujúcom prehľade:</w:t>
      </w:r>
    </w:p>
    <w:p w:rsidR="00011D9C" w:rsidRPr="00011D9C" w:rsidRDefault="00011D9C" w:rsidP="00011D9C">
      <w:pPr>
        <w:pStyle w:val="Zkladntext"/>
        <w:rPr>
          <w:rFonts w:asciiTheme="minorHAnsi" w:hAnsiTheme="minorHAnsi"/>
          <w:sz w:val="22"/>
          <w:szCs w:val="22"/>
        </w:rPr>
      </w:pPr>
    </w:p>
    <w:bookmarkStart w:id="3" w:name="_MON_1399793444"/>
    <w:bookmarkStart w:id="4" w:name="_MON_1490167087"/>
    <w:bookmarkStart w:id="5" w:name="_MON_1490167171"/>
    <w:bookmarkStart w:id="6" w:name="_MON_1490169993"/>
    <w:bookmarkEnd w:id="3"/>
    <w:bookmarkEnd w:id="4"/>
    <w:bookmarkEnd w:id="5"/>
    <w:bookmarkEnd w:id="6"/>
    <w:p w:rsidR="00011D9C" w:rsidRPr="00011D9C" w:rsidRDefault="00011D9C" w:rsidP="00011D9C">
      <w:pPr>
        <w:pStyle w:val="Zkladntext"/>
        <w:rPr>
          <w:rFonts w:asciiTheme="minorHAnsi" w:hAnsiTheme="minorHAnsi"/>
          <w:sz w:val="22"/>
          <w:szCs w:val="22"/>
          <w:lang w:val="sk-SK"/>
        </w:rPr>
      </w:pPr>
      <w:r w:rsidRPr="00011D9C">
        <w:rPr>
          <w:rFonts w:asciiTheme="minorHAnsi" w:hAnsiTheme="minorHAnsi"/>
          <w:sz w:val="22"/>
          <w:szCs w:val="22"/>
        </w:rPr>
        <w:object w:dxaOrig="9179" w:dyaOrig="25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3" type="#_x0000_t75" style="width:441.4pt;height:137.1pt" o:ole="" o:preferrelative="f">
            <v:imagedata r:id="rId14" o:title=""/>
            <o:lock v:ext="edit" aspectratio="f"/>
          </v:shape>
          <o:OLEObject Type="Embed" ProgID="Excel.Sheet.12" ShapeID="_x0000_i1143" DrawAspect="Content" ObjectID="_1528788562" r:id="rId15"/>
        </w:object>
      </w:r>
    </w:p>
    <w:p w:rsidR="00011D9C" w:rsidRPr="00011D9C" w:rsidRDefault="00011D9C" w:rsidP="00011D9C">
      <w:pPr>
        <w:pStyle w:val="Nadpis2"/>
        <w:rPr>
          <w:sz w:val="22"/>
          <w:szCs w:val="22"/>
        </w:rPr>
      </w:pPr>
      <w:bookmarkStart w:id="7" w:name="_Toc530739899"/>
      <w:r w:rsidRPr="00011D9C">
        <w:rPr>
          <w:sz w:val="22"/>
          <w:szCs w:val="22"/>
        </w:rPr>
        <w:t xml:space="preserve">B. INFORMÁCIE O ÚČTOVNÝCH ZÁSADÁCH A ÚČTOVNÝCH METÓDACH  </w:t>
      </w:r>
      <w:bookmarkEnd w:id="7"/>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Pismenka"/>
        <w:numPr>
          <w:ilvl w:val="0"/>
          <w:numId w:val="6"/>
        </w:numPr>
        <w:ind w:left="426" w:hanging="426"/>
        <w:rPr>
          <w:rFonts w:asciiTheme="minorHAnsi" w:hAnsiTheme="minorHAnsi"/>
          <w:sz w:val="22"/>
          <w:szCs w:val="22"/>
        </w:rPr>
      </w:pPr>
      <w:r w:rsidRPr="00011D9C">
        <w:rPr>
          <w:rFonts w:asciiTheme="minorHAnsi" w:hAnsiTheme="minorHAnsi"/>
          <w:sz w:val="22"/>
          <w:szCs w:val="22"/>
        </w:rPr>
        <w:t>Východiská pre zostavenie účtovnej závierky</w:t>
      </w:r>
    </w:p>
    <w:p w:rsidR="00011D9C" w:rsidRPr="00011D9C" w:rsidRDefault="00011D9C" w:rsidP="00011D9C">
      <w:pPr>
        <w:pStyle w:val="Zkladntext"/>
        <w:ind w:left="450"/>
        <w:rPr>
          <w:rFonts w:asciiTheme="minorHAnsi" w:hAnsiTheme="minorHAnsi"/>
          <w:sz w:val="22"/>
          <w:szCs w:val="22"/>
        </w:rPr>
      </w:pPr>
      <w:r w:rsidRPr="00011D9C">
        <w:rPr>
          <w:rFonts w:asciiTheme="minorHAnsi" w:hAnsiTheme="minorHAnsi"/>
          <w:sz w:val="22"/>
          <w:szCs w:val="22"/>
        </w:rPr>
        <w:t>Účtovná závierka bola zostavená za predpokladu nepretržitého trvania Spoločnosti (</w:t>
      </w:r>
      <w:proofErr w:type="spellStart"/>
      <w:r w:rsidRPr="00011D9C">
        <w:rPr>
          <w:rFonts w:asciiTheme="minorHAnsi" w:hAnsiTheme="minorHAnsi"/>
          <w:sz w:val="22"/>
          <w:szCs w:val="22"/>
        </w:rPr>
        <w:t>going</w:t>
      </w:r>
      <w:proofErr w:type="spellEnd"/>
      <w:r w:rsidRPr="00011D9C">
        <w:rPr>
          <w:rFonts w:asciiTheme="minorHAnsi" w:hAnsiTheme="minorHAnsi"/>
          <w:sz w:val="22"/>
          <w:szCs w:val="22"/>
        </w:rPr>
        <w:t xml:space="preserve"> </w:t>
      </w:r>
      <w:proofErr w:type="spellStart"/>
      <w:r w:rsidRPr="00011D9C">
        <w:rPr>
          <w:rFonts w:asciiTheme="minorHAnsi" w:hAnsiTheme="minorHAnsi"/>
          <w:sz w:val="22"/>
          <w:szCs w:val="22"/>
        </w:rPr>
        <w:t>concern</w:t>
      </w:r>
      <w:proofErr w:type="spellEnd"/>
      <w:r w:rsidRPr="00011D9C">
        <w:rPr>
          <w:rFonts w:asciiTheme="minorHAnsi" w:hAnsiTheme="minorHAnsi"/>
          <w:sz w:val="22"/>
          <w:szCs w:val="22"/>
        </w:rPr>
        <w:t>).</w:t>
      </w:r>
    </w:p>
    <w:p w:rsidR="00011D9C" w:rsidRPr="00011D9C" w:rsidRDefault="00011D9C" w:rsidP="00011D9C">
      <w:pPr>
        <w:pStyle w:val="Zkladntext"/>
        <w:ind w:left="450"/>
        <w:rPr>
          <w:rFonts w:asciiTheme="minorHAnsi" w:hAnsiTheme="minorHAnsi"/>
          <w:sz w:val="22"/>
          <w:szCs w:val="22"/>
        </w:rPr>
      </w:pPr>
      <w:r w:rsidRPr="00011D9C">
        <w:rPr>
          <w:rFonts w:asciiTheme="minorHAnsi" w:hAnsiTheme="minorHAnsi"/>
          <w:sz w:val="22"/>
          <w:szCs w:val="22"/>
        </w:rPr>
        <w:t>Účtovné metódy a všeobecné účtovné zásady boli účtovnou jednotkou konzistentne aplikované.</w:t>
      </w:r>
    </w:p>
    <w:p w:rsidR="00011D9C" w:rsidRPr="00011D9C" w:rsidRDefault="00011D9C" w:rsidP="00011D9C">
      <w:pPr>
        <w:pStyle w:val="Zkladntext"/>
        <w:ind w:left="450"/>
        <w:rPr>
          <w:rFonts w:asciiTheme="minorHAnsi" w:hAnsiTheme="minorHAnsi"/>
          <w:sz w:val="22"/>
          <w:szCs w:val="22"/>
        </w:rPr>
      </w:pPr>
      <w:r w:rsidRPr="00011D9C">
        <w:rPr>
          <w:rFonts w:asciiTheme="minorHAnsi" w:hAnsiTheme="minorHAnsi"/>
          <w:sz w:val="22"/>
          <w:szCs w:val="22"/>
        </w:rPr>
        <w:t>V účtovnom období 201</w:t>
      </w:r>
      <w:r w:rsidRPr="00011D9C">
        <w:rPr>
          <w:rFonts w:asciiTheme="minorHAnsi" w:hAnsiTheme="minorHAnsi"/>
          <w:sz w:val="22"/>
          <w:szCs w:val="22"/>
          <w:lang w:val="sk-SK"/>
        </w:rPr>
        <w:t>5</w:t>
      </w:r>
      <w:r w:rsidRPr="00011D9C">
        <w:rPr>
          <w:rFonts w:asciiTheme="minorHAnsi" w:hAnsiTheme="minorHAnsi"/>
          <w:sz w:val="22"/>
          <w:szCs w:val="22"/>
        </w:rPr>
        <w:t xml:space="preserve"> Spoločnosť nevykonala žiadne opravy významných chýb minulých účtovných období. </w:t>
      </w:r>
    </w:p>
    <w:p w:rsidR="00011D9C" w:rsidRPr="00011D9C" w:rsidRDefault="00011D9C" w:rsidP="00011D9C">
      <w:pPr>
        <w:pStyle w:val="Zkladntext"/>
        <w:ind w:left="450"/>
        <w:rPr>
          <w:rFonts w:asciiTheme="minorHAnsi" w:hAnsiTheme="minorHAnsi"/>
          <w:sz w:val="22"/>
          <w:szCs w:val="22"/>
        </w:rPr>
      </w:pPr>
    </w:p>
    <w:p w:rsidR="00011D9C" w:rsidRPr="00011D9C" w:rsidRDefault="00011D9C" w:rsidP="00011D9C">
      <w:pPr>
        <w:pStyle w:val="Zkladntext"/>
        <w:numPr>
          <w:ilvl w:val="0"/>
          <w:numId w:val="6"/>
        </w:numPr>
        <w:ind w:left="426"/>
        <w:rPr>
          <w:rFonts w:asciiTheme="minorHAnsi" w:hAnsiTheme="minorHAnsi"/>
          <w:b/>
          <w:sz w:val="22"/>
          <w:szCs w:val="22"/>
        </w:rPr>
      </w:pPr>
      <w:r w:rsidRPr="00011D9C">
        <w:rPr>
          <w:rFonts w:asciiTheme="minorHAnsi" w:hAnsiTheme="minorHAnsi"/>
          <w:b/>
          <w:sz w:val="22"/>
          <w:szCs w:val="22"/>
        </w:rPr>
        <w:t>Zmeny účtovných zásad</w:t>
      </w:r>
    </w:p>
    <w:p w:rsidR="00011D9C" w:rsidRPr="00011D9C" w:rsidRDefault="00011D9C" w:rsidP="00011D9C">
      <w:pPr>
        <w:pStyle w:val="Zkladntext"/>
        <w:ind w:left="450"/>
        <w:rPr>
          <w:rFonts w:asciiTheme="minorHAnsi" w:hAnsiTheme="minorHAnsi"/>
          <w:sz w:val="22"/>
          <w:szCs w:val="22"/>
        </w:rPr>
      </w:pPr>
      <w:r w:rsidRPr="00011D9C">
        <w:rPr>
          <w:rFonts w:asciiTheme="minorHAnsi" w:hAnsiTheme="minorHAnsi"/>
          <w:sz w:val="22"/>
          <w:szCs w:val="22"/>
        </w:rPr>
        <w:t>Spoločnosť v r. 201</w:t>
      </w:r>
      <w:r w:rsidRPr="00011D9C">
        <w:rPr>
          <w:rFonts w:asciiTheme="minorHAnsi" w:hAnsiTheme="minorHAnsi"/>
          <w:sz w:val="22"/>
          <w:szCs w:val="22"/>
          <w:lang w:val="sk-SK"/>
        </w:rPr>
        <w:t>5</w:t>
      </w:r>
      <w:r w:rsidRPr="00011D9C">
        <w:rPr>
          <w:rFonts w:asciiTheme="minorHAnsi" w:hAnsiTheme="minorHAnsi"/>
          <w:sz w:val="22"/>
          <w:szCs w:val="22"/>
        </w:rPr>
        <w:t xml:space="preserve"> nevykonala žiadne zmeny účtovných zásad.</w:t>
      </w:r>
    </w:p>
    <w:p w:rsidR="00011D9C" w:rsidRPr="00011D9C" w:rsidRDefault="00011D9C" w:rsidP="00011D9C">
      <w:pPr>
        <w:pStyle w:val="Zkladntext"/>
        <w:ind w:left="450"/>
        <w:rPr>
          <w:rFonts w:asciiTheme="minorHAnsi" w:hAnsiTheme="minorHAnsi"/>
          <w:sz w:val="22"/>
          <w:szCs w:val="22"/>
        </w:rPr>
      </w:pPr>
    </w:p>
    <w:p w:rsidR="00011D9C" w:rsidRPr="00011D9C" w:rsidRDefault="00011D9C" w:rsidP="00011D9C">
      <w:pPr>
        <w:pStyle w:val="Pismenka"/>
        <w:numPr>
          <w:ilvl w:val="0"/>
          <w:numId w:val="6"/>
        </w:numPr>
        <w:ind w:left="426" w:hanging="426"/>
        <w:rPr>
          <w:rFonts w:asciiTheme="minorHAnsi" w:hAnsiTheme="minorHAnsi"/>
          <w:sz w:val="22"/>
          <w:szCs w:val="22"/>
        </w:rPr>
      </w:pPr>
      <w:r w:rsidRPr="00011D9C">
        <w:rPr>
          <w:rFonts w:asciiTheme="minorHAnsi" w:hAnsiTheme="minorHAnsi"/>
          <w:sz w:val="22"/>
          <w:szCs w:val="22"/>
        </w:rPr>
        <w:t>Dlhodobý nehmotný a dlhodobý hmotný majetok</w:t>
      </w: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 xml:space="preserve">Dlhodobý majetok nakupovaný sa oceňuje obstarávacou cenou, ktorá zahrnuje cenu obstarania a náklady súvisiace s obstaraním (clo, prepravu, montáž, poistné a pod.). </w:t>
      </w: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Odpisy dlhodobého nehmotného majetku sú stanovené vychádzajúc z predpokladanej doby jeho používania (podľa zákona o účtovníctve však musí byť odpísaný najneskôr do 5 rokov od jeho obstarania) a predpokladaného priebehu jeho opotrebenia. Odpisovať sa začína po uvedení dlhodobého majetku do používania. Drobný dlhodobý nehmotný majetok, ktorého obstarávacia cena (resp. vlastné náklady) je 2.400 EUR  a nižšia, sa odpisuje jednorazovo pri uvedení do používania. Predpokladaná doba používania, metóda odpisovania a odpisová sadzba je uvedená v nasledujúcej tabuľke:</w:t>
      </w:r>
    </w:p>
    <w:p w:rsidR="00011D9C" w:rsidRPr="00011D9C" w:rsidRDefault="00011D9C" w:rsidP="00011D9C">
      <w:pPr>
        <w:pStyle w:val="Zkladntext"/>
        <w:rPr>
          <w:rFonts w:asciiTheme="minorHAnsi" w:hAnsiTheme="minorHAnsi"/>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11D9C" w:rsidRPr="00011D9C" w:rsidTr="009126AB">
        <w:tblPrEx>
          <w:tblCellMar>
            <w:top w:w="0" w:type="dxa"/>
            <w:bottom w:w="0" w:type="dxa"/>
          </w:tblCellMar>
        </w:tblPrEx>
        <w:trPr>
          <w:trHeight w:val="250"/>
        </w:trPr>
        <w:tc>
          <w:tcPr>
            <w:tcW w:w="3402" w:type="dxa"/>
            <w:gridSpan w:val="2"/>
          </w:tcPr>
          <w:p w:rsidR="00011D9C" w:rsidRPr="00011D9C" w:rsidRDefault="00011D9C" w:rsidP="009126AB">
            <w:pPr>
              <w:pStyle w:val="Tabulka"/>
              <w:rPr>
                <w:rFonts w:asciiTheme="minorHAnsi" w:hAnsiTheme="minorHAnsi"/>
                <w:sz w:val="22"/>
                <w:szCs w:val="22"/>
              </w:rPr>
            </w:pPr>
          </w:p>
        </w:tc>
        <w:tc>
          <w:tcPr>
            <w:tcW w:w="1559"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doba</w:t>
            </w:r>
          </w:p>
        </w:tc>
        <w:tc>
          <w:tcPr>
            <w:tcW w:w="142" w:type="dxa"/>
          </w:tcPr>
          <w:p w:rsidR="00011D9C" w:rsidRPr="00011D9C" w:rsidRDefault="00011D9C" w:rsidP="009126AB">
            <w:pPr>
              <w:pStyle w:val="Tabulka"/>
              <w:jc w:val="center"/>
              <w:rPr>
                <w:rFonts w:asciiTheme="minorHAnsi" w:hAnsiTheme="minorHAnsi"/>
                <w:sz w:val="22"/>
                <w:szCs w:val="22"/>
              </w:rPr>
            </w:pPr>
          </w:p>
        </w:tc>
        <w:tc>
          <w:tcPr>
            <w:tcW w:w="1842"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metóda</w:t>
            </w:r>
          </w:p>
        </w:tc>
        <w:tc>
          <w:tcPr>
            <w:tcW w:w="142" w:type="dxa"/>
          </w:tcPr>
          <w:p w:rsidR="00011D9C" w:rsidRPr="00011D9C" w:rsidRDefault="00011D9C" w:rsidP="009126AB">
            <w:pPr>
              <w:pStyle w:val="Tabulka"/>
              <w:jc w:val="center"/>
              <w:rPr>
                <w:rFonts w:asciiTheme="minorHAnsi" w:hAnsiTheme="minorHAnsi"/>
                <w:sz w:val="22"/>
                <w:szCs w:val="22"/>
              </w:rPr>
            </w:pPr>
          </w:p>
        </w:tc>
        <w:tc>
          <w:tcPr>
            <w:tcW w:w="1730"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ročná odpisová</w:t>
            </w:r>
          </w:p>
        </w:tc>
      </w:tr>
      <w:tr w:rsidR="00011D9C" w:rsidRPr="00011D9C" w:rsidTr="009126AB">
        <w:tblPrEx>
          <w:tblCellMar>
            <w:top w:w="0" w:type="dxa"/>
            <w:bottom w:w="0" w:type="dxa"/>
          </w:tblCellMar>
        </w:tblPrEx>
        <w:trPr>
          <w:trHeight w:val="250"/>
        </w:trPr>
        <w:tc>
          <w:tcPr>
            <w:tcW w:w="2976" w:type="dxa"/>
            <w:tcBorders>
              <w:bottom w:val="single" w:sz="4" w:space="0" w:color="auto"/>
            </w:tcBorders>
          </w:tcPr>
          <w:p w:rsidR="00011D9C" w:rsidRPr="00011D9C" w:rsidRDefault="00011D9C" w:rsidP="009126AB">
            <w:pPr>
              <w:pStyle w:val="Tabulka"/>
              <w:rPr>
                <w:rFonts w:asciiTheme="minorHAnsi" w:hAnsiTheme="minorHAnsi"/>
                <w:sz w:val="22"/>
                <w:szCs w:val="22"/>
              </w:rPr>
            </w:pPr>
          </w:p>
        </w:tc>
        <w:tc>
          <w:tcPr>
            <w:tcW w:w="426" w:type="dxa"/>
          </w:tcPr>
          <w:p w:rsidR="00011D9C" w:rsidRPr="00011D9C" w:rsidRDefault="00011D9C" w:rsidP="009126AB">
            <w:pPr>
              <w:pStyle w:val="Tabulka"/>
              <w:rPr>
                <w:rFonts w:asciiTheme="minorHAnsi" w:hAnsiTheme="minorHAnsi"/>
                <w:sz w:val="22"/>
                <w:szCs w:val="22"/>
              </w:rPr>
            </w:pPr>
          </w:p>
        </w:tc>
        <w:tc>
          <w:tcPr>
            <w:tcW w:w="1559" w:type="dxa"/>
            <w:tcBorders>
              <w:bottom w:val="single" w:sz="4" w:space="0" w:color="auto"/>
            </w:tcBorders>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odpisovania</w:t>
            </w:r>
          </w:p>
        </w:tc>
        <w:tc>
          <w:tcPr>
            <w:tcW w:w="142" w:type="dxa"/>
          </w:tcPr>
          <w:p w:rsidR="00011D9C" w:rsidRPr="00011D9C" w:rsidRDefault="00011D9C" w:rsidP="009126AB">
            <w:pPr>
              <w:pStyle w:val="Tabulka"/>
              <w:jc w:val="center"/>
              <w:rPr>
                <w:rFonts w:asciiTheme="minorHAnsi" w:hAnsiTheme="minorHAnsi"/>
                <w:sz w:val="22"/>
                <w:szCs w:val="22"/>
              </w:rPr>
            </w:pPr>
          </w:p>
        </w:tc>
        <w:tc>
          <w:tcPr>
            <w:tcW w:w="1842" w:type="dxa"/>
            <w:tcBorders>
              <w:bottom w:val="single" w:sz="4" w:space="0" w:color="auto"/>
            </w:tcBorders>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odpisovania</w:t>
            </w:r>
          </w:p>
        </w:tc>
        <w:tc>
          <w:tcPr>
            <w:tcW w:w="142" w:type="dxa"/>
          </w:tcPr>
          <w:p w:rsidR="00011D9C" w:rsidRPr="00011D9C" w:rsidRDefault="00011D9C" w:rsidP="009126AB">
            <w:pPr>
              <w:pStyle w:val="Tabulka"/>
              <w:jc w:val="center"/>
              <w:rPr>
                <w:rFonts w:asciiTheme="minorHAnsi" w:hAnsiTheme="minorHAnsi"/>
                <w:sz w:val="22"/>
                <w:szCs w:val="22"/>
              </w:rPr>
            </w:pPr>
          </w:p>
        </w:tc>
        <w:tc>
          <w:tcPr>
            <w:tcW w:w="1730" w:type="dxa"/>
            <w:tcBorders>
              <w:bottom w:val="single" w:sz="4" w:space="0" w:color="auto"/>
            </w:tcBorders>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sadzba v %</w:t>
            </w:r>
          </w:p>
        </w:tc>
      </w:tr>
      <w:tr w:rsidR="00011D9C" w:rsidRPr="00011D9C" w:rsidTr="009126AB">
        <w:tblPrEx>
          <w:tblCellMar>
            <w:top w:w="0" w:type="dxa"/>
            <w:bottom w:w="0" w:type="dxa"/>
          </w:tblCellMar>
        </w:tblPrEx>
        <w:trPr>
          <w:trHeight w:val="205"/>
        </w:trPr>
        <w:tc>
          <w:tcPr>
            <w:tcW w:w="3402" w:type="dxa"/>
            <w:gridSpan w:val="2"/>
          </w:tcPr>
          <w:p w:rsidR="00011D9C" w:rsidRPr="00011D9C" w:rsidRDefault="00011D9C" w:rsidP="009126AB">
            <w:pPr>
              <w:pStyle w:val="Tabulka"/>
              <w:rPr>
                <w:rFonts w:asciiTheme="minorHAnsi" w:hAnsiTheme="minorHAnsi"/>
                <w:sz w:val="22"/>
                <w:szCs w:val="22"/>
              </w:rPr>
            </w:pPr>
            <w:r w:rsidRPr="00011D9C">
              <w:rPr>
                <w:rFonts w:asciiTheme="minorHAnsi" w:hAnsiTheme="minorHAnsi"/>
                <w:sz w:val="22"/>
                <w:szCs w:val="22"/>
              </w:rPr>
              <w:t>Softvér</w:t>
            </w:r>
          </w:p>
        </w:tc>
        <w:tc>
          <w:tcPr>
            <w:tcW w:w="1559"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4</w:t>
            </w:r>
          </w:p>
        </w:tc>
        <w:tc>
          <w:tcPr>
            <w:tcW w:w="142" w:type="dxa"/>
          </w:tcPr>
          <w:p w:rsidR="00011D9C" w:rsidRPr="00011D9C" w:rsidRDefault="00011D9C" w:rsidP="009126AB">
            <w:pPr>
              <w:pStyle w:val="Tabulka"/>
              <w:jc w:val="center"/>
              <w:rPr>
                <w:rFonts w:asciiTheme="minorHAnsi" w:hAnsiTheme="minorHAnsi"/>
                <w:sz w:val="22"/>
                <w:szCs w:val="22"/>
              </w:rPr>
            </w:pPr>
          </w:p>
        </w:tc>
        <w:tc>
          <w:tcPr>
            <w:tcW w:w="1842"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Lineárna</w:t>
            </w:r>
          </w:p>
        </w:tc>
        <w:tc>
          <w:tcPr>
            <w:tcW w:w="142" w:type="dxa"/>
          </w:tcPr>
          <w:p w:rsidR="00011D9C" w:rsidRPr="00011D9C" w:rsidRDefault="00011D9C" w:rsidP="009126AB">
            <w:pPr>
              <w:pStyle w:val="Tabulka"/>
              <w:jc w:val="center"/>
              <w:rPr>
                <w:rFonts w:asciiTheme="minorHAnsi" w:hAnsiTheme="minorHAnsi"/>
                <w:sz w:val="22"/>
                <w:szCs w:val="22"/>
              </w:rPr>
            </w:pPr>
          </w:p>
        </w:tc>
        <w:tc>
          <w:tcPr>
            <w:tcW w:w="1730"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25</w:t>
            </w:r>
          </w:p>
        </w:tc>
      </w:tr>
      <w:tr w:rsidR="00011D9C" w:rsidRPr="00011D9C" w:rsidTr="009126AB">
        <w:tblPrEx>
          <w:tblCellMar>
            <w:top w:w="0" w:type="dxa"/>
            <w:bottom w:w="0" w:type="dxa"/>
          </w:tblCellMar>
        </w:tblPrEx>
        <w:trPr>
          <w:trHeight w:val="205"/>
        </w:trPr>
        <w:tc>
          <w:tcPr>
            <w:tcW w:w="3402" w:type="dxa"/>
            <w:gridSpan w:val="2"/>
          </w:tcPr>
          <w:p w:rsidR="00011D9C" w:rsidRPr="00011D9C" w:rsidRDefault="00011D9C" w:rsidP="009126AB">
            <w:pPr>
              <w:pStyle w:val="Tabulka"/>
              <w:rPr>
                <w:rFonts w:asciiTheme="minorHAnsi" w:hAnsiTheme="minorHAnsi"/>
                <w:sz w:val="22"/>
                <w:szCs w:val="22"/>
              </w:rPr>
            </w:pPr>
            <w:r w:rsidRPr="00011D9C">
              <w:rPr>
                <w:rFonts w:asciiTheme="minorHAnsi" w:hAnsiTheme="minorHAnsi"/>
                <w:sz w:val="22"/>
                <w:szCs w:val="22"/>
              </w:rPr>
              <w:t>Ostatný dlhodobý nehmotný majetok</w:t>
            </w:r>
          </w:p>
        </w:tc>
        <w:tc>
          <w:tcPr>
            <w:tcW w:w="1559"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4</w:t>
            </w:r>
          </w:p>
        </w:tc>
        <w:tc>
          <w:tcPr>
            <w:tcW w:w="142" w:type="dxa"/>
          </w:tcPr>
          <w:p w:rsidR="00011D9C" w:rsidRPr="00011D9C" w:rsidRDefault="00011D9C" w:rsidP="009126AB">
            <w:pPr>
              <w:pStyle w:val="Tabulka"/>
              <w:jc w:val="center"/>
              <w:rPr>
                <w:rFonts w:asciiTheme="minorHAnsi" w:hAnsiTheme="minorHAnsi"/>
                <w:sz w:val="22"/>
                <w:szCs w:val="22"/>
              </w:rPr>
            </w:pPr>
          </w:p>
        </w:tc>
        <w:tc>
          <w:tcPr>
            <w:tcW w:w="1842"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Lineárna</w:t>
            </w:r>
          </w:p>
        </w:tc>
        <w:tc>
          <w:tcPr>
            <w:tcW w:w="142" w:type="dxa"/>
          </w:tcPr>
          <w:p w:rsidR="00011D9C" w:rsidRPr="00011D9C" w:rsidRDefault="00011D9C" w:rsidP="009126AB">
            <w:pPr>
              <w:pStyle w:val="Tabulka"/>
              <w:jc w:val="center"/>
              <w:rPr>
                <w:rFonts w:asciiTheme="minorHAnsi" w:hAnsiTheme="minorHAnsi"/>
                <w:sz w:val="22"/>
                <w:szCs w:val="22"/>
              </w:rPr>
            </w:pPr>
          </w:p>
        </w:tc>
        <w:tc>
          <w:tcPr>
            <w:tcW w:w="1730"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25</w:t>
            </w:r>
          </w:p>
        </w:tc>
      </w:tr>
    </w:tbl>
    <w:p w:rsidR="00011D9C" w:rsidRPr="00011D9C" w:rsidRDefault="00011D9C" w:rsidP="00011D9C">
      <w:pPr>
        <w:pStyle w:val="Zkladntext"/>
        <w:rPr>
          <w:rFonts w:asciiTheme="minorHAnsi" w:hAnsiTheme="minorHAnsi"/>
          <w:sz w:val="22"/>
          <w:szCs w:val="22"/>
        </w:rPr>
      </w:pPr>
    </w:p>
    <w:p w:rsidR="00011D9C" w:rsidRDefault="00011D9C" w:rsidP="00011D9C">
      <w:pPr>
        <w:pStyle w:val="Zkladntext"/>
        <w:rPr>
          <w:rFonts w:asciiTheme="minorHAnsi" w:hAnsiTheme="minorHAnsi"/>
          <w:sz w:val="22"/>
          <w:szCs w:val="22"/>
          <w:lang w:val="sk-SK"/>
        </w:rPr>
      </w:pPr>
      <w:r w:rsidRPr="00011D9C">
        <w:rPr>
          <w:rFonts w:asciiTheme="minorHAnsi" w:hAnsiTheme="minorHAnsi"/>
          <w:sz w:val="22"/>
          <w:szCs w:val="22"/>
        </w:rPr>
        <w:t xml:space="preserve">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1.700 EUR a nižšia, sa odpisuje jednorazovo pri uvedení do používania. </w:t>
      </w:r>
    </w:p>
    <w:p w:rsidR="00011D9C" w:rsidRPr="00011D9C" w:rsidRDefault="00011D9C" w:rsidP="00011D9C">
      <w:pPr>
        <w:pStyle w:val="Zkladntext"/>
        <w:rPr>
          <w:rFonts w:asciiTheme="minorHAnsi" w:hAnsiTheme="minorHAnsi"/>
          <w:sz w:val="22"/>
          <w:szCs w:val="22"/>
          <w:lang w:val="sk-SK"/>
        </w:rPr>
      </w:pPr>
    </w:p>
    <w:p w:rsidR="00011D9C" w:rsidRPr="00011D9C" w:rsidRDefault="00011D9C" w:rsidP="00011D9C">
      <w:pPr>
        <w:pStyle w:val="Zkladntext"/>
        <w:rPr>
          <w:rFonts w:asciiTheme="minorHAnsi" w:hAnsiTheme="minorHAnsi"/>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11D9C" w:rsidRPr="00011D9C" w:rsidTr="009126AB">
        <w:tblPrEx>
          <w:tblCellMar>
            <w:top w:w="0" w:type="dxa"/>
            <w:bottom w:w="0" w:type="dxa"/>
          </w:tblCellMar>
        </w:tblPrEx>
        <w:trPr>
          <w:trHeight w:val="250"/>
        </w:trPr>
        <w:tc>
          <w:tcPr>
            <w:tcW w:w="3402" w:type="dxa"/>
            <w:gridSpan w:val="2"/>
          </w:tcPr>
          <w:p w:rsidR="00011D9C" w:rsidRPr="00011D9C" w:rsidRDefault="00011D9C" w:rsidP="009126AB">
            <w:pPr>
              <w:pStyle w:val="Tabulka"/>
              <w:rPr>
                <w:rFonts w:asciiTheme="minorHAnsi" w:hAnsiTheme="minorHAnsi"/>
                <w:sz w:val="22"/>
                <w:szCs w:val="22"/>
              </w:rPr>
            </w:pPr>
          </w:p>
        </w:tc>
        <w:tc>
          <w:tcPr>
            <w:tcW w:w="1559"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doba</w:t>
            </w:r>
          </w:p>
        </w:tc>
        <w:tc>
          <w:tcPr>
            <w:tcW w:w="142" w:type="dxa"/>
          </w:tcPr>
          <w:p w:rsidR="00011D9C" w:rsidRPr="00011D9C" w:rsidRDefault="00011D9C" w:rsidP="009126AB">
            <w:pPr>
              <w:pStyle w:val="Tabulka"/>
              <w:jc w:val="center"/>
              <w:rPr>
                <w:rFonts w:asciiTheme="minorHAnsi" w:hAnsiTheme="minorHAnsi"/>
                <w:sz w:val="22"/>
                <w:szCs w:val="22"/>
              </w:rPr>
            </w:pPr>
          </w:p>
        </w:tc>
        <w:tc>
          <w:tcPr>
            <w:tcW w:w="1842"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metóda</w:t>
            </w:r>
          </w:p>
        </w:tc>
        <w:tc>
          <w:tcPr>
            <w:tcW w:w="142" w:type="dxa"/>
          </w:tcPr>
          <w:p w:rsidR="00011D9C" w:rsidRPr="00011D9C" w:rsidRDefault="00011D9C" w:rsidP="009126AB">
            <w:pPr>
              <w:pStyle w:val="Tabulka"/>
              <w:jc w:val="center"/>
              <w:rPr>
                <w:rFonts w:asciiTheme="minorHAnsi" w:hAnsiTheme="minorHAnsi"/>
                <w:sz w:val="22"/>
                <w:szCs w:val="22"/>
              </w:rPr>
            </w:pPr>
          </w:p>
        </w:tc>
        <w:tc>
          <w:tcPr>
            <w:tcW w:w="1730"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ročná odpisová</w:t>
            </w:r>
          </w:p>
        </w:tc>
      </w:tr>
      <w:tr w:rsidR="00011D9C" w:rsidRPr="00011D9C" w:rsidTr="009126AB">
        <w:tblPrEx>
          <w:tblCellMar>
            <w:top w:w="0" w:type="dxa"/>
            <w:bottom w:w="0" w:type="dxa"/>
          </w:tblCellMar>
        </w:tblPrEx>
        <w:trPr>
          <w:trHeight w:val="250"/>
        </w:trPr>
        <w:tc>
          <w:tcPr>
            <w:tcW w:w="2976" w:type="dxa"/>
            <w:tcBorders>
              <w:bottom w:val="single" w:sz="4" w:space="0" w:color="auto"/>
            </w:tcBorders>
          </w:tcPr>
          <w:p w:rsidR="00011D9C" w:rsidRPr="00011D9C" w:rsidRDefault="00011D9C" w:rsidP="009126AB">
            <w:pPr>
              <w:pStyle w:val="Tabulka"/>
              <w:rPr>
                <w:rFonts w:asciiTheme="minorHAnsi" w:hAnsiTheme="minorHAnsi"/>
                <w:sz w:val="22"/>
                <w:szCs w:val="22"/>
              </w:rPr>
            </w:pPr>
          </w:p>
        </w:tc>
        <w:tc>
          <w:tcPr>
            <w:tcW w:w="426" w:type="dxa"/>
          </w:tcPr>
          <w:p w:rsidR="00011D9C" w:rsidRPr="00011D9C" w:rsidRDefault="00011D9C" w:rsidP="009126AB">
            <w:pPr>
              <w:pStyle w:val="Tabulka"/>
              <w:rPr>
                <w:rFonts w:asciiTheme="minorHAnsi" w:hAnsiTheme="minorHAnsi"/>
                <w:sz w:val="22"/>
                <w:szCs w:val="22"/>
              </w:rPr>
            </w:pPr>
          </w:p>
        </w:tc>
        <w:tc>
          <w:tcPr>
            <w:tcW w:w="1559" w:type="dxa"/>
            <w:tcBorders>
              <w:bottom w:val="single" w:sz="4" w:space="0" w:color="auto"/>
            </w:tcBorders>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odpisovania</w:t>
            </w:r>
          </w:p>
        </w:tc>
        <w:tc>
          <w:tcPr>
            <w:tcW w:w="142" w:type="dxa"/>
          </w:tcPr>
          <w:p w:rsidR="00011D9C" w:rsidRPr="00011D9C" w:rsidRDefault="00011D9C" w:rsidP="009126AB">
            <w:pPr>
              <w:pStyle w:val="Tabulka"/>
              <w:jc w:val="center"/>
              <w:rPr>
                <w:rFonts w:asciiTheme="minorHAnsi" w:hAnsiTheme="minorHAnsi"/>
                <w:sz w:val="22"/>
                <w:szCs w:val="22"/>
              </w:rPr>
            </w:pPr>
          </w:p>
        </w:tc>
        <w:tc>
          <w:tcPr>
            <w:tcW w:w="1842" w:type="dxa"/>
            <w:tcBorders>
              <w:bottom w:val="single" w:sz="4" w:space="0" w:color="auto"/>
            </w:tcBorders>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odpisovania</w:t>
            </w:r>
          </w:p>
        </w:tc>
        <w:tc>
          <w:tcPr>
            <w:tcW w:w="142" w:type="dxa"/>
          </w:tcPr>
          <w:p w:rsidR="00011D9C" w:rsidRPr="00011D9C" w:rsidRDefault="00011D9C" w:rsidP="009126AB">
            <w:pPr>
              <w:pStyle w:val="Tabulka"/>
              <w:jc w:val="center"/>
              <w:rPr>
                <w:rFonts w:asciiTheme="minorHAnsi" w:hAnsiTheme="minorHAnsi"/>
                <w:sz w:val="22"/>
                <w:szCs w:val="22"/>
              </w:rPr>
            </w:pPr>
          </w:p>
        </w:tc>
        <w:tc>
          <w:tcPr>
            <w:tcW w:w="1730" w:type="dxa"/>
            <w:tcBorders>
              <w:bottom w:val="single" w:sz="4" w:space="0" w:color="auto"/>
            </w:tcBorders>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sadzba v %</w:t>
            </w:r>
          </w:p>
        </w:tc>
      </w:tr>
      <w:tr w:rsidR="00011D9C" w:rsidRPr="00011D9C" w:rsidTr="009126AB">
        <w:tblPrEx>
          <w:tblCellMar>
            <w:top w:w="0" w:type="dxa"/>
            <w:bottom w:w="0" w:type="dxa"/>
          </w:tblCellMar>
        </w:tblPrEx>
        <w:trPr>
          <w:trHeight w:val="250"/>
        </w:trPr>
        <w:tc>
          <w:tcPr>
            <w:tcW w:w="3402" w:type="dxa"/>
            <w:gridSpan w:val="2"/>
          </w:tcPr>
          <w:p w:rsidR="00011D9C" w:rsidRPr="00011D9C" w:rsidRDefault="00011D9C" w:rsidP="009126AB">
            <w:pPr>
              <w:pStyle w:val="Tabulka"/>
              <w:rPr>
                <w:rFonts w:asciiTheme="minorHAnsi" w:hAnsiTheme="minorHAnsi"/>
                <w:sz w:val="22"/>
                <w:szCs w:val="22"/>
              </w:rPr>
            </w:pPr>
            <w:proofErr w:type="spellStart"/>
            <w:r w:rsidRPr="00011D9C">
              <w:rPr>
                <w:rFonts w:asciiTheme="minorHAnsi" w:hAnsiTheme="minorHAnsi"/>
                <w:sz w:val="22"/>
                <w:szCs w:val="22"/>
              </w:rPr>
              <w:t>Samostat</w:t>
            </w:r>
            <w:proofErr w:type="spellEnd"/>
            <w:r w:rsidRPr="00011D9C">
              <w:rPr>
                <w:rFonts w:asciiTheme="minorHAnsi" w:hAnsiTheme="minorHAnsi"/>
                <w:sz w:val="22"/>
                <w:szCs w:val="22"/>
              </w:rPr>
              <w:t>. hnuteľné veci</w:t>
            </w:r>
          </w:p>
        </w:tc>
        <w:tc>
          <w:tcPr>
            <w:tcW w:w="1559"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4 až 20</w:t>
            </w:r>
          </w:p>
        </w:tc>
        <w:tc>
          <w:tcPr>
            <w:tcW w:w="142" w:type="dxa"/>
          </w:tcPr>
          <w:p w:rsidR="00011D9C" w:rsidRPr="00011D9C" w:rsidRDefault="00011D9C" w:rsidP="009126AB">
            <w:pPr>
              <w:pStyle w:val="Tabulka"/>
              <w:jc w:val="center"/>
              <w:rPr>
                <w:rFonts w:asciiTheme="minorHAnsi" w:hAnsiTheme="minorHAnsi"/>
                <w:sz w:val="22"/>
                <w:szCs w:val="22"/>
              </w:rPr>
            </w:pPr>
          </w:p>
        </w:tc>
        <w:tc>
          <w:tcPr>
            <w:tcW w:w="1842"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lineárna</w:t>
            </w:r>
          </w:p>
        </w:tc>
        <w:tc>
          <w:tcPr>
            <w:tcW w:w="142" w:type="dxa"/>
          </w:tcPr>
          <w:p w:rsidR="00011D9C" w:rsidRPr="00011D9C" w:rsidRDefault="00011D9C" w:rsidP="009126AB">
            <w:pPr>
              <w:pStyle w:val="Tabulka"/>
              <w:jc w:val="center"/>
              <w:rPr>
                <w:rFonts w:asciiTheme="minorHAnsi" w:hAnsiTheme="minorHAnsi"/>
                <w:sz w:val="22"/>
                <w:szCs w:val="22"/>
              </w:rPr>
            </w:pPr>
          </w:p>
        </w:tc>
        <w:tc>
          <w:tcPr>
            <w:tcW w:w="1730"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5 až 25</w:t>
            </w:r>
          </w:p>
        </w:tc>
      </w:tr>
      <w:tr w:rsidR="00011D9C" w:rsidRPr="00011D9C" w:rsidTr="009126AB">
        <w:tblPrEx>
          <w:tblCellMar>
            <w:top w:w="0" w:type="dxa"/>
            <w:bottom w:w="0" w:type="dxa"/>
          </w:tblCellMar>
        </w:tblPrEx>
        <w:trPr>
          <w:trHeight w:val="250"/>
        </w:trPr>
        <w:tc>
          <w:tcPr>
            <w:tcW w:w="3402" w:type="dxa"/>
            <w:gridSpan w:val="2"/>
          </w:tcPr>
          <w:p w:rsidR="00011D9C" w:rsidRPr="00011D9C" w:rsidRDefault="00011D9C" w:rsidP="009126AB">
            <w:pPr>
              <w:pStyle w:val="Tabulka"/>
              <w:rPr>
                <w:rFonts w:asciiTheme="minorHAnsi" w:hAnsiTheme="minorHAnsi"/>
                <w:sz w:val="22"/>
                <w:szCs w:val="22"/>
              </w:rPr>
            </w:pPr>
            <w:r w:rsidRPr="00011D9C">
              <w:rPr>
                <w:rFonts w:asciiTheme="minorHAnsi" w:hAnsiTheme="minorHAnsi"/>
                <w:sz w:val="22"/>
                <w:szCs w:val="22"/>
              </w:rPr>
              <w:t>Ostatný dlhodobý majetok</w:t>
            </w:r>
          </w:p>
        </w:tc>
        <w:tc>
          <w:tcPr>
            <w:tcW w:w="1559"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2-3</w:t>
            </w:r>
          </w:p>
        </w:tc>
        <w:tc>
          <w:tcPr>
            <w:tcW w:w="142" w:type="dxa"/>
          </w:tcPr>
          <w:p w:rsidR="00011D9C" w:rsidRPr="00011D9C" w:rsidRDefault="00011D9C" w:rsidP="009126AB">
            <w:pPr>
              <w:pStyle w:val="Tabulka"/>
              <w:rPr>
                <w:rFonts w:asciiTheme="minorHAnsi" w:hAnsiTheme="minorHAnsi"/>
                <w:sz w:val="22"/>
                <w:szCs w:val="22"/>
              </w:rPr>
            </w:pPr>
          </w:p>
        </w:tc>
        <w:tc>
          <w:tcPr>
            <w:tcW w:w="1842"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lineárna</w:t>
            </w:r>
          </w:p>
        </w:tc>
        <w:tc>
          <w:tcPr>
            <w:tcW w:w="142" w:type="dxa"/>
          </w:tcPr>
          <w:p w:rsidR="00011D9C" w:rsidRPr="00011D9C" w:rsidRDefault="00011D9C" w:rsidP="009126AB">
            <w:pPr>
              <w:pStyle w:val="Tabulka"/>
              <w:rPr>
                <w:rFonts w:asciiTheme="minorHAnsi" w:hAnsiTheme="minorHAnsi"/>
                <w:sz w:val="22"/>
                <w:szCs w:val="22"/>
              </w:rPr>
            </w:pPr>
          </w:p>
        </w:tc>
        <w:tc>
          <w:tcPr>
            <w:tcW w:w="1730" w:type="dxa"/>
          </w:tcPr>
          <w:p w:rsidR="00011D9C" w:rsidRPr="00011D9C" w:rsidRDefault="00011D9C" w:rsidP="009126AB">
            <w:pPr>
              <w:pStyle w:val="Tabulka"/>
              <w:jc w:val="center"/>
              <w:rPr>
                <w:rFonts w:asciiTheme="minorHAnsi" w:hAnsiTheme="minorHAnsi"/>
                <w:sz w:val="22"/>
                <w:szCs w:val="22"/>
              </w:rPr>
            </w:pPr>
            <w:r w:rsidRPr="00011D9C">
              <w:rPr>
                <w:rFonts w:asciiTheme="minorHAnsi" w:hAnsiTheme="minorHAnsi"/>
                <w:sz w:val="22"/>
                <w:szCs w:val="22"/>
              </w:rPr>
              <w:t>30-50</w:t>
            </w:r>
          </w:p>
        </w:tc>
      </w:tr>
    </w:tbl>
    <w:p w:rsidR="00011D9C" w:rsidRPr="00011D9C" w:rsidRDefault="00011D9C" w:rsidP="00011D9C">
      <w:pPr>
        <w:pStyle w:val="Pismenka"/>
        <w:numPr>
          <w:ilvl w:val="0"/>
          <w:numId w:val="0"/>
        </w:numPr>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Pismenka"/>
        <w:numPr>
          <w:ilvl w:val="0"/>
          <w:numId w:val="6"/>
        </w:numPr>
        <w:ind w:left="426" w:hanging="426"/>
        <w:rPr>
          <w:rFonts w:asciiTheme="minorHAnsi" w:hAnsiTheme="minorHAnsi"/>
          <w:sz w:val="22"/>
          <w:szCs w:val="22"/>
        </w:rPr>
      </w:pPr>
      <w:r w:rsidRPr="00011D9C">
        <w:rPr>
          <w:rFonts w:asciiTheme="minorHAnsi" w:hAnsiTheme="minorHAnsi"/>
          <w:sz w:val="22"/>
          <w:szCs w:val="22"/>
        </w:rPr>
        <w:t>Pohľadávky</w:t>
      </w: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Pismenka"/>
        <w:numPr>
          <w:ilvl w:val="0"/>
          <w:numId w:val="6"/>
        </w:numPr>
        <w:ind w:left="426" w:hanging="426"/>
        <w:rPr>
          <w:rFonts w:asciiTheme="minorHAnsi" w:hAnsiTheme="minorHAnsi"/>
          <w:sz w:val="22"/>
          <w:szCs w:val="22"/>
        </w:rPr>
      </w:pPr>
      <w:r w:rsidRPr="00011D9C">
        <w:rPr>
          <w:rFonts w:asciiTheme="minorHAnsi" w:hAnsiTheme="minorHAnsi"/>
          <w:sz w:val="22"/>
          <w:szCs w:val="22"/>
        </w:rPr>
        <w:t>Peňažné prostriedky a ceniny</w:t>
      </w: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Peňažné prostriedky a ceniny sa oceňujú ich menovitou hodnotou. Zníženie ich hodnoty sa vyjadruje opravnou položkou.</w:t>
      </w: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Pismenka"/>
        <w:numPr>
          <w:ilvl w:val="0"/>
          <w:numId w:val="6"/>
        </w:numPr>
        <w:ind w:left="426" w:hanging="426"/>
        <w:rPr>
          <w:rFonts w:asciiTheme="minorHAnsi" w:hAnsiTheme="minorHAnsi"/>
          <w:sz w:val="22"/>
          <w:szCs w:val="22"/>
        </w:rPr>
      </w:pPr>
      <w:r w:rsidRPr="00011D9C">
        <w:rPr>
          <w:rFonts w:asciiTheme="minorHAnsi" w:hAnsiTheme="minorHAnsi"/>
          <w:sz w:val="22"/>
          <w:szCs w:val="22"/>
        </w:rPr>
        <w:t>Náklady budúcich období a príjmy budúcich období</w:t>
      </w: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Náklady budúcich období a príjmy budúcich období sa vykazujú vo výške, ktorá je potrebná na dodržanie zásady vecnej a časovej súvislosti s účtovným obdobím.</w:t>
      </w: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Pismenka"/>
        <w:numPr>
          <w:ilvl w:val="0"/>
          <w:numId w:val="6"/>
        </w:numPr>
        <w:ind w:left="426" w:hanging="426"/>
        <w:rPr>
          <w:rFonts w:asciiTheme="minorHAnsi" w:hAnsiTheme="minorHAnsi"/>
          <w:sz w:val="22"/>
          <w:szCs w:val="22"/>
        </w:rPr>
      </w:pPr>
      <w:r w:rsidRPr="00011D9C">
        <w:rPr>
          <w:rFonts w:asciiTheme="minorHAnsi" w:hAnsiTheme="minorHAnsi"/>
          <w:sz w:val="22"/>
          <w:szCs w:val="22"/>
        </w:rPr>
        <w:t>Rezervy</w:t>
      </w: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Rezervy sú záväzky s neurčitým časovým vymedzením alebo výškou, tvoria sa na krytie známych rizík alebo strát z podnikania. Oceňujú sa v očakávanej výške záväzku.</w:t>
      </w:r>
    </w:p>
    <w:p w:rsidR="00011D9C" w:rsidRPr="00011D9C" w:rsidRDefault="00011D9C" w:rsidP="00011D9C">
      <w:pPr>
        <w:pStyle w:val="Pismenka"/>
        <w:numPr>
          <w:ilvl w:val="0"/>
          <w:numId w:val="0"/>
        </w:numPr>
        <w:ind w:left="426" w:hanging="426"/>
        <w:rPr>
          <w:rFonts w:asciiTheme="minorHAnsi" w:hAnsiTheme="minorHAnsi"/>
          <w:sz w:val="22"/>
          <w:szCs w:val="22"/>
        </w:rPr>
      </w:pPr>
    </w:p>
    <w:p w:rsidR="00011D9C" w:rsidRPr="00011D9C" w:rsidRDefault="00011D9C" w:rsidP="00011D9C">
      <w:pPr>
        <w:pStyle w:val="Pismenka"/>
        <w:numPr>
          <w:ilvl w:val="0"/>
          <w:numId w:val="6"/>
        </w:numPr>
        <w:ind w:left="426" w:hanging="426"/>
        <w:rPr>
          <w:rFonts w:asciiTheme="minorHAnsi" w:hAnsiTheme="minorHAnsi"/>
          <w:sz w:val="22"/>
          <w:szCs w:val="22"/>
        </w:rPr>
      </w:pPr>
      <w:r w:rsidRPr="00011D9C">
        <w:rPr>
          <w:rFonts w:asciiTheme="minorHAnsi" w:hAnsiTheme="minorHAnsi"/>
          <w:sz w:val="22"/>
          <w:szCs w:val="22"/>
        </w:rPr>
        <w:t>Záväzky</w:t>
      </w: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ind w:left="0"/>
        <w:rPr>
          <w:rFonts w:asciiTheme="minorHAnsi" w:hAnsiTheme="minorHAnsi"/>
          <w:sz w:val="22"/>
          <w:szCs w:val="22"/>
        </w:rPr>
      </w:pPr>
    </w:p>
    <w:p w:rsidR="00011D9C" w:rsidRPr="00011D9C" w:rsidRDefault="00011D9C" w:rsidP="00011D9C">
      <w:pPr>
        <w:pStyle w:val="Pismenka"/>
        <w:numPr>
          <w:ilvl w:val="0"/>
          <w:numId w:val="6"/>
        </w:numPr>
        <w:ind w:left="426" w:hanging="426"/>
        <w:rPr>
          <w:rFonts w:asciiTheme="minorHAnsi" w:hAnsiTheme="minorHAnsi"/>
          <w:sz w:val="22"/>
          <w:szCs w:val="22"/>
        </w:rPr>
      </w:pPr>
      <w:r w:rsidRPr="00011D9C">
        <w:rPr>
          <w:rFonts w:asciiTheme="minorHAnsi" w:hAnsiTheme="minorHAnsi"/>
          <w:sz w:val="22"/>
          <w:szCs w:val="22"/>
        </w:rPr>
        <w:t>Výdavky budúcich období a výnosy budúcich období</w:t>
      </w: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Výdavky budúcich období a výnosy budúcich období sa vykazujú vo výške, ktorá je potrebná na dodržanie zásady vecnej a časovej súvislosti s účtovným obdobím.</w:t>
      </w:r>
    </w:p>
    <w:p w:rsidR="00011D9C" w:rsidRDefault="00011D9C" w:rsidP="00011D9C">
      <w:pPr>
        <w:pStyle w:val="Zkladntext"/>
        <w:rPr>
          <w:rFonts w:asciiTheme="minorHAnsi" w:hAnsiTheme="minorHAnsi"/>
          <w:sz w:val="22"/>
          <w:szCs w:val="22"/>
          <w:lang w:val="sk-SK"/>
        </w:rPr>
      </w:pPr>
    </w:p>
    <w:p w:rsidR="006830A5" w:rsidRPr="006830A5" w:rsidRDefault="006830A5" w:rsidP="00011D9C">
      <w:pPr>
        <w:pStyle w:val="Zkladntext"/>
        <w:rPr>
          <w:rFonts w:asciiTheme="minorHAnsi" w:hAnsiTheme="minorHAnsi"/>
          <w:sz w:val="22"/>
          <w:szCs w:val="22"/>
          <w:lang w:val="sk-SK"/>
        </w:rPr>
      </w:pPr>
    </w:p>
    <w:p w:rsidR="00011D9C" w:rsidRPr="00011D9C" w:rsidRDefault="00011D9C" w:rsidP="00011D9C">
      <w:pPr>
        <w:pStyle w:val="Nadpis2"/>
        <w:rPr>
          <w:sz w:val="22"/>
          <w:szCs w:val="22"/>
        </w:rPr>
      </w:pPr>
      <w:bookmarkStart w:id="8" w:name="_Toc530739900"/>
      <w:r w:rsidRPr="00011D9C">
        <w:rPr>
          <w:sz w:val="22"/>
          <w:szCs w:val="22"/>
        </w:rPr>
        <w:t>C. INFORMÁCIE O ÚDAJOCH NA STRANE AKTÍV SÚVAHY</w:t>
      </w:r>
      <w:bookmarkEnd w:id="8"/>
    </w:p>
    <w:p w:rsidR="00011D9C" w:rsidRPr="00011D9C" w:rsidRDefault="00011D9C" w:rsidP="00011D9C">
      <w:pPr>
        <w:pStyle w:val="Hlavika"/>
        <w:numPr>
          <w:ilvl w:val="12"/>
          <w:numId w:val="0"/>
        </w:numPr>
        <w:tabs>
          <w:tab w:val="clear" w:pos="4153"/>
          <w:tab w:val="clear" w:pos="8306"/>
        </w:tabs>
        <w:jc w:val="both"/>
        <w:rPr>
          <w:rFonts w:asciiTheme="minorHAnsi" w:hAnsiTheme="minorHAnsi"/>
          <w:sz w:val="22"/>
          <w:szCs w:val="22"/>
        </w:rPr>
      </w:pPr>
    </w:p>
    <w:p w:rsidR="00011D9C" w:rsidRPr="00011D9C" w:rsidRDefault="00011D9C" w:rsidP="00011D9C">
      <w:pPr>
        <w:pStyle w:val="Nadpis2"/>
        <w:keepNext/>
        <w:numPr>
          <w:ilvl w:val="0"/>
          <w:numId w:val="4"/>
        </w:numPr>
        <w:tabs>
          <w:tab w:val="clear" w:pos="360"/>
          <w:tab w:val="num" w:pos="426"/>
        </w:tabs>
        <w:spacing w:before="0" w:after="0" w:line="240" w:lineRule="auto"/>
        <w:rPr>
          <w:sz w:val="22"/>
          <w:szCs w:val="22"/>
        </w:rPr>
      </w:pPr>
      <w:bookmarkStart w:id="9" w:name="_Toc530739901"/>
      <w:r w:rsidRPr="00011D9C">
        <w:rPr>
          <w:sz w:val="22"/>
          <w:szCs w:val="22"/>
        </w:rPr>
        <w:t>Dlhodobý nehmotný majetok a dlhodobý hmotný majetok</w:t>
      </w:r>
      <w:bookmarkEnd w:id="9"/>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Prehľad o pohybe dlhodobého nehmotného a dlhodobého hmotného majetku od 1. januára 2014 do 31. decembra 2014  je uvedený v tabuľke na stranách 5 a 6.</w:t>
      </w: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ind w:left="0"/>
        <w:rPr>
          <w:rFonts w:asciiTheme="minorHAnsi" w:hAnsiTheme="minorHAnsi"/>
          <w:sz w:val="22"/>
          <w:szCs w:val="22"/>
        </w:rPr>
      </w:pPr>
      <w:r w:rsidRPr="00011D9C">
        <w:rPr>
          <w:rFonts w:asciiTheme="minorHAnsi" w:hAnsiTheme="minorHAnsi"/>
          <w:noProof/>
          <w:sz w:val="22"/>
          <w:szCs w:val="22"/>
          <w:lang w:val="sk-SK" w:eastAsia="sk-SK"/>
        </w:rPr>
        <w:drawing>
          <wp:inline distT="0" distB="0" distL="0" distR="0" wp14:anchorId="24FD5D68" wp14:editId="26F53134">
            <wp:extent cx="5843905" cy="4953635"/>
            <wp:effectExtent l="0" t="0" r="4445"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43905" cy="4953635"/>
                    </a:xfrm>
                    <a:prstGeom prst="rect">
                      <a:avLst/>
                    </a:prstGeom>
                    <a:noFill/>
                    <a:ln>
                      <a:noFill/>
                    </a:ln>
                  </pic:spPr>
                </pic:pic>
              </a:graphicData>
            </a:graphic>
          </wp:inline>
        </w:drawing>
      </w:r>
    </w:p>
    <w:p w:rsidR="00011D9C" w:rsidRPr="00011D9C" w:rsidRDefault="00011D9C" w:rsidP="00011D9C">
      <w:pPr>
        <w:pStyle w:val="Zkladntext"/>
        <w:ind w:left="0"/>
        <w:rPr>
          <w:rFonts w:asciiTheme="minorHAnsi" w:hAnsiTheme="minorHAnsi"/>
          <w:sz w:val="22"/>
          <w:szCs w:val="22"/>
        </w:rPr>
      </w:pPr>
    </w:p>
    <w:p w:rsidR="00011D9C" w:rsidRPr="00011D9C" w:rsidRDefault="00011D9C" w:rsidP="00011D9C">
      <w:pPr>
        <w:pStyle w:val="Zkladntext"/>
        <w:ind w:left="0"/>
        <w:rPr>
          <w:rFonts w:asciiTheme="minorHAnsi" w:hAnsiTheme="minorHAnsi"/>
          <w:sz w:val="22"/>
          <w:szCs w:val="22"/>
        </w:rPr>
      </w:pPr>
    </w:p>
    <w:p w:rsidR="00011D9C" w:rsidRPr="00011D9C" w:rsidRDefault="00011D9C" w:rsidP="00011D9C">
      <w:pPr>
        <w:pStyle w:val="Zkladntext"/>
        <w:ind w:left="0"/>
        <w:rPr>
          <w:rFonts w:asciiTheme="minorHAnsi" w:hAnsiTheme="minorHAnsi"/>
          <w:sz w:val="22"/>
          <w:szCs w:val="22"/>
        </w:rPr>
      </w:pPr>
      <w:r w:rsidRPr="00011D9C">
        <w:rPr>
          <w:rFonts w:asciiTheme="minorHAnsi" w:hAnsiTheme="minorHAnsi"/>
          <w:noProof/>
          <w:sz w:val="22"/>
          <w:szCs w:val="22"/>
          <w:lang w:val="sk-SK" w:eastAsia="sk-SK"/>
        </w:rPr>
        <w:drawing>
          <wp:inline distT="0" distB="0" distL="0" distR="0" wp14:anchorId="276D6A3D" wp14:editId="2B91718A">
            <wp:extent cx="5843905" cy="4834255"/>
            <wp:effectExtent l="0" t="0" r="4445" b="444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43905" cy="4834255"/>
                    </a:xfrm>
                    <a:prstGeom prst="rect">
                      <a:avLst/>
                    </a:prstGeom>
                    <a:noFill/>
                    <a:ln>
                      <a:noFill/>
                    </a:ln>
                  </pic:spPr>
                </pic:pic>
              </a:graphicData>
            </a:graphic>
          </wp:inline>
        </w:drawing>
      </w:r>
    </w:p>
    <w:p w:rsidR="00011D9C" w:rsidRPr="00011D9C" w:rsidRDefault="00011D9C" w:rsidP="00011D9C">
      <w:pPr>
        <w:pStyle w:val="Zkladntext"/>
        <w:ind w:left="0"/>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p>
    <w:p w:rsidR="00011D9C" w:rsidRDefault="00011D9C" w:rsidP="00011D9C">
      <w:pPr>
        <w:pStyle w:val="Nadpis2"/>
        <w:keepNext/>
        <w:numPr>
          <w:ilvl w:val="0"/>
          <w:numId w:val="5"/>
        </w:numPr>
        <w:spacing w:before="0" w:after="0" w:line="240" w:lineRule="auto"/>
        <w:rPr>
          <w:sz w:val="22"/>
          <w:szCs w:val="22"/>
        </w:rPr>
      </w:pPr>
      <w:bookmarkStart w:id="10" w:name="_Toc530739904"/>
      <w:r w:rsidRPr="00011D9C">
        <w:rPr>
          <w:sz w:val="22"/>
          <w:szCs w:val="22"/>
        </w:rPr>
        <w:t>Pohľadávky</w:t>
      </w:r>
      <w:bookmarkEnd w:id="10"/>
    </w:p>
    <w:p w:rsidR="006830A5" w:rsidRPr="006830A5" w:rsidRDefault="006830A5" w:rsidP="006830A5"/>
    <w:p w:rsidR="00011D9C" w:rsidRPr="00011D9C" w:rsidRDefault="00011D9C" w:rsidP="00011D9C">
      <w:pPr>
        <w:pStyle w:val="Zkladntext"/>
        <w:rPr>
          <w:rFonts w:asciiTheme="minorHAnsi" w:hAnsiTheme="minorHAnsi"/>
          <w:sz w:val="22"/>
          <w:szCs w:val="22"/>
          <w:lang w:val="sk-SK"/>
        </w:rPr>
      </w:pPr>
      <w:r w:rsidRPr="00011D9C">
        <w:rPr>
          <w:rFonts w:asciiTheme="minorHAnsi" w:hAnsiTheme="minorHAnsi"/>
          <w:sz w:val="22"/>
          <w:szCs w:val="22"/>
        </w:rPr>
        <w:t>Pohľadávky podľa zostatkovej doby splatnosti sú uvedené v nasledujúcom prehľade:</w:t>
      </w:r>
    </w:p>
    <w:p w:rsidR="00011D9C" w:rsidRPr="00011D9C" w:rsidRDefault="00011D9C" w:rsidP="00011D9C">
      <w:pPr>
        <w:pStyle w:val="Zkladntext"/>
        <w:rPr>
          <w:rFonts w:asciiTheme="minorHAnsi" w:hAnsiTheme="minorHAnsi"/>
          <w:sz w:val="22"/>
          <w:szCs w:val="22"/>
          <w:lang w:val="sk-SK"/>
        </w:rPr>
      </w:pPr>
    </w:p>
    <w:p w:rsidR="00011D9C" w:rsidRPr="00011D9C" w:rsidRDefault="00011D9C" w:rsidP="00011D9C">
      <w:pPr>
        <w:pStyle w:val="Zkladntext"/>
        <w:rPr>
          <w:rFonts w:asciiTheme="minorHAnsi" w:hAnsiTheme="minorHAnsi"/>
          <w:sz w:val="22"/>
          <w:szCs w:val="22"/>
          <w:lang w:val="sk-SK"/>
        </w:rPr>
      </w:pPr>
    </w:p>
    <w:p w:rsidR="00011D9C" w:rsidRPr="00011D9C" w:rsidRDefault="00011D9C" w:rsidP="00011D9C">
      <w:pPr>
        <w:pStyle w:val="Zkladntext"/>
        <w:rPr>
          <w:rFonts w:asciiTheme="minorHAnsi" w:hAnsiTheme="minorHAnsi"/>
          <w:sz w:val="22"/>
          <w:szCs w:val="22"/>
          <w:lang w:val="sk-SK"/>
        </w:rPr>
      </w:pPr>
    </w:p>
    <w:bookmarkStart w:id="11" w:name="_MON_1458630666"/>
    <w:bookmarkStart w:id="12" w:name="_MON_1458630767"/>
    <w:bookmarkStart w:id="13" w:name="_MON_1458630867"/>
    <w:bookmarkStart w:id="14" w:name="_MON_1458638465"/>
    <w:bookmarkStart w:id="15" w:name="_MON_1490166610"/>
    <w:bookmarkStart w:id="16" w:name="_MON_1490166633"/>
    <w:bookmarkStart w:id="17" w:name="_MON_1490166645"/>
    <w:bookmarkStart w:id="18" w:name="_MON_1490166678"/>
    <w:bookmarkEnd w:id="11"/>
    <w:bookmarkEnd w:id="12"/>
    <w:bookmarkEnd w:id="13"/>
    <w:bookmarkEnd w:id="14"/>
    <w:bookmarkEnd w:id="15"/>
    <w:bookmarkEnd w:id="16"/>
    <w:bookmarkEnd w:id="17"/>
    <w:bookmarkEnd w:id="18"/>
    <w:p w:rsidR="00011D9C" w:rsidRPr="00011D9C" w:rsidRDefault="00011D9C" w:rsidP="00011D9C">
      <w:pPr>
        <w:pStyle w:val="Zkladntext"/>
        <w:rPr>
          <w:rFonts w:asciiTheme="minorHAnsi" w:hAnsiTheme="minorHAnsi"/>
          <w:sz w:val="22"/>
          <w:szCs w:val="22"/>
          <w:lang w:val="sk-SK"/>
        </w:rPr>
      </w:pPr>
      <w:r w:rsidRPr="00011D9C">
        <w:rPr>
          <w:rFonts w:asciiTheme="minorHAnsi" w:hAnsiTheme="minorHAnsi"/>
          <w:sz w:val="22"/>
          <w:szCs w:val="22"/>
        </w:rPr>
        <w:object w:dxaOrig="8791" w:dyaOrig="1987">
          <v:shape id="_x0000_i1146" type="#_x0000_t75" style="width:430.1pt;height:108.3pt" o:ole="">
            <v:imagedata r:id="rId18" o:title=""/>
          </v:shape>
          <o:OLEObject Type="Embed" ProgID="Excel.Sheet.12" ShapeID="_x0000_i1146" DrawAspect="Content" ObjectID="_1528788563" r:id="rId19"/>
        </w:object>
      </w:r>
    </w:p>
    <w:p w:rsidR="00011D9C" w:rsidRPr="00011D9C" w:rsidRDefault="00011D9C" w:rsidP="00011D9C">
      <w:pPr>
        <w:pStyle w:val="Zkladntext"/>
        <w:rPr>
          <w:rFonts w:asciiTheme="minorHAnsi" w:hAnsiTheme="minorHAnsi"/>
          <w:sz w:val="22"/>
          <w:szCs w:val="22"/>
          <w:lang w:val="sk-SK"/>
        </w:rPr>
      </w:pP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ind w:left="0"/>
        <w:rPr>
          <w:rFonts w:asciiTheme="minorHAnsi" w:hAnsiTheme="minorHAnsi"/>
          <w:sz w:val="22"/>
          <w:szCs w:val="22"/>
          <w:lang w:val="sk-SK"/>
        </w:rPr>
      </w:pPr>
    </w:p>
    <w:p w:rsidR="00011D9C" w:rsidRPr="00011D9C" w:rsidRDefault="00011D9C" w:rsidP="00011D9C">
      <w:pPr>
        <w:pStyle w:val="Nadpis2"/>
        <w:keepNext/>
        <w:numPr>
          <w:ilvl w:val="0"/>
          <w:numId w:val="5"/>
        </w:numPr>
        <w:spacing w:before="0" w:after="0" w:line="240" w:lineRule="auto"/>
        <w:rPr>
          <w:sz w:val="22"/>
          <w:szCs w:val="22"/>
        </w:rPr>
      </w:pPr>
      <w:bookmarkStart w:id="19" w:name="_Toc530739905"/>
      <w:r w:rsidRPr="00011D9C">
        <w:rPr>
          <w:sz w:val="22"/>
          <w:szCs w:val="22"/>
        </w:rPr>
        <w:t>Finančné účty</w:t>
      </w:r>
      <w:bookmarkEnd w:id="19"/>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Ako finančný majetok sú vykázané peniaze v pokladnici a účty v bankách. Účtami v bankách môže Spoločnosť voľne disponovať.</w:t>
      </w:r>
    </w:p>
    <w:bookmarkStart w:id="20" w:name="_MON_1399202644"/>
    <w:bookmarkStart w:id="21" w:name="_MON_1399202715"/>
    <w:bookmarkStart w:id="22" w:name="_MON_1399202721"/>
    <w:bookmarkStart w:id="23" w:name="_MON_1399286164"/>
    <w:bookmarkStart w:id="24" w:name="_MON_1421574643"/>
    <w:bookmarkStart w:id="25" w:name="_MON_1422962401"/>
    <w:bookmarkStart w:id="26" w:name="_MON_1422962488"/>
    <w:bookmarkEnd w:id="20"/>
    <w:bookmarkEnd w:id="21"/>
    <w:bookmarkEnd w:id="22"/>
    <w:bookmarkEnd w:id="23"/>
    <w:bookmarkEnd w:id="24"/>
    <w:bookmarkEnd w:id="25"/>
    <w:bookmarkEnd w:id="26"/>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object w:dxaOrig="9052" w:dyaOrig="2244">
          <v:shape id="_x0000_i1147" type="#_x0000_t75" style="width:442.65pt;height:122.1pt" o:ole="">
            <v:imagedata r:id="rId20" o:title=""/>
          </v:shape>
          <o:OLEObject Type="Embed" ProgID="Excel.Sheet.12" ShapeID="_x0000_i1147" DrawAspect="Content" ObjectID="_1528788564" r:id="rId21"/>
        </w:object>
      </w:r>
    </w:p>
    <w:p w:rsidR="00011D9C" w:rsidRPr="00011D9C" w:rsidRDefault="00011D9C" w:rsidP="00011D9C">
      <w:pPr>
        <w:pStyle w:val="Nadpis2"/>
        <w:keepNext/>
        <w:numPr>
          <w:ilvl w:val="0"/>
          <w:numId w:val="5"/>
        </w:numPr>
        <w:spacing w:before="0" w:after="0" w:line="240" w:lineRule="auto"/>
        <w:rPr>
          <w:sz w:val="22"/>
          <w:szCs w:val="22"/>
        </w:rPr>
      </w:pPr>
      <w:bookmarkStart w:id="27" w:name="_Toc530739906"/>
      <w:r w:rsidRPr="00011D9C">
        <w:rPr>
          <w:sz w:val="22"/>
          <w:szCs w:val="22"/>
        </w:rPr>
        <w:t>Časové rozlíšenie</w:t>
      </w:r>
      <w:bookmarkEnd w:id="27"/>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Ide o tieto položky:</w:t>
      </w:r>
    </w:p>
    <w:bookmarkStart w:id="28" w:name="_MON_1399275334"/>
    <w:bookmarkStart w:id="29" w:name="_MON_1399286201"/>
    <w:bookmarkStart w:id="30" w:name="_MON_1421575454"/>
    <w:bookmarkStart w:id="31" w:name="_MON_1422962554"/>
    <w:bookmarkEnd w:id="28"/>
    <w:bookmarkEnd w:id="29"/>
    <w:bookmarkEnd w:id="30"/>
    <w:bookmarkEnd w:id="31"/>
    <w:p w:rsidR="00011D9C" w:rsidRPr="00011D9C" w:rsidRDefault="00011D9C" w:rsidP="00011D9C">
      <w:pPr>
        <w:pStyle w:val="Zkladntext"/>
        <w:rPr>
          <w:rFonts w:asciiTheme="minorHAnsi" w:hAnsiTheme="minorHAnsi"/>
          <w:sz w:val="22"/>
          <w:szCs w:val="22"/>
          <w:lang w:val="de-DE"/>
        </w:rPr>
      </w:pPr>
      <w:r w:rsidRPr="00011D9C">
        <w:rPr>
          <w:rFonts w:asciiTheme="minorHAnsi" w:hAnsiTheme="minorHAnsi"/>
          <w:sz w:val="22"/>
          <w:szCs w:val="22"/>
          <w:lang w:val="de-DE"/>
        </w:rPr>
        <w:object w:dxaOrig="9035" w:dyaOrig="1998">
          <v:shape id="_x0000_i1148" type="#_x0000_t75" style="width:442pt;height:109.55pt" o:ole="">
            <v:imagedata r:id="rId22" o:title=""/>
          </v:shape>
          <o:OLEObject Type="Embed" ProgID="Excel.Sheet.12" ShapeID="_x0000_i1148" DrawAspect="Content" ObjectID="_1528788565" r:id="rId23"/>
        </w:object>
      </w: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Nadpis2"/>
        <w:keepNext/>
        <w:numPr>
          <w:ilvl w:val="0"/>
          <w:numId w:val="5"/>
        </w:numPr>
        <w:spacing w:before="0" w:after="0" w:line="240" w:lineRule="auto"/>
        <w:rPr>
          <w:sz w:val="22"/>
          <w:szCs w:val="22"/>
        </w:rPr>
      </w:pPr>
      <w:bookmarkStart w:id="32" w:name="_Toc530739908"/>
      <w:r w:rsidRPr="00011D9C">
        <w:rPr>
          <w:sz w:val="22"/>
          <w:szCs w:val="22"/>
        </w:rPr>
        <w:t>Zmeny vlastných zdrojov krytia neobežného a obežného majetku</w:t>
      </w:r>
    </w:p>
    <w:p w:rsidR="00011D9C" w:rsidRPr="00011D9C" w:rsidRDefault="00011D9C" w:rsidP="00011D9C">
      <w:pPr>
        <w:pStyle w:val="Zkladntext"/>
        <w:rPr>
          <w:rFonts w:asciiTheme="minorHAnsi" w:hAnsiTheme="minorHAnsi"/>
          <w:sz w:val="22"/>
          <w:szCs w:val="22"/>
        </w:rPr>
      </w:pPr>
    </w:p>
    <w:bookmarkStart w:id="33" w:name="_MON_1456836534"/>
    <w:bookmarkStart w:id="34" w:name="_MON_1490167304"/>
    <w:bookmarkStart w:id="35" w:name="_MON_1490170132"/>
    <w:bookmarkStart w:id="36" w:name="_MON_1490170155"/>
    <w:bookmarkEnd w:id="33"/>
    <w:bookmarkEnd w:id="34"/>
    <w:bookmarkEnd w:id="35"/>
    <w:bookmarkEnd w:id="36"/>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object w:dxaOrig="9290" w:dyaOrig="5179">
          <v:shape id="_x0000_i1149" type="#_x0000_t75" style="width:436.4pt;height:271.7pt" o:ole="" o:preferrelative="f">
            <v:imagedata r:id="rId24" o:title=""/>
            <o:lock v:ext="edit" aspectratio="f"/>
          </v:shape>
          <o:OLEObject Type="Embed" ProgID="Excel.Sheet.12" ShapeID="_x0000_i1149" DrawAspect="Content" ObjectID="_1528788566" r:id="rId25"/>
        </w:object>
      </w:r>
    </w:p>
    <w:p w:rsidR="00011D9C" w:rsidRPr="00011D9C" w:rsidRDefault="00011D9C" w:rsidP="00011D9C">
      <w:pPr>
        <w:pStyle w:val="Zkladntext"/>
        <w:rPr>
          <w:rFonts w:asciiTheme="minorHAnsi" w:hAnsiTheme="minorHAnsi"/>
          <w:sz w:val="22"/>
          <w:szCs w:val="22"/>
        </w:rPr>
      </w:pPr>
    </w:p>
    <w:bookmarkStart w:id="37" w:name="_MON_1490167416"/>
    <w:bookmarkEnd w:id="37"/>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object w:dxaOrig="9290" w:dyaOrig="5179">
          <v:shape id="_x0000_i1150" type="#_x0000_t75" style="width:436.4pt;height:271.7pt" o:ole="" o:preferrelative="f">
            <v:imagedata r:id="rId26" o:title=""/>
            <o:lock v:ext="edit" aspectratio="f"/>
          </v:shape>
          <o:OLEObject Type="Embed" ProgID="Excel.Sheet.12" ShapeID="_x0000_i1150" DrawAspect="Content" ObjectID="_1528788567" r:id="rId27"/>
        </w:object>
      </w:r>
    </w:p>
    <w:bookmarkStart w:id="38" w:name="_MON_1235461526"/>
    <w:bookmarkStart w:id="39" w:name="_MON_1235561660"/>
    <w:bookmarkStart w:id="40" w:name="_MON_1235561679"/>
    <w:bookmarkStart w:id="41" w:name="_MON_1268133516"/>
    <w:bookmarkStart w:id="42" w:name="_MON_1299770729"/>
    <w:bookmarkStart w:id="43" w:name="_MON_1331382273"/>
    <w:bookmarkStart w:id="44" w:name="_MON_1333368223"/>
    <w:bookmarkStart w:id="45" w:name="_MON_1333370524"/>
    <w:bookmarkStart w:id="46" w:name="_MON_1362897361"/>
    <w:bookmarkStart w:id="47" w:name="_MON_1392724503"/>
    <w:bookmarkStart w:id="48" w:name="_MON_1399286217"/>
    <w:bookmarkStart w:id="49" w:name="_MON_1399286226"/>
    <w:bookmarkEnd w:id="38"/>
    <w:bookmarkEnd w:id="39"/>
    <w:bookmarkEnd w:id="40"/>
    <w:bookmarkEnd w:id="41"/>
    <w:bookmarkEnd w:id="42"/>
    <w:bookmarkEnd w:id="43"/>
    <w:bookmarkEnd w:id="44"/>
    <w:bookmarkEnd w:id="45"/>
    <w:bookmarkEnd w:id="46"/>
    <w:bookmarkEnd w:id="47"/>
    <w:bookmarkEnd w:id="48"/>
    <w:bookmarkEnd w:id="49"/>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object w:dxaOrig="8760" w:dyaOrig="1721">
          <v:shape id="_x0000_i1151" type="#_x0000_t75" style="width:438.25pt;height:85.75pt" o:ole="">
            <v:imagedata r:id="rId28" o:title=""/>
          </v:shape>
          <o:OLEObject Type="Embed" ProgID="Excel.Sheet.8" ShapeID="_x0000_i1151" DrawAspect="Content" ObjectID="_1528788568" r:id="rId29"/>
        </w:object>
      </w:r>
    </w:p>
    <w:p w:rsidR="00011D9C" w:rsidRPr="00011D9C" w:rsidRDefault="00011D9C" w:rsidP="00011D9C">
      <w:pPr>
        <w:pStyle w:val="Zkladntext"/>
        <w:ind w:left="0"/>
        <w:rPr>
          <w:rFonts w:asciiTheme="minorHAnsi" w:hAnsiTheme="minorHAnsi"/>
          <w:sz w:val="22"/>
          <w:szCs w:val="22"/>
          <w:lang w:val="sk-SK"/>
        </w:rPr>
      </w:pPr>
    </w:p>
    <w:p w:rsidR="00011D9C" w:rsidRPr="00011D9C" w:rsidRDefault="00011D9C" w:rsidP="00011D9C">
      <w:pPr>
        <w:pStyle w:val="Nadpis2"/>
        <w:keepNext/>
        <w:numPr>
          <w:ilvl w:val="0"/>
          <w:numId w:val="5"/>
        </w:numPr>
        <w:spacing w:before="0" w:after="0" w:line="240" w:lineRule="auto"/>
        <w:rPr>
          <w:sz w:val="22"/>
          <w:szCs w:val="22"/>
        </w:rPr>
      </w:pPr>
      <w:r w:rsidRPr="00011D9C">
        <w:rPr>
          <w:sz w:val="22"/>
          <w:szCs w:val="22"/>
        </w:rPr>
        <w:t>Rezervy</w:t>
      </w:r>
      <w:bookmarkEnd w:id="32"/>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lang w:val="sk-SK"/>
        </w:rPr>
      </w:pPr>
      <w:r w:rsidRPr="00011D9C">
        <w:rPr>
          <w:rFonts w:asciiTheme="minorHAnsi" w:hAnsiTheme="minorHAnsi"/>
          <w:sz w:val="22"/>
          <w:szCs w:val="22"/>
        </w:rPr>
        <w:t>Prehľad o rezervách za bežné účtovné obdobie je uvedený v nasledujúcom prehľade:</w:t>
      </w:r>
    </w:p>
    <w:p w:rsidR="00011D9C" w:rsidRPr="00011D9C" w:rsidRDefault="00011D9C" w:rsidP="00011D9C">
      <w:pPr>
        <w:pStyle w:val="Zkladntext"/>
        <w:ind w:left="-142"/>
        <w:rPr>
          <w:rFonts w:asciiTheme="minorHAnsi" w:hAnsiTheme="minorHAnsi"/>
          <w:sz w:val="22"/>
          <w:szCs w:val="22"/>
          <w:lang w:val="sk-SK"/>
        </w:rPr>
      </w:pPr>
    </w:p>
    <w:bookmarkStart w:id="50" w:name="_MON_1458631757"/>
    <w:bookmarkStart w:id="51" w:name="_MON_1458632005"/>
    <w:bookmarkStart w:id="52" w:name="_MON_1458632027"/>
    <w:bookmarkStart w:id="53" w:name="_MON_1490167647"/>
    <w:bookmarkStart w:id="54" w:name="_MON_1490167685"/>
    <w:bookmarkEnd w:id="50"/>
    <w:bookmarkEnd w:id="51"/>
    <w:bookmarkEnd w:id="52"/>
    <w:bookmarkEnd w:id="53"/>
    <w:bookmarkEnd w:id="54"/>
    <w:p w:rsidR="00011D9C" w:rsidRPr="00011D9C" w:rsidRDefault="00011D9C" w:rsidP="00011D9C">
      <w:pPr>
        <w:pStyle w:val="Zkladntext"/>
        <w:ind w:left="-142"/>
        <w:rPr>
          <w:rFonts w:asciiTheme="minorHAnsi" w:hAnsiTheme="minorHAnsi"/>
          <w:sz w:val="22"/>
          <w:szCs w:val="22"/>
          <w:lang w:val="sk-SK"/>
        </w:rPr>
      </w:pPr>
      <w:r w:rsidRPr="00011D9C">
        <w:rPr>
          <w:rFonts w:asciiTheme="minorHAnsi" w:hAnsiTheme="minorHAnsi"/>
          <w:sz w:val="22"/>
          <w:szCs w:val="22"/>
        </w:rPr>
        <w:object w:dxaOrig="8789" w:dyaOrig="3681">
          <v:shape id="_x0000_i1152" type="#_x0000_t75" style="width:445.75pt;height:206pt" o:ole="">
            <v:imagedata r:id="rId30" o:title=""/>
          </v:shape>
          <o:OLEObject Type="Embed" ProgID="Excel.Sheet.12" ShapeID="_x0000_i1152" DrawAspect="Content" ObjectID="_1528788569" r:id="rId31"/>
        </w:object>
      </w:r>
    </w:p>
    <w:p w:rsidR="00011D9C" w:rsidRPr="00011D9C" w:rsidRDefault="00011D9C" w:rsidP="00011D9C">
      <w:pPr>
        <w:pStyle w:val="Zkladntext"/>
        <w:ind w:left="-142"/>
        <w:rPr>
          <w:rFonts w:asciiTheme="minorHAnsi" w:hAnsiTheme="minorHAnsi"/>
          <w:sz w:val="22"/>
          <w:szCs w:val="22"/>
        </w:rPr>
      </w:pPr>
    </w:p>
    <w:p w:rsidR="00011D9C" w:rsidRPr="00011D9C" w:rsidRDefault="00011D9C" w:rsidP="00011D9C">
      <w:pPr>
        <w:pStyle w:val="Zkladntext"/>
        <w:ind w:left="-142"/>
        <w:rPr>
          <w:rFonts w:asciiTheme="minorHAnsi" w:hAnsiTheme="minorHAnsi"/>
          <w:sz w:val="22"/>
          <w:szCs w:val="22"/>
        </w:rPr>
      </w:pPr>
      <w:r w:rsidRPr="00011D9C">
        <w:rPr>
          <w:rFonts w:asciiTheme="minorHAnsi" w:hAnsiTheme="minorHAnsi"/>
          <w:sz w:val="22"/>
          <w:szCs w:val="22"/>
        </w:rPr>
        <w:t>Rezerva bude použitá v r. 2016</w:t>
      </w:r>
    </w:p>
    <w:p w:rsidR="00011D9C" w:rsidRPr="00011D9C" w:rsidRDefault="00011D9C" w:rsidP="00011D9C">
      <w:pPr>
        <w:pStyle w:val="Zkladntext"/>
        <w:ind w:left="-142"/>
        <w:rPr>
          <w:rFonts w:asciiTheme="minorHAnsi" w:hAnsiTheme="minorHAnsi"/>
          <w:sz w:val="22"/>
          <w:szCs w:val="22"/>
        </w:rPr>
      </w:pPr>
    </w:p>
    <w:p w:rsidR="00011D9C" w:rsidRPr="00011D9C" w:rsidRDefault="00011D9C" w:rsidP="00011D9C">
      <w:pPr>
        <w:pStyle w:val="Zkladntext"/>
        <w:ind w:left="0"/>
        <w:rPr>
          <w:rFonts w:asciiTheme="minorHAnsi" w:hAnsiTheme="minorHAnsi"/>
          <w:sz w:val="22"/>
          <w:szCs w:val="22"/>
        </w:rPr>
      </w:pPr>
    </w:p>
    <w:p w:rsidR="00011D9C" w:rsidRPr="00011D9C" w:rsidRDefault="00011D9C" w:rsidP="00011D9C">
      <w:pPr>
        <w:pStyle w:val="Zkladntext"/>
        <w:ind w:left="0"/>
        <w:rPr>
          <w:rFonts w:asciiTheme="minorHAnsi" w:hAnsiTheme="minorHAnsi"/>
          <w:sz w:val="22"/>
          <w:szCs w:val="22"/>
        </w:rPr>
      </w:pPr>
      <w:r w:rsidRPr="00011D9C">
        <w:rPr>
          <w:rFonts w:asciiTheme="minorHAnsi" w:hAnsiTheme="minorHAnsi"/>
          <w:sz w:val="22"/>
          <w:szCs w:val="22"/>
        </w:rPr>
        <w:t>Prehľad o rezervách za predchádzajúce účtovné obdobie je uvedený v nasledujúcom prehľade:</w:t>
      </w:r>
    </w:p>
    <w:p w:rsidR="00011D9C" w:rsidRPr="00011D9C" w:rsidRDefault="00011D9C" w:rsidP="00011D9C">
      <w:pPr>
        <w:pStyle w:val="Zkladntext"/>
        <w:ind w:left="-142"/>
        <w:rPr>
          <w:rFonts w:asciiTheme="minorHAnsi" w:hAnsiTheme="minorHAnsi"/>
          <w:sz w:val="22"/>
          <w:szCs w:val="22"/>
        </w:rPr>
      </w:pPr>
    </w:p>
    <w:bookmarkStart w:id="55" w:name="_MON_1520861789"/>
    <w:bookmarkEnd w:id="55"/>
    <w:p w:rsidR="00011D9C" w:rsidRPr="00011D9C" w:rsidRDefault="00011D9C" w:rsidP="00011D9C">
      <w:pPr>
        <w:pStyle w:val="Zkladntext"/>
        <w:ind w:left="-142"/>
        <w:rPr>
          <w:rFonts w:asciiTheme="minorHAnsi" w:hAnsiTheme="minorHAnsi"/>
          <w:sz w:val="22"/>
          <w:szCs w:val="22"/>
        </w:rPr>
      </w:pPr>
      <w:r w:rsidRPr="00011D9C">
        <w:rPr>
          <w:rFonts w:asciiTheme="minorHAnsi" w:hAnsiTheme="minorHAnsi"/>
          <w:sz w:val="22"/>
          <w:szCs w:val="22"/>
        </w:rPr>
        <w:object w:dxaOrig="8789" w:dyaOrig="3681">
          <v:shape id="_x0000_i1153" type="#_x0000_t75" style="width:445.75pt;height:206pt" o:ole="">
            <v:imagedata r:id="rId32" o:title=""/>
          </v:shape>
          <o:OLEObject Type="Embed" ProgID="Excel.Sheet.12" ShapeID="_x0000_i1153" DrawAspect="Content" ObjectID="_1528788570" r:id="rId33"/>
        </w:object>
      </w:r>
    </w:p>
    <w:p w:rsidR="00011D9C" w:rsidRPr="00011D9C" w:rsidRDefault="00011D9C" w:rsidP="00011D9C">
      <w:pPr>
        <w:pStyle w:val="Zkladntext"/>
        <w:ind w:left="-142"/>
        <w:rPr>
          <w:rFonts w:asciiTheme="minorHAnsi" w:hAnsiTheme="minorHAnsi"/>
          <w:sz w:val="22"/>
          <w:szCs w:val="22"/>
        </w:rPr>
      </w:pPr>
    </w:p>
    <w:p w:rsidR="00011D9C" w:rsidRPr="00011D9C" w:rsidRDefault="00011D9C" w:rsidP="00011D9C">
      <w:pPr>
        <w:pStyle w:val="Zkladntext"/>
        <w:ind w:left="0"/>
        <w:rPr>
          <w:rFonts w:asciiTheme="minorHAnsi" w:hAnsiTheme="minorHAnsi"/>
          <w:sz w:val="22"/>
          <w:szCs w:val="22"/>
          <w:lang w:val="sk-SK"/>
        </w:rPr>
      </w:pPr>
    </w:p>
    <w:p w:rsidR="00011D9C" w:rsidRPr="00011D9C" w:rsidRDefault="00011D9C" w:rsidP="00011D9C">
      <w:pPr>
        <w:pStyle w:val="Nadpis2"/>
        <w:keepNext/>
        <w:numPr>
          <w:ilvl w:val="0"/>
          <w:numId w:val="5"/>
        </w:numPr>
        <w:spacing w:before="0" w:after="0" w:line="240" w:lineRule="auto"/>
        <w:rPr>
          <w:sz w:val="22"/>
          <w:szCs w:val="22"/>
        </w:rPr>
      </w:pPr>
      <w:bookmarkStart w:id="56" w:name="_Toc530739909"/>
      <w:r w:rsidRPr="00011D9C">
        <w:rPr>
          <w:sz w:val="22"/>
          <w:szCs w:val="22"/>
        </w:rPr>
        <w:t>Záväzky</w:t>
      </w:r>
      <w:bookmarkEnd w:id="56"/>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Štruktúra záväzkov (okrem bankových úverov) podľa zostatkovej doby splatnosti je uvedená v nasledujúcej tabuľke:</w:t>
      </w:r>
    </w:p>
    <w:p w:rsidR="00011D9C" w:rsidRPr="00011D9C" w:rsidRDefault="00011D9C" w:rsidP="00011D9C">
      <w:pPr>
        <w:pStyle w:val="Zkladntext"/>
        <w:rPr>
          <w:rFonts w:asciiTheme="minorHAnsi" w:hAnsiTheme="minorHAnsi"/>
          <w:sz w:val="22"/>
          <w:szCs w:val="22"/>
          <w:lang w:val="sk-SK"/>
        </w:rPr>
      </w:pPr>
    </w:p>
    <w:p w:rsidR="00011D9C" w:rsidRPr="00011D9C" w:rsidRDefault="00011D9C" w:rsidP="00011D9C">
      <w:pPr>
        <w:pStyle w:val="Zkladntext"/>
        <w:rPr>
          <w:rFonts w:asciiTheme="minorHAnsi" w:hAnsiTheme="minorHAnsi"/>
          <w:sz w:val="22"/>
          <w:szCs w:val="22"/>
          <w:lang w:val="sk-SK"/>
        </w:rPr>
      </w:pPr>
    </w:p>
    <w:bookmarkStart w:id="57" w:name="_MON_1458632233"/>
    <w:bookmarkStart w:id="58" w:name="_MON_1458632342"/>
    <w:bookmarkStart w:id="59" w:name="_MON_1458632352"/>
    <w:bookmarkStart w:id="60" w:name="_MON_1458632366"/>
    <w:bookmarkStart w:id="61" w:name="_MON_1458632387"/>
    <w:bookmarkStart w:id="62" w:name="_MON_1490167852"/>
    <w:bookmarkStart w:id="63" w:name="_MON_1490167892"/>
    <w:bookmarkStart w:id="64" w:name="_MON_1490167948"/>
    <w:bookmarkStart w:id="65" w:name="_MON_1490167965"/>
    <w:bookmarkEnd w:id="57"/>
    <w:bookmarkEnd w:id="58"/>
    <w:bookmarkEnd w:id="59"/>
    <w:bookmarkEnd w:id="60"/>
    <w:bookmarkEnd w:id="61"/>
    <w:bookmarkEnd w:id="62"/>
    <w:bookmarkEnd w:id="63"/>
    <w:bookmarkEnd w:id="64"/>
    <w:bookmarkEnd w:id="65"/>
    <w:p w:rsidR="00011D9C" w:rsidRPr="00011D9C" w:rsidRDefault="00011D9C" w:rsidP="00011D9C">
      <w:pPr>
        <w:pStyle w:val="Zkladntext"/>
        <w:rPr>
          <w:rFonts w:asciiTheme="minorHAnsi" w:hAnsiTheme="minorHAnsi"/>
          <w:sz w:val="22"/>
          <w:szCs w:val="22"/>
          <w:lang w:val="sk-SK"/>
        </w:rPr>
      </w:pPr>
      <w:r w:rsidRPr="00011D9C">
        <w:rPr>
          <w:rFonts w:asciiTheme="minorHAnsi" w:hAnsiTheme="minorHAnsi"/>
          <w:sz w:val="22"/>
          <w:szCs w:val="22"/>
        </w:rPr>
        <w:object w:dxaOrig="8972" w:dyaOrig="3342">
          <v:shape id="_x0000_i1154" type="#_x0000_t75" style="width:440.75pt;height:183.45pt" o:ole="" o:preferrelative="f">
            <v:imagedata r:id="rId34" o:title=""/>
            <o:lock v:ext="edit" aspectratio="f"/>
          </v:shape>
          <o:OLEObject Type="Embed" ProgID="Excel.Sheet.12" ShapeID="_x0000_i1154" DrawAspect="Content" ObjectID="_1528788571" r:id="rId35"/>
        </w:object>
      </w:r>
    </w:p>
    <w:p w:rsidR="00011D9C" w:rsidRPr="00011D9C" w:rsidRDefault="00011D9C" w:rsidP="00011D9C">
      <w:pPr>
        <w:pStyle w:val="Nadpis2"/>
        <w:keepNext/>
        <w:numPr>
          <w:ilvl w:val="0"/>
          <w:numId w:val="5"/>
        </w:numPr>
        <w:spacing w:before="0" w:after="0" w:line="240" w:lineRule="auto"/>
        <w:rPr>
          <w:sz w:val="22"/>
          <w:szCs w:val="22"/>
        </w:rPr>
      </w:pPr>
      <w:bookmarkStart w:id="66" w:name="_Toc530739911"/>
      <w:r w:rsidRPr="00011D9C">
        <w:rPr>
          <w:sz w:val="22"/>
          <w:szCs w:val="22"/>
        </w:rPr>
        <w:t>Sociálny fond</w:t>
      </w:r>
      <w:bookmarkEnd w:id="66"/>
    </w:p>
    <w:bookmarkStart w:id="67" w:name="_MON_1399890335"/>
    <w:bookmarkStart w:id="68" w:name="_MON_1422965381"/>
    <w:bookmarkStart w:id="69" w:name="_MON_1490168029"/>
    <w:bookmarkEnd w:id="67"/>
    <w:bookmarkEnd w:id="68"/>
    <w:bookmarkEnd w:id="69"/>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object w:dxaOrig="8972" w:dyaOrig="2357">
          <v:shape id="_x0000_i1155" type="#_x0000_t75" style="width:440.75pt;height:129.6pt" o:ole="">
            <v:imagedata r:id="rId36" o:title=""/>
          </v:shape>
          <o:OLEObject Type="Embed" ProgID="Excel.Sheet.12" ShapeID="_x0000_i1155" DrawAspect="Content" ObjectID="_1528788572" r:id="rId37"/>
        </w:object>
      </w:r>
    </w:p>
    <w:p w:rsidR="00011D9C" w:rsidRPr="00011D9C" w:rsidRDefault="00011D9C" w:rsidP="00011D9C"/>
    <w:p w:rsidR="00011D9C" w:rsidRPr="00011D9C" w:rsidRDefault="00011D9C" w:rsidP="00011D9C">
      <w:pPr>
        <w:pStyle w:val="Nadpis2"/>
        <w:keepNext/>
        <w:numPr>
          <w:ilvl w:val="0"/>
          <w:numId w:val="5"/>
        </w:numPr>
        <w:spacing w:before="0" w:after="0" w:line="240" w:lineRule="auto"/>
        <w:rPr>
          <w:sz w:val="22"/>
          <w:szCs w:val="22"/>
        </w:rPr>
      </w:pPr>
      <w:r w:rsidRPr="00011D9C">
        <w:rPr>
          <w:sz w:val="22"/>
          <w:szCs w:val="22"/>
        </w:rPr>
        <w:t>Prehľad o významných položkách výnosov budúcich období</w:t>
      </w:r>
    </w:p>
    <w:p w:rsidR="00011D9C" w:rsidRPr="00011D9C" w:rsidRDefault="00011D9C" w:rsidP="00011D9C">
      <w:pPr>
        <w:pStyle w:val="Zkladntext"/>
        <w:rPr>
          <w:rFonts w:asciiTheme="minorHAnsi" w:hAnsiTheme="minorHAnsi"/>
          <w:sz w:val="22"/>
          <w:szCs w:val="22"/>
        </w:rPr>
      </w:pPr>
    </w:p>
    <w:p w:rsidR="00011D9C" w:rsidRPr="00011D9C" w:rsidRDefault="00011D9C" w:rsidP="00011D9C">
      <w:pPr>
        <w:pStyle w:val="Zkladntext"/>
        <w:rPr>
          <w:rFonts w:asciiTheme="minorHAnsi" w:hAnsiTheme="minorHAnsi"/>
          <w:sz w:val="22"/>
          <w:szCs w:val="22"/>
        </w:rPr>
      </w:pPr>
      <w:r w:rsidRPr="00011D9C">
        <w:rPr>
          <w:rFonts w:asciiTheme="minorHAnsi" w:hAnsiTheme="minorHAnsi"/>
          <w:sz w:val="22"/>
          <w:szCs w:val="22"/>
        </w:rPr>
        <w:t>Štruktúra časového rozlíšenia je uvedená v nasledujúcom prehľade:</w:t>
      </w:r>
    </w:p>
    <w:p w:rsidR="00011D9C" w:rsidRDefault="00011D9C" w:rsidP="00011D9C">
      <w:pPr>
        <w:pStyle w:val="Zkladntext"/>
      </w:pPr>
    </w:p>
    <w:bookmarkStart w:id="70" w:name="_MON_1458633645"/>
    <w:bookmarkStart w:id="71" w:name="_MON_1458633834"/>
    <w:bookmarkStart w:id="72" w:name="_MON_1458634030"/>
    <w:bookmarkStart w:id="73" w:name="_MON_1458634074"/>
    <w:bookmarkStart w:id="74" w:name="_MON_1458634103"/>
    <w:bookmarkStart w:id="75" w:name="_MON_1458634117"/>
    <w:bookmarkStart w:id="76" w:name="_MON_1458634167"/>
    <w:bookmarkStart w:id="77" w:name="_MON_1458634202"/>
    <w:bookmarkStart w:id="78" w:name="_MON_1458634206"/>
    <w:bookmarkStart w:id="79" w:name="_MON_1458634221"/>
    <w:bookmarkEnd w:id="70"/>
    <w:bookmarkEnd w:id="71"/>
    <w:bookmarkEnd w:id="72"/>
    <w:bookmarkEnd w:id="73"/>
    <w:bookmarkEnd w:id="74"/>
    <w:bookmarkEnd w:id="75"/>
    <w:bookmarkEnd w:id="76"/>
    <w:bookmarkEnd w:id="77"/>
    <w:bookmarkEnd w:id="78"/>
    <w:bookmarkEnd w:id="79"/>
    <w:p w:rsidR="00011D9C" w:rsidRPr="00011D9C" w:rsidRDefault="00011D9C" w:rsidP="00011D9C">
      <w:pPr>
        <w:pStyle w:val="Zkladntext"/>
        <w:rPr>
          <w:lang w:val="sk-SK"/>
        </w:rPr>
      </w:pPr>
      <w:r>
        <w:object w:dxaOrig="8495" w:dyaOrig="5333">
          <v:shape id="_x0000_i1156" type="#_x0000_t75" style="width:415.1pt;height:289.9pt" o:ole="" o:preferrelative="f">
            <v:imagedata r:id="rId38" o:title=""/>
            <o:lock v:ext="edit" aspectratio="f"/>
          </v:shape>
          <o:OLEObject Type="Embed" ProgID="Excel.Sheet.12" ShapeID="_x0000_i1156" DrawAspect="Content" ObjectID="_1528788573" r:id="rId39"/>
        </w:object>
      </w:r>
    </w:p>
    <w:p w:rsidR="00011D9C" w:rsidRDefault="00011D9C" w:rsidP="00011D9C">
      <w:pPr>
        <w:pStyle w:val="Zkladntext"/>
      </w:pPr>
    </w:p>
    <w:p w:rsidR="00011D9C" w:rsidRPr="00011D9C" w:rsidRDefault="00011D9C" w:rsidP="00011D9C">
      <w:pPr>
        <w:pStyle w:val="Nadpis2"/>
        <w:rPr>
          <w:sz w:val="22"/>
          <w:szCs w:val="22"/>
        </w:rPr>
      </w:pPr>
      <w:r w:rsidRPr="00011D9C">
        <w:rPr>
          <w:sz w:val="22"/>
          <w:szCs w:val="22"/>
        </w:rPr>
        <w:t>D. INFORMÁCIE O ÚDAJOCH VO VÝKAZE ZISKOV A STRÁT</w:t>
      </w:r>
      <w:bookmarkStart w:id="80" w:name="_Toc530739914"/>
    </w:p>
    <w:bookmarkEnd w:id="80"/>
    <w:p w:rsidR="00011D9C" w:rsidRDefault="00011D9C" w:rsidP="00011D9C">
      <w:pPr>
        <w:pStyle w:val="Zkladntext"/>
      </w:pPr>
    </w:p>
    <w:p w:rsidR="00011D9C" w:rsidRPr="00676C00" w:rsidRDefault="00011D9C" w:rsidP="006830A5">
      <w:pPr>
        <w:pStyle w:val="Nadpis2"/>
        <w:keepNext/>
        <w:numPr>
          <w:ilvl w:val="0"/>
          <w:numId w:val="9"/>
        </w:numPr>
        <w:spacing w:before="0" w:after="0" w:line="240" w:lineRule="auto"/>
        <w:rPr>
          <w:sz w:val="20"/>
        </w:rPr>
      </w:pPr>
      <w:r w:rsidRPr="00676C00">
        <w:rPr>
          <w:sz w:val="20"/>
        </w:rPr>
        <w:t>Prijat</w:t>
      </w:r>
      <w:r>
        <w:rPr>
          <w:sz w:val="20"/>
        </w:rPr>
        <w:t>é</w:t>
      </w:r>
      <w:r w:rsidRPr="00676C00">
        <w:rPr>
          <w:sz w:val="20"/>
        </w:rPr>
        <w:t xml:space="preserve"> dar</w:t>
      </w:r>
      <w:r>
        <w:rPr>
          <w:sz w:val="20"/>
        </w:rPr>
        <w:t>y</w:t>
      </w:r>
      <w:r w:rsidRPr="00676C00">
        <w:rPr>
          <w:sz w:val="20"/>
        </w:rPr>
        <w:t>, osobitn</w:t>
      </w:r>
      <w:r>
        <w:rPr>
          <w:sz w:val="20"/>
        </w:rPr>
        <w:t>é</w:t>
      </w:r>
      <w:r w:rsidRPr="00676C00">
        <w:rPr>
          <w:sz w:val="20"/>
        </w:rPr>
        <w:t xml:space="preserve"> výnos</w:t>
      </w:r>
      <w:r>
        <w:rPr>
          <w:sz w:val="20"/>
        </w:rPr>
        <w:t>y</w:t>
      </w:r>
      <w:r w:rsidRPr="00676C00">
        <w:rPr>
          <w:sz w:val="20"/>
        </w:rPr>
        <w:t>, zákonn</w:t>
      </w:r>
      <w:r>
        <w:rPr>
          <w:sz w:val="20"/>
        </w:rPr>
        <w:t>é</w:t>
      </w:r>
      <w:r w:rsidRPr="00676C00">
        <w:rPr>
          <w:sz w:val="20"/>
        </w:rPr>
        <w:t xml:space="preserve"> poplatk</w:t>
      </w:r>
      <w:r>
        <w:rPr>
          <w:sz w:val="20"/>
        </w:rPr>
        <w:t>y</w:t>
      </w:r>
      <w:r w:rsidRPr="00676C00">
        <w:rPr>
          <w:sz w:val="20"/>
        </w:rPr>
        <w:t xml:space="preserve"> a in</w:t>
      </w:r>
      <w:r>
        <w:rPr>
          <w:sz w:val="20"/>
        </w:rPr>
        <w:t>é</w:t>
      </w:r>
      <w:r w:rsidRPr="00676C00">
        <w:rPr>
          <w:sz w:val="20"/>
        </w:rPr>
        <w:t xml:space="preserve"> ostatn</w:t>
      </w:r>
      <w:r>
        <w:rPr>
          <w:sz w:val="20"/>
        </w:rPr>
        <w:t>é</w:t>
      </w:r>
      <w:r w:rsidRPr="00676C00">
        <w:rPr>
          <w:sz w:val="20"/>
        </w:rPr>
        <w:t xml:space="preserve"> výnos</w:t>
      </w:r>
      <w:r>
        <w:rPr>
          <w:sz w:val="20"/>
        </w:rPr>
        <w:t>y</w:t>
      </w:r>
    </w:p>
    <w:p w:rsidR="00011D9C" w:rsidRDefault="00011D9C" w:rsidP="00011D9C">
      <w:pPr>
        <w:pStyle w:val="Zkladntext"/>
      </w:pPr>
    </w:p>
    <w:p w:rsidR="00011D9C" w:rsidRDefault="00011D9C" w:rsidP="00011D9C">
      <w:pPr>
        <w:pStyle w:val="Zkladntext"/>
        <w:rPr>
          <w:sz w:val="20"/>
        </w:rPr>
      </w:pPr>
      <w:r>
        <w:rPr>
          <w:sz w:val="20"/>
        </w:rPr>
        <w:t xml:space="preserve">Prehľad o prijatých daroch, osobitných výnosoch, zákonných poplatkoch a ostatných výnosoch je uvedený v nasledujúcom prehľade: </w:t>
      </w:r>
    </w:p>
    <w:p w:rsidR="00011D9C" w:rsidRDefault="00011D9C" w:rsidP="00011D9C">
      <w:pPr>
        <w:pStyle w:val="Zkladntext"/>
        <w:rPr>
          <w:sz w:val="20"/>
        </w:rPr>
      </w:pPr>
    </w:p>
    <w:bookmarkStart w:id="81" w:name="_MON_1399277277"/>
    <w:bookmarkStart w:id="82" w:name="_MON_1399277595"/>
    <w:bookmarkStart w:id="83" w:name="_MON_1399286458"/>
    <w:bookmarkStart w:id="84" w:name="_MON_1421578552"/>
    <w:bookmarkStart w:id="85" w:name="_MON_1422965481"/>
    <w:bookmarkEnd w:id="81"/>
    <w:bookmarkEnd w:id="82"/>
    <w:bookmarkEnd w:id="83"/>
    <w:bookmarkEnd w:id="84"/>
    <w:bookmarkEnd w:id="85"/>
    <w:p w:rsidR="00011D9C" w:rsidRDefault="00011D9C" w:rsidP="00011D9C">
      <w:pPr>
        <w:pStyle w:val="Zkladntext"/>
      </w:pPr>
      <w:r>
        <w:object w:dxaOrig="9066" w:dyaOrig="4924">
          <v:shape id="_x0000_i1157" type="#_x0000_t75" style="width:440.75pt;height:252.95pt" o:ole="">
            <v:imagedata r:id="rId40" o:title=""/>
          </v:shape>
          <o:OLEObject Type="Embed" ProgID="Excel.Sheet.12" ShapeID="_x0000_i1157" DrawAspect="Content" ObjectID="_1528788574" r:id="rId41"/>
        </w:object>
      </w:r>
    </w:p>
    <w:p w:rsidR="00011D9C" w:rsidRDefault="00011D9C" w:rsidP="00011D9C">
      <w:pPr>
        <w:pStyle w:val="Zkladntext"/>
        <w:rPr>
          <w:sz w:val="20"/>
        </w:rPr>
      </w:pPr>
    </w:p>
    <w:p w:rsidR="00011D9C" w:rsidRDefault="00011D9C" w:rsidP="00011D9C">
      <w:pPr>
        <w:pStyle w:val="Zkladntext"/>
        <w:rPr>
          <w:sz w:val="20"/>
        </w:rPr>
      </w:pPr>
    </w:p>
    <w:p w:rsidR="00011D9C" w:rsidRDefault="00011D9C" w:rsidP="006830A5">
      <w:pPr>
        <w:pStyle w:val="Nadpis2"/>
        <w:keepNext/>
        <w:numPr>
          <w:ilvl w:val="0"/>
          <w:numId w:val="9"/>
        </w:numPr>
        <w:spacing w:before="0" w:after="0" w:line="240" w:lineRule="auto"/>
        <w:rPr>
          <w:sz w:val="20"/>
        </w:rPr>
      </w:pPr>
      <w:r>
        <w:rPr>
          <w:sz w:val="20"/>
        </w:rPr>
        <w:t>Dotácie a granty</w:t>
      </w:r>
    </w:p>
    <w:p w:rsidR="00011D9C" w:rsidRDefault="00011D9C" w:rsidP="00011D9C"/>
    <w:p w:rsidR="00011D9C" w:rsidRDefault="00011D9C" w:rsidP="00011D9C">
      <w:pPr>
        <w:ind w:left="360"/>
      </w:pPr>
      <w:r>
        <w:t>Prehľad o prijatých dotáciách a grantoch je uvedený v nasledujúcom prehľade:</w:t>
      </w:r>
    </w:p>
    <w:p w:rsidR="00011D9C" w:rsidRDefault="00011D9C" w:rsidP="00011D9C">
      <w:pPr>
        <w:ind w:left="360"/>
      </w:pPr>
    </w:p>
    <w:bookmarkStart w:id="86" w:name="_MON_1456820707"/>
    <w:bookmarkEnd w:id="86"/>
    <w:p w:rsidR="00011D9C" w:rsidRPr="00011D9C" w:rsidRDefault="00011D9C" w:rsidP="00011D9C">
      <w:pPr>
        <w:ind w:left="360"/>
      </w:pPr>
      <w:r>
        <w:object w:dxaOrig="9066" w:dyaOrig="2227">
          <v:shape id="_x0000_i1158" type="#_x0000_t75" style="width:440.75pt;height:114.55pt" o:ole="">
            <v:imagedata r:id="rId42" o:title=""/>
          </v:shape>
          <o:OLEObject Type="Embed" ProgID="Excel.Sheet.12" ShapeID="_x0000_i1158" DrawAspect="Content" ObjectID="_1528788575" r:id="rId43"/>
        </w:object>
      </w:r>
    </w:p>
    <w:p w:rsidR="00011D9C" w:rsidRDefault="00011D9C" w:rsidP="00011D9C">
      <w:pPr>
        <w:pStyle w:val="Zkladntext"/>
        <w:rPr>
          <w:sz w:val="20"/>
        </w:rPr>
      </w:pPr>
      <w:r>
        <w:rPr>
          <w:sz w:val="20"/>
        </w:rPr>
        <w:t xml:space="preserve">Spoločnosť uzavrela v r. 2013 Zmluvu o poskytnutí grantu s Nadáciou otvorenej spoločnosti – </w:t>
      </w:r>
      <w:proofErr w:type="spellStart"/>
      <w:r>
        <w:rPr>
          <w:sz w:val="20"/>
        </w:rPr>
        <w:t>Open</w:t>
      </w:r>
      <w:proofErr w:type="spellEnd"/>
      <w:r>
        <w:rPr>
          <w:sz w:val="20"/>
        </w:rPr>
        <w:t xml:space="preserve"> Society </w:t>
      </w:r>
      <w:proofErr w:type="spellStart"/>
      <w:r>
        <w:rPr>
          <w:sz w:val="20"/>
        </w:rPr>
        <w:t>Foundation</w:t>
      </w:r>
      <w:proofErr w:type="spellEnd"/>
      <w:r>
        <w:rPr>
          <w:sz w:val="20"/>
        </w:rPr>
        <w:t xml:space="preserve"> za účelom podpory aktívneho občianstva a </w:t>
      </w:r>
      <w:proofErr w:type="spellStart"/>
      <w:r>
        <w:rPr>
          <w:sz w:val="20"/>
        </w:rPr>
        <w:t>participatívnej</w:t>
      </w:r>
      <w:proofErr w:type="spellEnd"/>
      <w:r>
        <w:rPr>
          <w:sz w:val="20"/>
        </w:rPr>
        <w:t xml:space="preserve"> demokracie. Doba čerpania grantu je do 31.</w:t>
      </w:r>
      <w:r>
        <w:rPr>
          <w:sz w:val="20"/>
          <w:lang w:val="sk-SK"/>
        </w:rPr>
        <w:t>10</w:t>
      </w:r>
      <w:r>
        <w:rPr>
          <w:sz w:val="20"/>
        </w:rPr>
        <w:t xml:space="preserve">.2015. </w:t>
      </w:r>
    </w:p>
    <w:p w:rsidR="00011D9C" w:rsidRDefault="00011D9C" w:rsidP="00011D9C">
      <w:pPr>
        <w:pStyle w:val="Zkladntext"/>
        <w:rPr>
          <w:sz w:val="20"/>
        </w:rPr>
      </w:pPr>
    </w:p>
    <w:p w:rsidR="00011D9C" w:rsidRDefault="00011D9C" w:rsidP="00011D9C">
      <w:pPr>
        <w:pStyle w:val="Zkladntext"/>
        <w:rPr>
          <w:sz w:val="20"/>
        </w:rPr>
      </w:pPr>
    </w:p>
    <w:p w:rsidR="00011D9C" w:rsidRDefault="00011D9C" w:rsidP="006830A5">
      <w:pPr>
        <w:pStyle w:val="Nadpis2"/>
        <w:keepNext/>
        <w:numPr>
          <w:ilvl w:val="0"/>
          <w:numId w:val="9"/>
        </w:numPr>
        <w:spacing w:before="0" w:after="0" w:line="240" w:lineRule="auto"/>
        <w:rPr>
          <w:sz w:val="20"/>
        </w:rPr>
      </w:pPr>
      <w:r>
        <w:rPr>
          <w:sz w:val="20"/>
        </w:rPr>
        <w:t>Príspevky z podielu zaplatenej dane</w:t>
      </w:r>
    </w:p>
    <w:p w:rsidR="00011D9C" w:rsidRDefault="00011D9C" w:rsidP="00011D9C">
      <w:pPr>
        <w:pStyle w:val="Zkladntext"/>
        <w:rPr>
          <w:sz w:val="20"/>
        </w:rPr>
      </w:pPr>
    </w:p>
    <w:p w:rsidR="00011D9C" w:rsidRDefault="00011D9C" w:rsidP="00011D9C">
      <w:pPr>
        <w:pStyle w:val="Zkladntext"/>
        <w:rPr>
          <w:sz w:val="20"/>
        </w:rPr>
      </w:pPr>
      <w:r w:rsidRPr="00257B18">
        <w:rPr>
          <w:sz w:val="20"/>
        </w:rPr>
        <w:t>Prehľad o účele a výške použitia podielu zaplatenej dane za bežné obdobie je uvedený v nasledujúcom prehľade:</w:t>
      </w:r>
    </w:p>
    <w:bookmarkStart w:id="87" w:name="_MON_1399277664"/>
    <w:bookmarkStart w:id="88" w:name="_MON_1399286469"/>
    <w:bookmarkStart w:id="89" w:name="_MON_1421578799"/>
    <w:bookmarkStart w:id="90" w:name="_MON_1421578805"/>
    <w:bookmarkStart w:id="91" w:name="_MON_1422965542"/>
    <w:bookmarkStart w:id="92" w:name="_MON_1490168711"/>
    <w:bookmarkStart w:id="93" w:name="_MON_1490168826"/>
    <w:bookmarkStart w:id="94" w:name="_MON_1490168978"/>
    <w:bookmarkStart w:id="95" w:name="_MON_1490169142"/>
    <w:bookmarkStart w:id="96" w:name="_MON_1490169171"/>
    <w:bookmarkEnd w:id="87"/>
    <w:bookmarkEnd w:id="88"/>
    <w:bookmarkEnd w:id="89"/>
    <w:bookmarkEnd w:id="90"/>
    <w:bookmarkEnd w:id="91"/>
    <w:bookmarkEnd w:id="92"/>
    <w:bookmarkEnd w:id="93"/>
    <w:bookmarkEnd w:id="94"/>
    <w:bookmarkEnd w:id="95"/>
    <w:bookmarkEnd w:id="96"/>
    <w:p w:rsidR="00011D9C" w:rsidRDefault="00011D9C" w:rsidP="00011D9C">
      <w:pPr>
        <w:pStyle w:val="Zkladntext"/>
      </w:pPr>
      <w:r>
        <w:object w:dxaOrig="8486" w:dyaOrig="2369">
          <v:shape id="_x0000_i1159" type="#_x0000_t75" style="width:428.25pt;height:133.35pt" o:ole="">
            <v:imagedata r:id="rId44" o:title=""/>
          </v:shape>
          <o:OLEObject Type="Embed" ProgID="Excel.Sheet.12" ShapeID="_x0000_i1159" DrawAspect="Content" ObjectID="_1528788576" r:id="rId45"/>
        </w:object>
      </w:r>
    </w:p>
    <w:p w:rsidR="00011D9C" w:rsidRDefault="00011D9C" w:rsidP="00011D9C">
      <w:pPr>
        <w:pStyle w:val="Zkladntext"/>
      </w:pPr>
    </w:p>
    <w:p w:rsidR="00011D9C" w:rsidRDefault="00011D9C" w:rsidP="00011D9C">
      <w:pPr>
        <w:pStyle w:val="Zkladntext"/>
        <w:rPr>
          <w:sz w:val="20"/>
        </w:rPr>
      </w:pPr>
      <w:r>
        <w:rPr>
          <w:sz w:val="20"/>
        </w:rPr>
        <w:t>Prehľad o účele a výške použitia podielu zaplatenej dane za bezprostredne predchádzajúce obdobie je uvedený v nasledujúcom prehľade:</w:t>
      </w:r>
    </w:p>
    <w:p w:rsidR="00011D9C" w:rsidRDefault="00011D9C" w:rsidP="00011D9C">
      <w:pPr>
        <w:pStyle w:val="Zkladntext"/>
        <w:rPr>
          <w:sz w:val="20"/>
        </w:rPr>
      </w:pPr>
      <w:r>
        <w:object w:dxaOrig="8486" w:dyaOrig="2559">
          <v:shape id="_x0000_i1160" type="#_x0000_t75" style="width:428.25pt;height:2in" o:ole="">
            <v:imagedata r:id="rId46" o:title=""/>
          </v:shape>
          <o:OLEObject Type="Embed" ProgID="Excel.Sheet.12" ShapeID="_x0000_i1160" DrawAspect="Content" ObjectID="_1528788577" r:id="rId47"/>
        </w:object>
      </w:r>
    </w:p>
    <w:p w:rsidR="00011D9C" w:rsidRDefault="00011D9C"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Default="006830A5" w:rsidP="00011D9C">
      <w:pPr>
        <w:pStyle w:val="Zkladntext"/>
        <w:rPr>
          <w:sz w:val="20"/>
          <w:lang w:val="sk-SK"/>
        </w:rPr>
      </w:pPr>
    </w:p>
    <w:p w:rsidR="006830A5" w:rsidRPr="006830A5" w:rsidRDefault="006830A5" w:rsidP="00011D9C">
      <w:pPr>
        <w:pStyle w:val="Zkladntext"/>
        <w:rPr>
          <w:sz w:val="20"/>
          <w:lang w:val="sk-SK"/>
        </w:rPr>
      </w:pPr>
    </w:p>
    <w:p w:rsidR="00011D9C" w:rsidRDefault="00011D9C" w:rsidP="00011D9C">
      <w:pPr>
        <w:pStyle w:val="Nadpis2"/>
        <w:numPr>
          <w:ilvl w:val="0"/>
          <w:numId w:val="9"/>
        </w:numPr>
        <w:rPr>
          <w:sz w:val="20"/>
          <w:szCs w:val="20"/>
        </w:rPr>
      </w:pPr>
      <w:r w:rsidRPr="006830A5">
        <w:rPr>
          <w:sz w:val="20"/>
          <w:szCs w:val="20"/>
        </w:rPr>
        <w:t>Prehľad významných položiek nákladov</w:t>
      </w:r>
    </w:p>
    <w:p w:rsidR="006830A5" w:rsidRPr="006830A5" w:rsidRDefault="006830A5" w:rsidP="006830A5"/>
    <w:p w:rsidR="00011D9C" w:rsidRDefault="00011D9C" w:rsidP="00011D9C">
      <w:pPr>
        <w:pStyle w:val="Zkladntext"/>
        <w:rPr>
          <w:sz w:val="20"/>
        </w:rPr>
      </w:pPr>
      <w:r>
        <w:rPr>
          <w:sz w:val="20"/>
        </w:rPr>
        <w:t>Prehľad o nákladoch na poskytnuté služby je znázornený v nasledujúcej tabuľke:</w:t>
      </w:r>
    </w:p>
    <w:bookmarkStart w:id="97" w:name="_MON_1399277779"/>
    <w:bookmarkStart w:id="98" w:name="_MON_1399278119"/>
    <w:bookmarkStart w:id="99" w:name="_MON_1399278227"/>
    <w:bookmarkStart w:id="100" w:name="_MON_1399286495"/>
    <w:bookmarkStart w:id="101" w:name="_MON_1421578983"/>
    <w:bookmarkStart w:id="102" w:name="_MON_1421579152"/>
    <w:bookmarkStart w:id="103" w:name="_MON_1421580953"/>
    <w:bookmarkStart w:id="104" w:name="_MON_1421581453"/>
    <w:bookmarkStart w:id="105" w:name="_MON_1422965717"/>
    <w:bookmarkEnd w:id="97"/>
    <w:bookmarkEnd w:id="98"/>
    <w:bookmarkEnd w:id="99"/>
    <w:bookmarkEnd w:id="100"/>
    <w:bookmarkEnd w:id="101"/>
    <w:bookmarkEnd w:id="102"/>
    <w:bookmarkEnd w:id="103"/>
    <w:bookmarkEnd w:id="104"/>
    <w:bookmarkEnd w:id="105"/>
    <w:p w:rsidR="00011D9C" w:rsidRDefault="00011D9C" w:rsidP="00011D9C">
      <w:pPr>
        <w:pStyle w:val="Zkladntext"/>
      </w:pPr>
      <w:r>
        <w:object w:dxaOrig="8825" w:dyaOrig="7093">
          <v:shape id="_x0000_i1161" type="#_x0000_t75" style="width:441.4pt;height:396.95pt" o:ole="">
            <v:imagedata r:id="rId48" o:title=""/>
          </v:shape>
          <o:OLEObject Type="Embed" ProgID="Excel.Sheet.12" ShapeID="_x0000_i1161" DrawAspect="Content" ObjectID="_1528788578" r:id="rId49"/>
        </w:object>
      </w:r>
    </w:p>
    <w:p w:rsidR="00011D9C" w:rsidRPr="006830A5" w:rsidRDefault="00011D9C" w:rsidP="006830A5">
      <w:pPr>
        <w:pStyle w:val="Zkladntext"/>
        <w:ind w:left="0"/>
        <w:rPr>
          <w:lang w:val="sk-SK"/>
        </w:rPr>
      </w:pPr>
    </w:p>
    <w:p w:rsidR="00011D9C" w:rsidRPr="006830A5" w:rsidRDefault="00011D9C" w:rsidP="006830A5">
      <w:pPr>
        <w:pStyle w:val="Nadpis2"/>
        <w:numPr>
          <w:ilvl w:val="0"/>
          <w:numId w:val="9"/>
        </w:numPr>
        <w:rPr>
          <w:sz w:val="20"/>
          <w:szCs w:val="20"/>
        </w:rPr>
      </w:pPr>
      <w:r w:rsidRPr="006830A5">
        <w:rPr>
          <w:sz w:val="20"/>
          <w:szCs w:val="20"/>
        </w:rPr>
        <w:t>Prehľad o nákladoch vynaložených v súvislosti s auditom účtovnej závierky</w:t>
      </w:r>
    </w:p>
    <w:p w:rsidR="00011D9C" w:rsidRPr="006830A5" w:rsidRDefault="00011D9C" w:rsidP="006830A5">
      <w:pPr>
        <w:pStyle w:val="Zkladntext"/>
        <w:ind w:left="0"/>
        <w:rPr>
          <w:sz w:val="20"/>
          <w:lang w:val="sk-SK"/>
        </w:rPr>
      </w:pPr>
    </w:p>
    <w:bookmarkStart w:id="106" w:name="_GoBack"/>
    <w:bookmarkEnd w:id="106"/>
    <w:bookmarkStart w:id="107" w:name="_MON_1458638172"/>
    <w:bookmarkStart w:id="108" w:name="_MON_1458638176"/>
    <w:bookmarkStart w:id="109" w:name="_MON_1458638217"/>
    <w:bookmarkStart w:id="110" w:name="_MON_1458638239"/>
    <w:bookmarkStart w:id="111" w:name="_MON_1458638252"/>
    <w:bookmarkStart w:id="112" w:name="_MON_1458638267"/>
    <w:bookmarkStart w:id="113" w:name="_MON_1458638288"/>
    <w:bookmarkStart w:id="114" w:name="_MON_1458638399"/>
    <w:bookmarkStart w:id="115" w:name="_MON_1458638984"/>
    <w:bookmarkStart w:id="116" w:name="_MON_1458638998"/>
    <w:bookmarkStart w:id="117" w:name="_MON_1458639007"/>
    <w:bookmarkEnd w:id="107"/>
    <w:bookmarkEnd w:id="108"/>
    <w:bookmarkEnd w:id="109"/>
    <w:bookmarkEnd w:id="110"/>
    <w:bookmarkEnd w:id="111"/>
    <w:bookmarkEnd w:id="112"/>
    <w:bookmarkEnd w:id="113"/>
    <w:bookmarkEnd w:id="114"/>
    <w:bookmarkEnd w:id="115"/>
    <w:bookmarkEnd w:id="116"/>
    <w:bookmarkEnd w:id="117"/>
    <w:p w:rsidR="00011D9C" w:rsidRDefault="00011D9C" w:rsidP="00011D9C">
      <w:pPr>
        <w:pStyle w:val="Zkladntext"/>
        <w:rPr>
          <w:sz w:val="20"/>
        </w:rPr>
      </w:pPr>
      <w:r>
        <w:rPr>
          <w:sz w:val="20"/>
        </w:rPr>
        <w:object w:dxaOrig="8667" w:dyaOrig="2038">
          <v:shape id="_x0000_i1162" type="#_x0000_t75" style="width:433.25pt;height:102.05pt" o:ole="">
            <v:imagedata r:id="rId50" o:title=""/>
          </v:shape>
          <o:OLEObject Type="Embed" ProgID="Excel.Sheet.12" ShapeID="_x0000_i1162" DrawAspect="Content" ObjectID="_1528788579" r:id="rId51"/>
        </w:object>
      </w:r>
    </w:p>
    <w:p w:rsidR="00011D9C" w:rsidRDefault="00011D9C" w:rsidP="008D6504">
      <w:pPr>
        <w:rPr>
          <w:highlight w:val="yellow"/>
        </w:rPr>
      </w:pPr>
    </w:p>
    <w:p w:rsidR="00856384" w:rsidRPr="008D6504" w:rsidRDefault="00856384" w:rsidP="008D6504">
      <w:pPr>
        <w:rPr>
          <w:highlight w:val="yellow"/>
        </w:rPr>
      </w:pPr>
    </w:p>
    <w:p w:rsidR="00F0573E" w:rsidRDefault="00F0573E" w:rsidP="009E1AF7"/>
    <w:p w:rsidR="00F0573E" w:rsidRDefault="00F0573E" w:rsidP="00F0573E">
      <w:pPr>
        <w:pStyle w:val="Nadpis2"/>
      </w:pPr>
      <w:r>
        <w:t>ĽUDIA ĽUĎOM, n. o.</w:t>
      </w:r>
    </w:p>
    <w:p w:rsidR="00F0573E" w:rsidRDefault="00F0573E" w:rsidP="00F0573E">
      <w:r>
        <w:t>Borská 6, 841 04 Bratislava</w:t>
      </w:r>
    </w:p>
    <w:p w:rsidR="00F0573E" w:rsidRDefault="00F0573E" w:rsidP="00F0573E">
      <w:r>
        <w:t>IČO: 42166683</w:t>
      </w:r>
    </w:p>
    <w:p w:rsidR="00F0573E" w:rsidRDefault="00F0573E" w:rsidP="00F0573E">
      <w:r>
        <w:t>Tel.: +421 2 35 0</w:t>
      </w:r>
      <w:r w:rsidR="00927AAD">
        <w:t>35</w:t>
      </w:r>
      <w:r>
        <w:t> </w:t>
      </w:r>
      <w:proofErr w:type="spellStart"/>
      <w:r w:rsidR="00927AAD">
        <w:t>035</w:t>
      </w:r>
      <w:proofErr w:type="spellEnd"/>
    </w:p>
    <w:p w:rsidR="00F0573E" w:rsidRDefault="00F0573E" w:rsidP="00F0573E">
      <w:r>
        <w:t>Fax: +421 2 35 000 799</w:t>
      </w:r>
    </w:p>
    <w:p w:rsidR="00F0573E" w:rsidRDefault="00F0573E" w:rsidP="00F0573E"/>
    <w:p w:rsidR="00F0573E" w:rsidRPr="0068155C" w:rsidRDefault="00F0573E" w:rsidP="00F0573E">
      <w:pPr>
        <w:jc w:val="both"/>
      </w:pPr>
      <w:r w:rsidRPr="0068155C">
        <w:t xml:space="preserve">Dozorná rada na svojom zasadnutí dňa </w:t>
      </w:r>
      <w:r w:rsidR="000D420B" w:rsidRPr="000D420B">
        <w:t>14</w:t>
      </w:r>
      <w:r w:rsidRPr="000D420B">
        <w:t xml:space="preserve">. </w:t>
      </w:r>
      <w:r w:rsidR="000D420B" w:rsidRPr="000D420B">
        <w:t>6</w:t>
      </w:r>
      <w:r w:rsidRPr="000D420B">
        <w:t>. 201</w:t>
      </w:r>
      <w:r w:rsidR="000D420B" w:rsidRPr="000D420B">
        <w:t>6</w:t>
      </w:r>
      <w:r w:rsidRPr="0068155C">
        <w:t xml:space="preserve"> skontrolovala hospodárenie neziskovej organizácie </w:t>
      </w:r>
      <w:r>
        <w:t>ĽUDIA ĽUĎOM</w:t>
      </w:r>
      <w:r w:rsidRPr="0068155C">
        <w:t>, n.</w:t>
      </w:r>
      <w:r>
        <w:t xml:space="preserve"> </w:t>
      </w:r>
      <w:r w:rsidRPr="0068155C">
        <w:t>o. za rok 20</w:t>
      </w:r>
      <w:r>
        <w:t>1</w:t>
      </w:r>
      <w:r w:rsidR="00856384">
        <w:t>5</w:t>
      </w:r>
      <w:r w:rsidRPr="0068155C">
        <w:t xml:space="preserve"> a nemá pripomienky k výročnej správe </w:t>
      </w:r>
      <w:r>
        <w:t>ĽUDIA ĽUĎOM</w:t>
      </w:r>
      <w:r w:rsidRPr="0068155C">
        <w:t>, n.</w:t>
      </w:r>
      <w:r>
        <w:t xml:space="preserve"> </w:t>
      </w:r>
      <w:r w:rsidRPr="0068155C">
        <w:t>o. za rok 20</w:t>
      </w:r>
      <w:r>
        <w:t>1</w:t>
      </w:r>
      <w:r w:rsidR="00856384">
        <w:t>5</w:t>
      </w:r>
      <w:r w:rsidRPr="0068155C">
        <w:t>.</w:t>
      </w:r>
    </w:p>
    <w:p w:rsidR="00F0573E" w:rsidRDefault="00F0573E" w:rsidP="009E1AF7"/>
    <w:sectPr w:rsidR="00F0573E" w:rsidSect="00CB6D4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w Cen MT">
    <w:panose1 w:val="020B0602020104020603"/>
    <w:charset w:val="EE"/>
    <w:family w:val="swiss"/>
    <w:pitch w:val="variable"/>
    <w:sig w:usb0="00000007" w:usb1="00000000" w:usb2="00000000" w:usb3="00000000" w:csb0="00000003"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386A33"/>
    <w:multiLevelType w:val="hybridMultilevel"/>
    <w:tmpl w:val="6CDA65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30D807BB"/>
    <w:multiLevelType w:val="singleLevel"/>
    <w:tmpl w:val="E1FAC660"/>
    <w:lvl w:ilvl="0">
      <w:start w:val="1"/>
      <w:numFmt w:val="lowerLetter"/>
      <w:lvlText w:val="(%1)"/>
      <w:lvlJc w:val="left"/>
      <w:pPr>
        <w:ind w:left="720" w:hanging="360"/>
      </w:pPr>
      <w:rPr>
        <w:rFonts w:hint="default"/>
      </w:rPr>
    </w:lvl>
  </w:abstractNum>
  <w:abstractNum w:abstractNumId="2">
    <w:nsid w:val="36BE61C3"/>
    <w:multiLevelType w:val="singleLevel"/>
    <w:tmpl w:val="E6BC554C"/>
    <w:lvl w:ilvl="0">
      <w:start w:val="1"/>
      <w:numFmt w:val="decimal"/>
      <w:lvlText w:val="%1."/>
      <w:lvlJc w:val="left"/>
      <w:pPr>
        <w:tabs>
          <w:tab w:val="num" w:pos="360"/>
        </w:tabs>
        <w:ind w:left="360" w:hanging="360"/>
      </w:pPr>
      <w:rPr>
        <w:rFonts w:hint="default"/>
      </w:rPr>
    </w:lvl>
  </w:abstractNum>
  <w:abstractNum w:abstractNumId="3">
    <w:nsid w:val="3ABB4D03"/>
    <w:multiLevelType w:val="hybridMultilevel"/>
    <w:tmpl w:val="B130FC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4D394D56"/>
    <w:multiLevelType w:val="hybridMultilevel"/>
    <w:tmpl w:val="72801340"/>
    <w:lvl w:ilvl="0" w:tplc="FB2C5050">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4DE05E40"/>
    <w:multiLevelType w:val="hybridMultilevel"/>
    <w:tmpl w:val="FA648C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69B341DB"/>
    <w:multiLevelType w:val="hybridMultilevel"/>
    <w:tmpl w:val="4E44E2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7CEF3A79"/>
    <w:multiLevelType w:val="hybridMultilevel"/>
    <w:tmpl w:val="B458118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6"/>
  </w:num>
  <w:num w:numId="3">
    <w:abstractNumId w:val="5"/>
  </w:num>
  <w:num w:numId="4">
    <w:abstractNumId w:val="2"/>
    <w:lvlOverride w:ilvl="0">
      <w:startOverride w:val="1"/>
    </w:lvlOverride>
  </w:num>
  <w:num w:numId="5">
    <w:abstractNumId w:val="2"/>
  </w:num>
  <w:num w:numId="6">
    <w:abstractNumId w:val="1"/>
  </w:num>
  <w:num w:numId="7">
    <w:abstractNumId w:val="7"/>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5056"/>
    <w:rsid w:val="00005577"/>
    <w:rsid w:val="00011D9C"/>
    <w:rsid w:val="00022FC0"/>
    <w:rsid w:val="000278B1"/>
    <w:rsid w:val="00070F98"/>
    <w:rsid w:val="00082347"/>
    <w:rsid w:val="000A59B8"/>
    <w:rsid w:val="000C4238"/>
    <w:rsid w:val="000D420B"/>
    <w:rsid w:val="00105056"/>
    <w:rsid w:val="00111FA7"/>
    <w:rsid w:val="00166DDC"/>
    <w:rsid w:val="0017318C"/>
    <w:rsid w:val="001778B8"/>
    <w:rsid w:val="001872B6"/>
    <w:rsid w:val="0019733B"/>
    <w:rsid w:val="00197411"/>
    <w:rsid w:val="001A6C0B"/>
    <w:rsid w:val="00200E2F"/>
    <w:rsid w:val="00263AA3"/>
    <w:rsid w:val="002776BE"/>
    <w:rsid w:val="002865BF"/>
    <w:rsid w:val="002B6499"/>
    <w:rsid w:val="002D31FF"/>
    <w:rsid w:val="002F0151"/>
    <w:rsid w:val="002F7AF6"/>
    <w:rsid w:val="00326495"/>
    <w:rsid w:val="00330374"/>
    <w:rsid w:val="00334A9D"/>
    <w:rsid w:val="0039415E"/>
    <w:rsid w:val="003A2918"/>
    <w:rsid w:val="00416A34"/>
    <w:rsid w:val="00443197"/>
    <w:rsid w:val="0047541A"/>
    <w:rsid w:val="00476FA7"/>
    <w:rsid w:val="005B79B8"/>
    <w:rsid w:val="005C64DA"/>
    <w:rsid w:val="005D0DEB"/>
    <w:rsid w:val="005E66A4"/>
    <w:rsid w:val="005F1EBC"/>
    <w:rsid w:val="005F77FF"/>
    <w:rsid w:val="00605001"/>
    <w:rsid w:val="00621F7A"/>
    <w:rsid w:val="00634A16"/>
    <w:rsid w:val="00634A17"/>
    <w:rsid w:val="00635872"/>
    <w:rsid w:val="006830A5"/>
    <w:rsid w:val="006A726D"/>
    <w:rsid w:val="006F586C"/>
    <w:rsid w:val="006F73AE"/>
    <w:rsid w:val="00703F47"/>
    <w:rsid w:val="00744233"/>
    <w:rsid w:val="0076251E"/>
    <w:rsid w:val="0076450C"/>
    <w:rsid w:val="00767B76"/>
    <w:rsid w:val="00803D80"/>
    <w:rsid w:val="008222E2"/>
    <w:rsid w:val="00856384"/>
    <w:rsid w:val="00884DBF"/>
    <w:rsid w:val="0089058E"/>
    <w:rsid w:val="008A059F"/>
    <w:rsid w:val="008C1CEC"/>
    <w:rsid w:val="008D2D54"/>
    <w:rsid w:val="008D6504"/>
    <w:rsid w:val="008E1050"/>
    <w:rsid w:val="00927AAD"/>
    <w:rsid w:val="009318F1"/>
    <w:rsid w:val="00936B3C"/>
    <w:rsid w:val="00941C8E"/>
    <w:rsid w:val="0094239A"/>
    <w:rsid w:val="0095329E"/>
    <w:rsid w:val="00963823"/>
    <w:rsid w:val="009D0E37"/>
    <w:rsid w:val="009E1AF7"/>
    <w:rsid w:val="009E627D"/>
    <w:rsid w:val="00A00C50"/>
    <w:rsid w:val="00A5142A"/>
    <w:rsid w:val="00A575DF"/>
    <w:rsid w:val="00A9016F"/>
    <w:rsid w:val="00AA6CE5"/>
    <w:rsid w:val="00AC4359"/>
    <w:rsid w:val="00AD2E83"/>
    <w:rsid w:val="00B73084"/>
    <w:rsid w:val="00BA1BBB"/>
    <w:rsid w:val="00BC27B3"/>
    <w:rsid w:val="00BC2828"/>
    <w:rsid w:val="00BD0CD3"/>
    <w:rsid w:val="00BD5A04"/>
    <w:rsid w:val="00C07A34"/>
    <w:rsid w:val="00C37B0C"/>
    <w:rsid w:val="00C60042"/>
    <w:rsid w:val="00C60FDD"/>
    <w:rsid w:val="00C91066"/>
    <w:rsid w:val="00CA0D32"/>
    <w:rsid w:val="00CB6D47"/>
    <w:rsid w:val="00CC4A2A"/>
    <w:rsid w:val="00D077D6"/>
    <w:rsid w:val="00D209B5"/>
    <w:rsid w:val="00DE2FA7"/>
    <w:rsid w:val="00E452C6"/>
    <w:rsid w:val="00EA2FA5"/>
    <w:rsid w:val="00EA72CA"/>
    <w:rsid w:val="00F04954"/>
    <w:rsid w:val="00F0573E"/>
    <w:rsid w:val="00F30117"/>
    <w:rsid w:val="00FF041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unhideWhenUsed/>
    <w:qFormat/>
    <w:rsid w:val="00105056"/>
    <w:pPr>
      <w:spacing w:before="300" w:after="80" w:line="240" w:lineRule="auto"/>
      <w:outlineLvl w:val="0"/>
    </w:pPr>
    <w:rPr>
      <w:rFonts w:asciiTheme="majorHAnsi" w:eastAsiaTheme="majorEastAsia" w:hAnsiTheme="majorHAnsi" w:cstheme="majorBidi"/>
      <w:caps/>
      <w:color w:val="1F497D" w:themeColor="text2"/>
      <w:sz w:val="32"/>
      <w:szCs w:val="32"/>
    </w:rPr>
  </w:style>
  <w:style w:type="paragraph" w:styleId="Nadpis2">
    <w:name w:val="heading 2"/>
    <w:basedOn w:val="Normlny"/>
    <w:next w:val="Normlny"/>
    <w:link w:val="Nadpis2Char"/>
    <w:uiPriority w:val="9"/>
    <w:unhideWhenUsed/>
    <w:qFormat/>
    <w:rsid w:val="00105056"/>
    <w:pPr>
      <w:spacing w:before="240" w:after="80" w:line="264" w:lineRule="auto"/>
      <w:outlineLvl w:val="1"/>
    </w:pPr>
    <w:rPr>
      <w:rFonts w:eastAsiaTheme="minorEastAsia"/>
      <w:b/>
      <w:bCs/>
      <w:color w:val="4F81BD" w:themeColor="accent1"/>
      <w:spacing w:val="20"/>
      <w:sz w:val="28"/>
      <w:szCs w:val="28"/>
    </w:rPr>
  </w:style>
  <w:style w:type="paragraph" w:styleId="Nadpis3">
    <w:name w:val="heading 3"/>
    <w:basedOn w:val="Normlny"/>
    <w:next w:val="Normlny"/>
    <w:link w:val="Nadpis3Char"/>
    <w:uiPriority w:val="9"/>
    <w:unhideWhenUsed/>
    <w:qFormat/>
    <w:rsid w:val="00F0573E"/>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link w:val="BezriadkovaniaChar"/>
    <w:uiPriority w:val="99"/>
    <w:qFormat/>
    <w:rsid w:val="00105056"/>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99"/>
    <w:rsid w:val="00105056"/>
    <w:rPr>
      <w:rFonts w:eastAsiaTheme="minorEastAsia"/>
      <w:lang w:eastAsia="sk-SK"/>
    </w:rPr>
  </w:style>
  <w:style w:type="paragraph" w:styleId="Textbubliny">
    <w:name w:val="Balloon Text"/>
    <w:basedOn w:val="Normlny"/>
    <w:link w:val="TextbublinyChar"/>
    <w:uiPriority w:val="99"/>
    <w:semiHidden/>
    <w:unhideWhenUsed/>
    <w:rsid w:val="0010505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05056"/>
    <w:rPr>
      <w:rFonts w:ascii="Tahoma" w:hAnsi="Tahoma" w:cs="Tahoma"/>
      <w:sz w:val="16"/>
      <w:szCs w:val="16"/>
    </w:rPr>
  </w:style>
  <w:style w:type="character" w:customStyle="1" w:styleId="Nadpis1Char">
    <w:name w:val="Nadpis 1 Char"/>
    <w:basedOn w:val="Predvolenpsmoodseku"/>
    <w:link w:val="Nadpis1"/>
    <w:uiPriority w:val="9"/>
    <w:rsid w:val="00105056"/>
    <w:rPr>
      <w:rFonts w:asciiTheme="majorHAnsi" w:eastAsiaTheme="majorEastAsia" w:hAnsiTheme="majorHAnsi" w:cstheme="majorBidi"/>
      <w:caps/>
      <w:color w:val="1F497D" w:themeColor="text2"/>
      <w:sz w:val="32"/>
      <w:szCs w:val="32"/>
    </w:rPr>
  </w:style>
  <w:style w:type="character" w:customStyle="1" w:styleId="Nadpis2Char">
    <w:name w:val="Nadpis 2 Char"/>
    <w:basedOn w:val="Predvolenpsmoodseku"/>
    <w:link w:val="Nadpis2"/>
    <w:uiPriority w:val="9"/>
    <w:rsid w:val="00105056"/>
    <w:rPr>
      <w:rFonts w:eastAsiaTheme="minorEastAsia"/>
      <w:b/>
      <w:bCs/>
      <w:color w:val="4F81BD" w:themeColor="accent1"/>
      <w:spacing w:val="20"/>
      <w:sz w:val="28"/>
      <w:szCs w:val="28"/>
    </w:rPr>
  </w:style>
  <w:style w:type="paragraph" w:styleId="Odsekzoznamu">
    <w:name w:val="List Paragraph"/>
    <w:basedOn w:val="Normlny"/>
    <w:uiPriority w:val="34"/>
    <w:unhideWhenUsed/>
    <w:qFormat/>
    <w:rsid w:val="008D2D54"/>
    <w:pPr>
      <w:spacing w:after="180" w:line="264" w:lineRule="auto"/>
      <w:ind w:left="720"/>
      <w:contextualSpacing/>
    </w:pPr>
    <w:rPr>
      <w:rFonts w:eastAsiaTheme="minorEastAsia"/>
      <w:sz w:val="23"/>
      <w:szCs w:val="23"/>
    </w:rPr>
  </w:style>
  <w:style w:type="character" w:styleId="Hypertextovprepojenie">
    <w:name w:val="Hyperlink"/>
    <w:basedOn w:val="Predvolenpsmoodseku"/>
    <w:uiPriority w:val="99"/>
    <w:unhideWhenUsed/>
    <w:rsid w:val="00A5142A"/>
    <w:rPr>
      <w:color w:val="0000FF"/>
      <w:u w:val="single"/>
    </w:rPr>
  </w:style>
  <w:style w:type="character" w:customStyle="1" w:styleId="Nadpis3Char">
    <w:name w:val="Nadpis 3 Char"/>
    <w:basedOn w:val="Predvolenpsmoodseku"/>
    <w:link w:val="Nadpis3"/>
    <w:uiPriority w:val="9"/>
    <w:rsid w:val="00F0573E"/>
    <w:rPr>
      <w:rFonts w:asciiTheme="majorHAnsi" w:eastAsiaTheme="majorEastAsia" w:hAnsiTheme="majorHAnsi" w:cstheme="majorBidi"/>
      <w:b/>
      <w:bCs/>
      <w:color w:val="4F81BD" w:themeColor="accent1"/>
    </w:rPr>
  </w:style>
  <w:style w:type="table" w:styleId="Mriekatabuky">
    <w:name w:val="Table Grid"/>
    <w:basedOn w:val="Normlnatabuka"/>
    <w:uiPriority w:val="1"/>
    <w:rsid w:val="00CB6D47"/>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semiHidden/>
    <w:unhideWhenUsed/>
    <w:rsid w:val="000278B1"/>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744233"/>
    <w:rPr>
      <w:b/>
      <w:bCs/>
    </w:rPr>
  </w:style>
  <w:style w:type="character" w:styleId="Zvraznenie">
    <w:name w:val="Emphasis"/>
    <w:basedOn w:val="Predvolenpsmoodseku"/>
    <w:uiPriority w:val="20"/>
    <w:qFormat/>
    <w:rsid w:val="00022FC0"/>
    <w:rPr>
      <w:i/>
      <w:iCs/>
    </w:rPr>
  </w:style>
  <w:style w:type="paragraph" w:styleId="Hlavika">
    <w:name w:val="header"/>
    <w:basedOn w:val="Normlny"/>
    <w:link w:val="HlavikaChar"/>
    <w:semiHidden/>
    <w:rsid w:val="00011D9C"/>
    <w:pPr>
      <w:tabs>
        <w:tab w:val="center" w:pos="4153"/>
        <w:tab w:val="right" w:pos="8306"/>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semiHidden/>
    <w:rsid w:val="00011D9C"/>
    <w:rPr>
      <w:rFonts w:ascii="Times New Roman" w:eastAsia="Times New Roman" w:hAnsi="Times New Roman" w:cs="Times New Roman"/>
      <w:sz w:val="20"/>
      <w:szCs w:val="20"/>
    </w:rPr>
  </w:style>
  <w:style w:type="paragraph" w:styleId="Zkladntext">
    <w:name w:val="Body Text"/>
    <w:basedOn w:val="Normlny"/>
    <w:link w:val="ZkladntextChar"/>
    <w:rsid w:val="00011D9C"/>
    <w:pPr>
      <w:spacing w:after="0" w:line="240" w:lineRule="auto"/>
      <w:ind w:left="426"/>
      <w:jc w:val="both"/>
    </w:pPr>
    <w:rPr>
      <w:rFonts w:ascii="Times New Roman" w:eastAsia="Times New Roman" w:hAnsi="Times New Roman" w:cs="Times New Roman"/>
      <w:sz w:val="18"/>
      <w:szCs w:val="20"/>
      <w:lang w:val="x-none"/>
    </w:rPr>
  </w:style>
  <w:style w:type="character" w:customStyle="1" w:styleId="ZkladntextChar">
    <w:name w:val="Základný text Char"/>
    <w:basedOn w:val="Predvolenpsmoodseku"/>
    <w:link w:val="Zkladntext"/>
    <w:rsid w:val="00011D9C"/>
    <w:rPr>
      <w:rFonts w:ascii="Times New Roman" w:eastAsia="Times New Roman" w:hAnsi="Times New Roman" w:cs="Times New Roman"/>
      <w:sz w:val="18"/>
      <w:szCs w:val="20"/>
      <w:lang w:val="x-none"/>
    </w:rPr>
  </w:style>
  <w:style w:type="paragraph" w:customStyle="1" w:styleId="Tabulka">
    <w:name w:val="Tabulka"/>
    <w:basedOn w:val="Normlny"/>
    <w:rsid w:val="00011D9C"/>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011D9C"/>
    <w:pPr>
      <w:numPr>
        <w:numId w:val="4"/>
      </w:numPr>
      <w:tabs>
        <w:tab w:val="num" w:pos="426"/>
      </w:tabs>
      <w:ind w:left="426" w:hanging="426"/>
    </w:pPr>
    <w:rPr>
      <w:b/>
    </w:rPr>
  </w:style>
  <w:style w:type="paragraph" w:customStyle="1" w:styleId="Default">
    <w:name w:val="Default"/>
    <w:rsid w:val="00011D9C"/>
    <w:pPr>
      <w:autoSpaceDE w:val="0"/>
      <w:autoSpaceDN w:val="0"/>
      <w:adjustRightInd w:val="0"/>
      <w:spacing w:after="0" w:line="240" w:lineRule="auto"/>
    </w:pPr>
    <w:rPr>
      <w:rFonts w:ascii="Tw Cen MT" w:eastAsia="Times New Roman" w:hAnsi="Tw Cen MT" w:cs="Tw Cen MT"/>
      <w:color w:val="000000"/>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unhideWhenUsed/>
    <w:qFormat/>
    <w:rsid w:val="00105056"/>
    <w:pPr>
      <w:spacing w:before="300" w:after="80" w:line="240" w:lineRule="auto"/>
      <w:outlineLvl w:val="0"/>
    </w:pPr>
    <w:rPr>
      <w:rFonts w:asciiTheme="majorHAnsi" w:eastAsiaTheme="majorEastAsia" w:hAnsiTheme="majorHAnsi" w:cstheme="majorBidi"/>
      <w:caps/>
      <w:color w:val="1F497D" w:themeColor="text2"/>
      <w:sz w:val="32"/>
      <w:szCs w:val="32"/>
    </w:rPr>
  </w:style>
  <w:style w:type="paragraph" w:styleId="Nadpis2">
    <w:name w:val="heading 2"/>
    <w:basedOn w:val="Normlny"/>
    <w:next w:val="Normlny"/>
    <w:link w:val="Nadpis2Char"/>
    <w:uiPriority w:val="9"/>
    <w:unhideWhenUsed/>
    <w:qFormat/>
    <w:rsid w:val="00105056"/>
    <w:pPr>
      <w:spacing w:before="240" w:after="80" w:line="264" w:lineRule="auto"/>
      <w:outlineLvl w:val="1"/>
    </w:pPr>
    <w:rPr>
      <w:rFonts w:eastAsiaTheme="minorEastAsia"/>
      <w:b/>
      <w:bCs/>
      <w:color w:val="4F81BD" w:themeColor="accent1"/>
      <w:spacing w:val="20"/>
      <w:sz w:val="28"/>
      <w:szCs w:val="28"/>
    </w:rPr>
  </w:style>
  <w:style w:type="paragraph" w:styleId="Nadpis3">
    <w:name w:val="heading 3"/>
    <w:basedOn w:val="Normlny"/>
    <w:next w:val="Normlny"/>
    <w:link w:val="Nadpis3Char"/>
    <w:uiPriority w:val="9"/>
    <w:unhideWhenUsed/>
    <w:qFormat/>
    <w:rsid w:val="00F0573E"/>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link w:val="BezriadkovaniaChar"/>
    <w:uiPriority w:val="99"/>
    <w:qFormat/>
    <w:rsid w:val="00105056"/>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99"/>
    <w:rsid w:val="00105056"/>
    <w:rPr>
      <w:rFonts w:eastAsiaTheme="minorEastAsia"/>
      <w:lang w:eastAsia="sk-SK"/>
    </w:rPr>
  </w:style>
  <w:style w:type="paragraph" w:styleId="Textbubliny">
    <w:name w:val="Balloon Text"/>
    <w:basedOn w:val="Normlny"/>
    <w:link w:val="TextbublinyChar"/>
    <w:uiPriority w:val="99"/>
    <w:semiHidden/>
    <w:unhideWhenUsed/>
    <w:rsid w:val="0010505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05056"/>
    <w:rPr>
      <w:rFonts w:ascii="Tahoma" w:hAnsi="Tahoma" w:cs="Tahoma"/>
      <w:sz w:val="16"/>
      <w:szCs w:val="16"/>
    </w:rPr>
  </w:style>
  <w:style w:type="character" w:customStyle="1" w:styleId="Nadpis1Char">
    <w:name w:val="Nadpis 1 Char"/>
    <w:basedOn w:val="Predvolenpsmoodseku"/>
    <w:link w:val="Nadpis1"/>
    <w:uiPriority w:val="9"/>
    <w:rsid w:val="00105056"/>
    <w:rPr>
      <w:rFonts w:asciiTheme="majorHAnsi" w:eastAsiaTheme="majorEastAsia" w:hAnsiTheme="majorHAnsi" w:cstheme="majorBidi"/>
      <w:caps/>
      <w:color w:val="1F497D" w:themeColor="text2"/>
      <w:sz w:val="32"/>
      <w:szCs w:val="32"/>
    </w:rPr>
  </w:style>
  <w:style w:type="character" w:customStyle="1" w:styleId="Nadpis2Char">
    <w:name w:val="Nadpis 2 Char"/>
    <w:basedOn w:val="Predvolenpsmoodseku"/>
    <w:link w:val="Nadpis2"/>
    <w:uiPriority w:val="9"/>
    <w:rsid w:val="00105056"/>
    <w:rPr>
      <w:rFonts w:eastAsiaTheme="minorEastAsia"/>
      <w:b/>
      <w:bCs/>
      <w:color w:val="4F81BD" w:themeColor="accent1"/>
      <w:spacing w:val="20"/>
      <w:sz w:val="28"/>
      <w:szCs w:val="28"/>
    </w:rPr>
  </w:style>
  <w:style w:type="paragraph" w:styleId="Odsekzoznamu">
    <w:name w:val="List Paragraph"/>
    <w:basedOn w:val="Normlny"/>
    <w:uiPriority w:val="34"/>
    <w:unhideWhenUsed/>
    <w:qFormat/>
    <w:rsid w:val="008D2D54"/>
    <w:pPr>
      <w:spacing w:after="180" w:line="264" w:lineRule="auto"/>
      <w:ind w:left="720"/>
      <w:contextualSpacing/>
    </w:pPr>
    <w:rPr>
      <w:rFonts w:eastAsiaTheme="minorEastAsia"/>
      <w:sz w:val="23"/>
      <w:szCs w:val="23"/>
    </w:rPr>
  </w:style>
  <w:style w:type="character" w:styleId="Hypertextovprepojenie">
    <w:name w:val="Hyperlink"/>
    <w:basedOn w:val="Predvolenpsmoodseku"/>
    <w:uiPriority w:val="99"/>
    <w:unhideWhenUsed/>
    <w:rsid w:val="00A5142A"/>
    <w:rPr>
      <w:color w:val="0000FF"/>
      <w:u w:val="single"/>
    </w:rPr>
  </w:style>
  <w:style w:type="character" w:customStyle="1" w:styleId="Nadpis3Char">
    <w:name w:val="Nadpis 3 Char"/>
    <w:basedOn w:val="Predvolenpsmoodseku"/>
    <w:link w:val="Nadpis3"/>
    <w:uiPriority w:val="9"/>
    <w:rsid w:val="00F0573E"/>
    <w:rPr>
      <w:rFonts w:asciiTheme="majorHAnsi" w:eastAsiaTheme="majorEastAsia" w:hAnsiTheme="majorHAnsi" w:cstheme="majorBidi"/>
      <w:b/>
      <w:bCs/>
      <w:color w:val="4F81BD" w:themeColor="accent1"/>
    </w:rPr>
  </w:style>
  <w:style w:type="table" w:styleId="Mriekatabuky">
    <w:name w:val="Table Grid"/>
    <w:basedOn w:val="Normlnatabuka"/>
    <w:uiPriority w:val="1"/>
    <w:rsid w:val="00CB6D47"/>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semiHidden/>
    <w:unhideWhenUsed/>
    <w:rsid w:val="000278B1"/>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744233"/>
    <w:rPr>
      <w:b/>
      <w:bCs/>
    </w:rPr>
  </w:style>
  <w:style w:type="character" w:styleId="Zvraznenie">
    <w:name w:val="Emphasis"/>
    <w:basedOn w:val="Predvolenpsmoodseku"/>
    <w:uiPriority w:val="20"/>
    <w:qFormat/>
    <w:rsid w:val="00022FC0"/>
    <w:rPr>
      <w:i/>
      <w:iCs/>
    </w:rPr>
  </w:style>
  <w:style w:type="paragraph" w:styleId="Hlavika">
    <w:name w:val="header"/>
    <w:basedOn w:val="Normlny"/>
    <w:link w:val="HlavikaChar"/>
    <w:semiHidden/>
    <w:rsid w:val="00011D9C"/>
    <w:pPr>
      <w:tabs>
        <w:tab w:val="center" w:pos="4153"/>
        <w:tab w:val="right" w:pos="8306"/>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semiHidden/>
    <w:rsid w:val="00011D9C"/>
    <w:rPr>
      <w:rFonts w:ascii="Times New Roman" w:eastAsia="Times New Roman" w:hAnsi="Times New Roman" w:cs="Times New Roman"/>
      <w:sz w:val="20"/>
      <w:szCs w:val="20"/>
    </w:rPr>
  </w:style>
  <w:style w:type="paragraph" w:styleId="Zkladntext">
    <w:name w:val="Body Text"/>
    <w:basedOn w:val="Normlny"/>
    <w:link w:val="ZkladntextChar"/>
    <w:rsid w:val="00011D9C"/>
    <w:pPr>
      <w:spacing w:after="0" w:line="240" w:lineRule="auto"/>
      <w:ind w:left="426"/>
      <w:jc w:val="both"/>
    </w:pPr>
    <w:rPr>
      <w:rFonts w:ascii="Times New Roman" w:eastAsia="Times New Roman" w:hAnsi="Times New Roman" w:cs="Times New Roman"/>
      <w:sz w:val="18"/>
      <w:szCs w:val="20"/>
      <w:lang w:val="x-none"/>
    </w:rPr>
  </w:style>
  <w:style w:type="character" w:customStyle="1" w:styleId="ZkladntextChar">
    <w:name w:val="Základný text Char"/>
    <w:basedOn w:val="Predvolenpsmoodseku"/>
    <w:link w:val="Zkladntext"/>
    <w:rsid w:val="00011D9C"/>
    <w:rPr>
      <w:rFonts w:ascii="Times New Roman" w:eastAsia="Times New Roman" w:hAnsi="Times New Roman" w:cs="Times New Roman"/>
      <w:sz w:val="18"/>
      <w:szCs w:val="20"/>
      <w:lang w:val="x-none"/>
    </w:rPr>
  </w:style>
  <w:style w:type="paragraph" w:customStyle="1" w:styleId="Tabulka">
    <w:name w:val="Tabulka"/>
    <w:basedOn w:val="Normlny"/>
    <w:rsid w:val="00011D9C"/>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011D9C"/>
    <w:pPr>
      <w:numPr>
        <w:numId w:val="4"/>
      </w:numPr>
      <w:tabs>
        <w:tab w:val="num" w:pos="426"/>
      </w:tabs>
      <w:ind w:left="426" w:hanging="426"/>
    </w:pPr>
    <w:rPr>
      <w:b/>
    </w:rPr>
  </w:style>
  <w:style w:type="paragraph" w:customStyle="1" w:styleId="Default">
    <w:name w:val="Default"/>
    <w:rsid w:val="00011D9C"/>
    <w:pPr>
      <w:autoSpaceDE w:val="0"/>
      <w:autoSpaceDN w:val="0"/>
      <w:adjustRightInd w:val="0"/>
      <w:spacing w:after="0" w:line="240" w:lineRule="auto"/>
    </w:pPr>
    <w:rPr>
      <w:rFonts w:ascii="Tw Cen MT" w:eastAsia="Times New Roman" w:hAnsi="Tw Cen MT" w:cs="Tw Cen MT"/>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7391001">
      <w:bodyDiv w:val="1"/>
      <w:marLeft w:val="0"/>
      <w:marRight w:val="0"/>
      <w:marTop w:val="0"/>
      <w:marBottom w:val="0"/>
      <w:divBdr>
        <w:top w:val="none" w:sz="0" w:space="0" w:color="auto"/>
        <w:left w:val="none" w:sz="0" w:space="0" w:color="auto"/>
        <w:bottom w:val="none" w:sz="0" w:space="0" w:color="auto"/>
        <w:right w:val="none" w:sz="0" w:space="0" w:color="auto"/>
      </w:divBdr>
    </w:div>
    <w:div w:id="863326440">
      <w:bodyDiv w:val="1"/>
      <w:marLeft w:val="0"/>
      <w:marRight w:val="0"/>
      <w:marTop w:val="0"/>
      <w:marBottom w:val="0"/>
      <w:divBdr>
        <w:top w:val="none" w:sz="0" w:space="0" w:color="auto"/>
        <w:left w:val="none" w:sz="0" w:space="0" w:color="auto"/>
        <w:bottom w:val="none" w:sz="0" w:space="0" w:color="auto"/>
        <w:right w:val="none" w:sz="0" w:space="0" w:color="auto"/>
      </w:divBdr>
    </w:div>
    <w:div w:id="1475097463">
      <w:bodyDiv w:val="1"/>
      <w:marLeft w:val="0"/>
      <w:marRight w:val="0"/>
      <w:marTop w:val="0"/>
      <w:marBottom w:val="0"/>
      <w:divBdr>
        <w:top w:val="none" w:sz="0" w:space="0" w:color="auto"/>
        <w:left w:val="none" w:sz="0" w:space="0" w:color="auto"/>
        <w:bottom w:val="none" w:sz="0" w:space="0" w:color="auto"/>
        <w:right w:val="none" w:sz="0" w:space="0" w:color="auto"/>
      </w:divBdr>
    </w:div>
    <w:div w:id="1832670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image" Target="media/image11.emf"/><Relationship Id="rId26" Type="http://schemas.openxmlformats.org/officeDocument/2006/relationships/image" Target="media/image15.emf"/><Relationship Id="rId39" Type="http://schemas.openxmlformats.org/officeDocument/2006/relationships/package" Target="embeddings/Microsoft_Excel_Worksheet11.xlsx"/><Relationship Id="rId3" Type="http://schemas.openxmlformats.org/officeDocument/2006/relationships/styles" Target="styles.xml"/><Relationship Id="rId21" Type="http://schemas.openxmlformats.org/officeDocument/2006/relationships/package" Target="embeddings/Microsoft_Excel_Worksheet3.xlsx"/><Relationship Id="rId34" Type="http://schemas.openxmlformats.org/officeDocument/2006/relationships/image" Target="media/image19.emf"/><Relationship Id="rId42" Type="http://schemas.openxmlformats.org/officeDocument/2006/relationships/image" Target="media/image23.emf"/><Relationship Id="rId47" Type="http://schemas.openxmlformats.org/officeDocument/2006/relationships/package" Target="embeddings/Microsoft_Excel_Worksheet15.xlsx"/><Relationship Id="rId50" Type="http://schemas.openxmlformats.org/officeDocument/2006/relationships/image" Target="media/image27.emf"/><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image" Target="media/image10.emf"/><Relationship Id="rId25" Type="http://schemas.openxmlformats.org/officeDocument/2006/relationships/package" Target="embeddings/Microsoft_Excel_Worksheet5.xlsx"/><Relationship Id="rId33" Type="http://schemas.openxmlformats.org/officeDocument/2006/relationships/package" Target="embeddings/Microsoft_Excel_Worksheet8.xlsx"/><Relationship Id="rId38" Type="http://schemas.openxmlformats.org/officeDocument/2006/relationships/image" Target="media/image21.emf"/><Relationship Id="rId46" Type="http://schemas.openxmlformats.org/officeDocument/2006/relationships/image" Target="media/image25.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2.emf"/><Relationship Id="rId29" Type="http://schemas.openxmlformats.org/officeDocument/2006/relationships/oleObject" Target="embeddings/Microsoft_Excel_97-2003_Worksheet1.xls"/><Relationship Id="rId41" Type="http://schemas.openxmlformats.org/officeDocument/2006/relationships/package" Target="embeddings/Microsoft_Excel_Worksheet12.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emf"/><Relationship Id="rId24" Type="http://schemas.openxmlformats.org/officeDocument/2006/relationships/image" Target="media/image14.emf"/><Relationship Id="rId32" Type="http://schemas.openxmlformats.org/officeDocument/2006/relationships/image" Target="media/image18.emf"/><Relationship Id="rId37" Type="http://schemas.openxmlformats.org/officeDocument/2006/relationships/package" Target="embeddings/Microsoft_Excel_Worksheet10.xlsx"/><Relationship Id="rId40" Type="http://schemas.openxmlformats.org/officeDocument/2006/relationships/image" Target="media/image22.emf"/><Relationship Id="rId45" Type="http://schemas.openxmlformats.org/officeDocument/2006/relationships/package" Target="embeddings/Microsoft_Excel_Worksheet14.xlsx"/><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package" Target="embeddings/Microsoft_Excel_Worksheet1.xlsx"/><Relationship Id="rId23" Type="http://schemas.openxmlformats.org/officeDocument/2006/relationships/package" Target="embeddings/Microsoft_Excel_Worksheet4.xlsx"/><Relationship Id="rId28" Type="http://schemas.openxmlformats.org/officeDocument/2006/relationships/image" Target="media/image16.wmf"/><Relationship Id="rId36" Type="http://schemas.openxmlformats.org/officeDocument/2006/relationships/image" Target="media/image20.emf"/><Relationship Id="rId49" Type="http://schemas.openxmlformats.org/officeDocument/2006/relationships/package" Target="embeddings/Microsoft_Excel_Worksheet16.xlsx"/><Relationship Id="rId10" Type="http://schemas.openxmlformats.org/officeDocument/2006/relationships/image" Target="media/image4.emf"/><Relationship Id="rId19" Type="http://schemas.openxmlformats.org/officeDocument/2006/relationships/package" Target="embeddings/Microsoft_Excel_Worksheet2.xlsx"/><Relationship Id="rId31" Type="http://schemas.openxmlformats.org/officeDocument/2006/relationships/package" Target="embeddings/Microsoft_Excel_Worksheet7.xlsx"/><Relationship Id="rId44" Type="http://schemas.openxmlformats.org/officeDocument/2006/relationships/image" Target="media/image24.emf"/><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image" Target="media/image13.emf"/><Relationship Id="rId27" Type="http://schemas.openxmlformats.org/officeDocument/2006/relationships/package" Target="embeddings/Microsoft_Excel_Worksheet6.xlsx"/><Relationship Id="rId30" Type="http://schemas.openxmlformats.org/officeDocument/2006/relationships/image" Target="media/image17.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26.emf"/><Relationship Id="rId8" Type="http://schemas.openxmlformats.org/officeDocument/2006/relationships/image" Target="media/image2.emf"/><Relationship Id="rId51" Type="http://schemas.openxmlformats.org/officeDocument/2006/relationships/package" Target="embeddings/Microsoft_Excel_Worksheet17.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2014</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26</Pages>
  <Words>3667</Words>
  <Characters>20908</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Výročná správa</vt:lpstr>
      <vt:lpstr>Výročná správa</vt:lpstr>
    </vt:vector>
  </TitlesOfParts>
  <Company>ĽUDIA ĽUĎOM, n. o.</Company>
  <LinksUpToDate>false</LinksUpToDate>
  <CharactersWithSpaces>24526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subject>ĽUDIA ĽUĎOM, n. o.</dc:subject>
  <dc:creator>Lališová Daniela</dc:creator>
  <cp:lastModifiedBy>Matějková Elena</cp:lastModifiedBy>
  <cp:revision>4</cp:revision>
  <dcterms:created xsi:type="dcterms:W3CDTF">2016-06-27T15:06:00Z</dcterms:created>
  <dcterms:modified xsi:type="dcterms:W3CDTF">2016-06-30T08:43:00Z</dcterms:modified>
</cp:coreProperties>
</file>