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B87364" w:rsidRDefault="001044E0">
      <w:pPr>
        <w:spacing w:after="120" w:line="240" w:lineRule="auto"/>
        <w:jc w:val="center"/>
      </w:pPr>
      <w:r>
        <w:rPr>
          <w:rFonts w:ascii="Calibri" w:eastAsia="Calibri" w:hAnsi="Calibri" w:cs="Calibri"/>
          <w:b/>
          <w:sz w:val="24"/>
          <w:szCs w:val="24"/>
        </w:rPr>
        <w:t>POZNÁMKY K ÚČTOVNEJ ZÁVIERKE 2015</w:t>
      </w:r>
    </w:p>
    <w:p w:rsidR="00B87364" w:rsidRDefault="001044E0">
      <w:pPr>
        <w:spacing w:line="240" w:lineRule="auto"/>
        <w:jc w:val="center"/>
      </w:pPr>
      <w:r>
        <w:rPr>
          <w:rFonts w:ascii="Calibri" w:eastAsia="Calibri" w:hAnsi="Calibri" w:cs="Calibri"/>
          <w:sz w:val="24"/>
          <w:szCs w:val="24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 w:rsidR="00B87364" w:rsidRDefault="001044E0">
      <w:pPr>
        <w:spacing w:line="240" w:lineRule="auto"/>
        <w:jc w:val="center"/>
      </w:pPr>
      <w:r>
        <w:rPr>
          <w:rFonts w:ascii="Calibri" w:eastAsia="Calibri" w:hAnsi="Calibri" w:cs="Calibri"/>
          <w:b/>
          <w:sz w:val="24"/>
          <w:szCs w:val="24"/>
        </w:rPr>
        <w:t>pre malé účtovné jednotky</w:t>
      </w: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B87364">
      <w:pPr>
        <w:spacing w:line="240" w:lineRule="auto"/>
      </w:pPr>
    </w:p>
    <w:p w:rsidR="00B87364" w:rsidRDefault="001044E0">
      <w:pPr>
        <w:spacing w:line="240" w:lineRule="auto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I – VŠEOBECNÉ INFORMÁCIE</w:t>
      </w:r>
    </w:p>
    <w:p w:rsidR="00B87364" w:rsidRDefault="00B87364">
      <w:pPr>
        <w:spacing w:line="240" w:lineRule="auto"/>
      </w:pPr>
    </w:p>
    <w:p w:rsidR="00B87364" w:rsidRDefault="001044E0">
      <w:pPr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>1) Základné informácie o účtovnej jednotke:</w:t>
      </w:r>
    </w:p>
    <w:p w:rsidR="00B87364" w:rsidRDefault="00B87364">
      <w:pPr>
        <w:spacing w:line="240" w:lineRule="auto"/>
      </w:pPr>
    </w:p>
    <w:tbl>
      <w:tblPr>
        <w:tblStyle w:val="a"/>
        <w:tblW w:w="9714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2835"/>
        <w:gridCol w:w="6879"/>
      </w:tblGrid>
      <w:tr w:rsidR="00B87364">
        <w:trPr>
          <w:trHeight w:val="34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Obchodné meno:</w:t>
            </w:r>
          </w:p>
        </w:tc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5F22" w:rsidP="00755F22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>UN DRESS</w:t>
            </w:r>
            <w:r w:rsidR="001044E0"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>, s.r.o.</w:t>
            </w:r>
          </w:p>
        </w:tc>
      </w:tr>
      <w:tr w:rsidR="00B87364">
        <w:trPr>
          <w:trHeight w:val="38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Sídlo:</w:t>
            </w:r>
          </w:p>
        </w:tc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5F22" w:rsidP="00755F22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>022 04 Čadca, Okružná 236</w:t>
            </w:r>
          </w:p>
        </w:tc>
      </w:tr>
      <w:tr w:rsidR="00B87364">
        <w:trPr>
          <w:trHeight w:val="18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Právna forma:</w:t>
            </w:r>
          </w:p>
        </w:tc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Spoločnosť s ručením obmedzeným</w:t>
            </w:r>
          </w:p>
        </w:tc>
      </w:tr>
      <w:tr w:rsidR="00B87364">
        <w:trPr>
          <w:trHeight w:val="22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Dátum vzniku: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B87364" w:rsidRDefault="001044E0" w:rsidP="00755F22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Zápis do obchodného registra: </w:t>
            </w:r>
            <w:r w:rsidR="00755F22">
              <w:rPr>
                <w:rFonts w:ascii="Calibri" w:eastAsia="Calibri" w:hAnsi="Calibri" w:cs="Calibri"/>
                <w:sz w:val="24"/>
                <w:szCs w:val="24"/>
              </w:rPr>
              <w:t>01</w:t>
            </w:r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>.</w:t>
            </w:r>
            <w:r w:rsidR="00755F22"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>06</w:t>
            </w:r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>.200</w:t>
            </w:r>
            <w:r w:rsidR="00755F22"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>4</w:t>
            </w:r>
          </w:p>
        </w:tc>
      </w:tr>
      <w:tr w:rsidR="00B87364">
        <w:trPr>
          <w:trHeight w:val="26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87364" w:rsidRDefault="001044E0">
            <w:pPr>
              <w:spacing w:line="240" w:lineRule="auto"/>
              <w:ind w:right="1027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Hlavný predmet podnikania: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B87364" w:rsidRDefault="00B87364">
            <w:pPr>
              <w:spacing w:line="240" w:lineRule="auto"/>
              <w:jc w:val="both"/>
            </w:pPr>
          </w:p>
          <w:p w:rsidR="00B87364" w:rsidRDefault="009C1AB4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Činnosť všeobecnej lekárskej praxe</w:t>
            </w:r>
          </w:p>
        </w:tc>
      </w:tr>
      <w:tr w:rsidR="00B87364">
        <w:trPr>
          <w:trHeight w:val="52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Subjekt verejného záujmu: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B87364" w:rsidRDefault="001044E0" w:rsidP="00755F22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Spoločnosť </w:t>
            </w:r>
            <w:r w:rsidR="00755F22">
              <w:rPr>
                <w:rFonts w:ascii="Calibri" w:eastAsia="Calibri" w:hAnsi="Calibri" w:cs="Calibri"/>
                <w:sz w:val="24"/>
                <w:szCs w:val="24"/>
              </w:rPr>
              <w:t xml:space="preserve">UN </w:t>
            </w:r>
            <w:proofErr w:type="spellStart"/>
            <w:r w:rsidR="00755F22">
              <w:rPr>
                <w:rFonts w:ascii="Calibri" w:eastAsia="Calibri" w:hAnsi="Calibri" w:cs="Calibri"/>
                <w:sz w:val="24"/>
                <w:szCs w:val="24"/>
              </w:rPr>
              <w:t>DRESS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,s.r.o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. nie je subjektom verejného záujmu (§ 2/14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ZoU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>).</w:t>
            </w:r>
          </w:p>
        </w:tc>
      </w:tr>
      <w:tr w:rsidR="00B87364">
        <w:trPr>
          <w:trHeight w:val="30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Účtovné obdobie: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Kalendárny rok 2015</w:t>
            </w:r>
          </w:p>
        </w:tc>
      </w:tr>
    </w:tbl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1044E0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UJ bola v účtovnom období roku 2014 – malá účtovná jednotka, preto zostavuje účtovnú závierku podľa metodiky pre túto veľkostnú skupinu (Opatrenie č.MF/23378/2014-74).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</w:pPr>
    </w:p>
    <w:p w:rsidR="00B87364" w:rsidRDefault="001044E0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2) Dátum schválenia účtovnej závierky za bezprostredne predchádzajúce účtovné obdobie príslušným orgánom účtovnej jednotky:</w:t>
      </w:r>
    </w:p>
    <w:p w:rsidR="00B87364" w:rsidRDefault="001044E0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1044E0">
      <w:pPr>
        <w:widowControl w:val="0"/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 xml:space="preserve">3) Právny dôvod na zostavenie účtovnej závierky: Účtovná závierka Spoločnosti k 31.12.2015 je zostavená ako riadna účtovná závierka podľa §17 ods. 6 Zákona č. 431/2002 </w:t>
      </w:r>
      <w:proofErr w:type="spellStart"/>
      <w:r>
        <w:rPr>
          <w:rFonts w:ascii="Calibri" w:eastAsia="Calibri" w:hAnsi="Calibri" w:cs="Calibri"/>
          <w:sz w:val="24"/>
          <w:szCs w:val="24"/>
        </w:rPr>
        <w:t>Z.z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o účtovníctve za účtovné obdobie od 01. januára 2015 do 31. decembra 2015 </w:t>
      </w:r>
    </w:p>
    <w:p w:rsidR="00B87364" w:rsidRDefault="00B87364">
      <w:pPr>
        <w:spacing w:line="240" w:lineRule="auto"/>
        <w:ind w:right="-468"/>
        <w:jc w:val="both"/>
      </w:pPr>
    </w:p>
    <w:p w:rsidR="00B87364" w:rsidRDefault="001044E0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4) ÚJ nie je v skupine účtovných jednotiek</w:t>
      </w:r>
    </w:p>
    <w:p w:rsidR="00B87364" w:rsidRDefault="00B87364">
      <w:pPr>
        <w:spacing w:line="240" w:lineRule="auto"/>
        <w:jc w:val="both"/>
      </w:pPr>
    </w:p>
    <w:p w:rsidR="00B87364" w:rsidRDefault="001044E0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5) Priemerný prepočítaný počet zamestnancov účtovnej jednotky:</w:t>
      </w:r>
    </w:p>
    <w:tbl>
      <w:tblPr>
        <w:tblStyle w:val="a0"/>
        <w:tblW w:w="974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857"/>
        <w:gridCol w:w="2523"/>
        <w:gridCol w:w="2367"/>
      </w:tblGrid>
      <w:tr w:rsidR="00B87364">
        <w:trPr>
          <w:trHeight w:val="520"/>
        </w:trPr>
        <w:tc>
          <w:tcPr>
            <w:tcW w:w="4857" w:type="dxa"/>
            <w:vAlign w:val="center"/>
          </w:tcPr>
          <w:p w:rsidR="00B87364" w:rsidRDefault="001044E0">
            <w:pPr>
              <w:spacing w:line="240" w:lineRule="auto"/>
              <w:ind w:right="459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Názov položky</w:t>
            </w:r>
          </w:p>
        </w:tc>
        <w:tc>
          <w:tcPr>
            <w:tcW w:w="2523" w:type="dxa"/>
            <w:vAlign w:val="center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67" w:type="dxa"/>
            <w:vAlign w:val="center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B87364">
        <w:trPr>
          <w:trHeight w:val="160"/>
        </w:trPr>
        <w:tc>
          <w:tcPr>
            <w:tcW w:w="4857" w:type="dxa"/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Priemerný prepočítaný počet počas účtovného obdobia</w:t>
            </w:r>
          </w:p>
        </w:tc>
        <w:tc>
          <w:tcPr>
            <w:tcW w:w="2523" w:type="dxa"/>
          </w:tcPr>
          <w:p w:rsidR="00B87364" w:rsidRDefault="00755F22" w:rsidP="00755F22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13</w:t>
            </w:r>
          </w:p>
        </w:tc>
        <w:tc>
          <w:tcPr>
            <w:tcW w:w="2367" w:type="dxa"/>
          </w:tcPr>
          <w:p w:rsidR="00B87364" w:rsidRDefault="00755F22" w:rsidP="00755F22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13</w:t>
            </w:r>
          </w:p>
        </w:tc>
      </w:tr>
    </w:tbl>
    <w:p w:rsidR="00B87364" w:rsidRDefault="00B87364">
      <w:pPr>
        <w:spacing w:line="240" w:lineRule="auto"/>
        <w:ind w:left="928"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1044E0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II – INFORMÁCIE O ORGÁNOCH SPOLOČNOSTI</w:t>
      </w:r>
    </w:p>
    <w:p w:rsidR="00B87364" w:rsidRDefault="00B87364">
      <w:pPr>
        <w:spacing w:line="240" w:lineRule="auto"/>
        <w:ind w:right="-468"/>
        <w:jc w:val="both"/>
      </w:pPr>
    </w:p>
    <w:p w:rsidR="00B87364" w:rsidRDefault="001044E0">
      <w:pPr>
        <w:spacing w:after="120" w:line="240" w:lineRule="auto"/>
        <w:jc w:val="both"/>
      </w:pPr>
      <w:r>
        <w:rPr>
          <w:rFonts w:ascii="Calibri" w:eastAsia="Calibri" w:hAnsi="Calibri" w:cs="Calibri"/>
          <w:b/>
          <w:sz w:val="24"/>
          <w:szCs w:val="24"/>
        </w:rPr>
        <w:t>Informácie o orgánoch účtovnej jednotky</w:t>
      </w:r>
      <w:r>
        <w:rPr>
          <w:rFonts w:ascii="Calibri" w:eastAsia="Calibri" w:hAnsi="Calibri" w:cs="Calibri"/>
          <w:sz w:val="24"/>
          <w:szCs w:val="24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</w:t>
      </w:r>
    </w:p>
    <w:tbl>
      <w:tblPr>
        <w:tblStyle w:val="a1"/>
        <w:tblW w:w="9817" w:type="dxa"/>
        <w:jc w:val="center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969"/>
        <w:gridCol w:w="2488"/>
        <w:gridCol w:w="2360"/>
      </w:tblGrid>
      <w:tr w:rsidR="00B87364">
        <w:trPr>
          <w:trHeight w:val="860"/>
          <w:jc w:val="center"/>
        </w:trPr>
        <w:tc>
          <w:tcPr>
            <w:tcW w:w="4969" w:type="dxa"/>
            <w:vAlign w:val="center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Orgány účtovnej jednotky</w:t>
            </w:r>
          </w:p>
        </w:tc>
        <w:tc>
          <w:tcPr>
            <w:tcW w:w="2488" w:type="dxa"/>
            <w:vAlign w:val="center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60" w:type="dxa"/>
            <w:vAlign w:val="center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B87364">
        <w:trPr>
          <w:trHeight w:val="240"/>
          <w:jc w:val="center"/>
        </w:trPr>
        <w:tc>
          <w:tcPr>
            <w:tcW w:w="4969" w:type="dxa"/>
            <w:vAlign w:val="center"/>
          </w:tcPr>
          <w:p w:rsidR="00B87364" w:rsidRDefault="001044E0">
            <w:pPr>
              <w:spacing w:line="240" w:lineRule="auto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Štatutárny orgán/Spoločník</w:t>
            </w:r>
          </w:p>
        </w:tc>
        <w:tc>
          <w:tcPr>
            <w:tcW w:w="2488" w:type="dxa"/>
            <w:vAlign w:val="center"/>
          </w:tcPr>
          <w:p w:rsidR="00B87364" w:rsidRDefault="00755F22" w:rsidP="00755F22">
            <w:pPr>
              <w:spacing w:line="240" w:lineRule="auto"/>
            </w:pP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Laš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Peter</w:t>
            </w:r>
            <w:r w:rsidR="001044E0">
              <w:rPr>
                <w:rFonts w:ascii="Calibri" w:eastAsia="Calibri" w:hAnsi="Calibri" w:cs="Calibri"/>
                <w:sz w:val="24"/>
                <w:szCs w:val="24"/>
              </w:rPr>
              <w:t>t</w:t>
            </w:r>
            <w:proofErr w:type="spellEnd"/>
          </w:p>
        </w:tc>
        <w:tc>
          <w:tcPr>
            <w:tcW w:w="2360" w:type="dxa"/>
            <w:vAlign w:val="center"/>
          </w:tcPr>
          <w:p w:rsidR="00B87364" w:rsidRDefault="00755F22" w:rsidP="00755F22">
            <w:pPr>
              <w:spacing w:line="240" w:lineRule="auto"/>
            </w:pP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Laš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Peter</w:t>
            </w:r>
            <w:bookmarkStart w:id="0" w:name="_GoBack"/>
            <w:bookmarkEnd w:id="0"/>
          </w:p>
        </w:tc>
      </w:tr>
      <w:tr w:rsidR="00B87364">
        <w:trPr>
          <w:trHeight w:val="240"/>
          <w:jc w:val="center"/>
        </w:trPr>
        <w:tc>
          <w:tcPr>
            <w:tcW w:w="4969" w:type="dxa"/>
            <w:vAlign w:val="center"/>
          </w:tcPr>
          <w:p w:rsidR="00B87364" w:rsidRDefault="001044E0">
            <w:pPr>
              <w:numPr>
                <w:ilvl w:val="0"/>
                <w:numId w:val="3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pôžička celkovo</w:t>
            </w: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B87364">
            <w:pPr>
              <w:spacing w:line="240" w:lineRule="auto"/>
            </w:pPr>
          </w:p>
        </w:tc>
      </w:tr>
      <w:tr w:rsidR="00B87364">
        <w:trPr>
          <w:trHeight w:val="140"/>
          <w:jc w:val="center"/>
        </w:trPr>
        <w:tc>
          <w:tcPr>
            <w:tcW w:w="4969" w:type="dxa"/>
            <w:vAlign w:val="center"/>
          </w:tcPr>
          <w:p w:rsidR="00B87364" w:rsidRDefault="001044E0">
            <w:pPr>
              <w:numPr>
                <w:ilvl w:val="0"/>
                <w:numId w:val="1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druh príjmu (výhody):</w:t>
            </w: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1044E0">
            <w:pPr>
              <w:spacing w:line="240" w:lineRule="auto"/>
            </w:pPr>
            <w:r>
              <w:rPr>
                <w:rFonts w:ascii="Calibri" w:eastAsia="Calibri" w:hAnsi="Calibri" w:cs="Calibri"/>
                <w:sz w:val="24"/>
                <w:szCs w:val="24"/>
              </w:rPr>
              <w:t> </w:t>
            </w:r>
          </w:p>
        </w:tc>
      </w:tr>
      <w:tr w:rsidR="00B87364">
        <w:trPr>
          <w:trHeight w:val="160"/>
          <w:jc w:val="center"/>
        </w:trPr>
        <w:tc>
          <w:tcPr>
            <w:tcW w:w="4969" w:type="dxa"/>
            <w:vAlign w:val="center"/>
          </w:tcPr>
          <w:p w:rsidR="00B87364" w:rsidRDefault="001044E0">
            <w:pPr>
              <w:spacing w:line="240" w:lineRule="auto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Spoločník</w:t>
            </w: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B87364">
            <w:pPr>
              <w:spacing w:line="240" w:lineRule="auto"/>
            </w:pPr>
          </w:p>
        </w:tc>
      </w:tr>
      <w:tr w:rsidR="00B87364">
        <w:trPr>
          <w:trHeight w:val="160"/>
          <w:jc w:val="center"/>
        </w:trPr>
        <w:tc>
          <w:tcPr>
            <w:tcW w:w="4969" w:type="dxa"/>
            <w:vAlign w:val="center"/>
          </w:tcPr>
          <w:p w:rsidR="00B87364" w:rsidRDefault="001044E0">
            <w:pPr>
              <w:numPr>
                <w:ilvl w:val="0"/>
                <w:numId w:val="1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pôžička celkovo</w:t>
            </w: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B87364">
            <w:pPr>
              <w:spacing w:line="240" w:lineRule="auto"/>
            </w:pPr>
          </w:p>
        </w:tc>
      </w:tr>
      <w:tr w:rsidR="00B87364">
        <w:trPr>
          <w:trHeight w:val="160"/>
          <w:jc w:val="center"/>
        </w:trPr>
        <w:tc>
          <w:tcPr>
            <w:tcW w:w="4969" w:type="dxa"/>
            <w:vAlign w:val="center"/>
          </w:tcPr>
          <w:p w:rsidR="00B87364" w:rsidRDefault="001044E0">
            <w:pPr>
              <w:numPr>
                <w:ilvl w:val="0"/>
                <w:numId w:val="1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druh príjmu (výhody):</w:t>
            </w: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B87364">
            <w:pPr>
              <w:spacing w:line="240" w:lineRule="auto"/>
            </w:pPr>
          </w:p>
        </w:tc>
      </w:tr>
      <w:tr w:rsidR="00B87364">
        <w:trPr>
          <w:trHeight w:val="160"/>
          <w:jc w:val="center"/>
        </w:trPr>
        <w:tc>
          <w:tcPr>
            <w:tcW w:w="4969" w:type="dxa"/>
            <w:vAlign w:val="center"/>
          </w:tcPr>
          <w:p w:rsidR="00B87364" w:rsidRDefault="00B87364">
            <w:pPr>
              <w:spacing w:line="240" w:lineRule="auto"/>
              <w:ind w:left="720"/>
            </w:pP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B87364">
            <w:pPr>
              <w:spacing w:line="240" w:lineRule="auto"/>
            </w:pPr>
          </w:p>
        </w:tc>
      </w:tr>
    </w:tbl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1044E0">
      <w:pPr>
        <w:spacing w:line="240" w:lineRule="auto"/>
        <w:ind w:right="-141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III – INFORMÁCIE O PRIJATÝCH POSTUPOCH</w:t>
      </w:r>
    </w:p>
    <w:p w:rsidR="00B87364" w:rsidRDefault="00B87364">
      <w:pPr>
        <w:spacing w:line="240" w:lineRule="auto"/>
        <w:ind w:right="-141"/>
        <w:jc w:val="both"/>
      </w:pPr>
    </w:p>
    <w:p w:rsidR="00B87364" w:rsidRDefault="001044E0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1) Účtovná závierka je zostavená za splnenia predpokladu, že ÚJ bude nepretržite pokračovať vo svojej činnosti minimálne 12 mesiacov po </w:t>
      </w:r>
      <w:proofErr w:type="spellStart"/>
      <w:r>
        <w:rPr>
          <w:rFonts w:ascii="Calibri" w:eastAsia="Calibri" w:hAnsi="Calibri" w:cs="Calibri"/>
          <w:sz w:val="24"/>
          <w:szCs w:val="24"/>
        </w:rPr>
        <w:t>závierkovom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dni v zmysle § 7 ods. 4 zákona o účtovníctve.</w:t>
      </w:r>
    </w:p>
    <w:p w:rsidR="00B87364" w:rsidRDefault="001044E0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1044E0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>2) Účtovné metódy vychádzajúce z interných smerníc spoločnosti a všeobecné účtovné zásady boli účtovnou jednotkou konzistentne aplikované</w:t>
      </w:r>
    </w:p>
    <w:p w:rsidR="00B87364" w:rsidRDefault="00B87364">
      <w:pPr>
        <w:spacing w:line="240" w:lineRule="auto"/>
        <w:ind w:right="-141"/>
        <w:jc w:val="both"/>
      </w:pPr>
    </w:p>
    <w:p w:rsidR="00B87364" w:rsidRDefault="001044E0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>3) ÚJ neeviduje žiadne transakcie, ktoré sa neuvádzajú v súvahe.</w:t>
      </w:r>
    </w:p>
    <w:p w:rsidR="00B87364" w:rsidRDefault="001044E0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</w:p>
    <w:p w:rsidR="00B87364" w:rsidRDefault="001044E0">
      <w:pPr>
        <w:spacing w:after="120"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>4) Spôsob a určenie oceňovania majetku a záväzkov (vrátane rozhodujúcich odhadov):</w:t>
      </w:r>
    </w:p>
    <w:p w:rsidR="00B87364" w:rsidRDefault="001044E0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a) Spôsob oceňovania majetku a záväzkov (§ 25 </w:t>
      </w:r>
      <w:proofErr w:type="spellStart"/>
      <w:r>
        <w:rPr>
          <w:rFonts w:ascii="Calibri" w:eastAsia="Calibri" w:hAnsi="Calibri" w:cs="Calibri"/>
          <w:sz w:val="24"/>
          <w:szCs w:val="24"/>
        </w:rPr>
        <w:t>ZoU</w:t>
      </w:r>
      <w:proofErr w:type="spellEnd"/>
      <w:r>
        <w:rPr>
          <w:rFonts w:ascii="Calibri" w:eastAsia="Calibri" w:hAnsi="Calibri" w:cs="Calibri"/>
          <w:sz w:val="24"/>
          <w:szCs w:val="24"/>
        </w:rPr>
        <w:t>):</w:t>
      </w:r>
    </w:p>
    <w:p w:rsidR="00B87364" w:rsidRDefault="00B87364">
      <w:pPr>
        <w:widowControl w:val="0"/>
        <w:tabs>
          <w:tab w:val="left" w:pos="808"/>
        </w:tabs>
        <w:spacing w:line="240" w:lineRule="auto"/>
        <w:jc w:val="both"/>
      </w:pPr>
    </w:p>
    <w:tbl>
      <w:tblPr>
        <w:tblStyle w:val="a2"/>
        <w:tblW w:w="960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6"/>
        <w:gridCol w:w="5300"/>
        <w:gridCol w:w="3600"/>
      </w:tblGrid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Spôsob oceňovania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nehmotný majetok externe kúpený: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nehmotný majetok interne vytvorený: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náklady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nehmotný majetok obstaraný inak (darom):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Reprodukčná 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hmotný majetok interne vytvorený: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náklady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nehmotný majetok obstaraný inak (darom):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Reprodukčná 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lastRenderedPageBreak/>
              <w:t>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8.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Zásoby obstarané kúpou: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9.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Zásoby vytvorené vlastnou činnosťou: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náklady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Zásoby obstarané inak (darom):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Reprodukčná 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ZV a zákazková výstavba nehnuteľnosti určenej na predaj: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pohľadávky: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Kúpené pohľadávky: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Krátkodobý finančný majetok: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Deriváty: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18.</w:t>
            </w:r>
          </w:p>
        </w:tc>
        <w:tc>
          <w:tcPr>
            <w:tcW w:w="5300" w:type="dxa"/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Majetok a záväzky zabezpečené derivátmi: </w:t>
            </w:r>
          </w:p>
        </w:tc>
        <w:tc>
          <w:tcPr>
            <w:tcW w:w="3600" w:type="dxa"/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19.</w:t>
            </w:r>
          </w:p>
        </w:tc>
        <w:tc>
          <w:tcPr>
            <w:tcW w:w="5300" w:type="dxa"/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Prenajatý majetok a majetok obstaraný na základe zmluvy o kúpe prenajatej veci:</w:t>
            </w:r>
          </w:p>
        </w:tc>
        <w:tc>
          <w:tcPr>
            <w:tcW w:w="3600" w:type="dxa"/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20.</w:t>
            </w:r>
          </w:p>
        </w:tc>
        <w:tc>
          <w:tcPr>
            <w:tcW w:w="5300" w:type="dxa"/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Splatná daň z príjmov a odložená daň z príjmov:</w:t>
            </w:r>
          </w:p>
        </w:tc>
        <w:tc>
          <w:tcPr>
            <w:tcW w:w="3600" w:type="dxa"/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</w:tbl>
    <w:p w:rsidR="00B87364" w:rsidRDefault="00B87364">
      <w:pPr>
        <w:spacing w:line="240" w:lineRule="auto"/>
        <w:jc w:val="both"/>
      </w:pPr>
    </w:p>
    <w:p w:rsidR="00B87364" w:rsidRDefault="001044E0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b) Trvalé zníženie hodnoty majetku nebolo účtované. </w:t>
      </w:r>
    </w:p>
    <w:p w:rsidR="00B87364" w:rsidRDefault="00B87364">
      <w:pPr>
        <w:spacing w:after="120" w:line="240" w:lineRule="auto"/>
        <w:jc w:val="both"/>
      </w:pPr>
    </w:p>
    <w:p w:rsidR="00B87364" w:rsidRDefault="001044E0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c) Záväzky účtovná jednotka ocenila menovitou hodnotou záväzkov. </w:t>
      </w:r>
    </w:p>
    <w:p w:rsidR="00B87364" w:rsidRDefault="00B87364">
      <w:pPr>
        <w:spacing w:after="120" w:line="240" w:lineRule="auto"/>
        <w:jc w:val="both"/>
      </w:pPr>
    </w:p>
    <w:p w:rsidR="00B87364" w:rsidRDefault="001044E0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d) Účtovná jednotka nepoužila dobrovoľné oceňovanie obchodných podielov metódou vlastného imania (§ 27/9 </w:t>
      </w:r>
      <w:proofErr w:type="spellStart"/>
      <w:r>
        <w:rPr>
          <w:rFonts w:ascii="Calibri" w:eastAsia="Calibri" w:hAnsi="Calibri" w:cs="Calibri"/>
          <w:sz w:val="24"/>
          <w:szCs w:val="24"/>
        </w:rPr>
        <w:t>ZoU</w:t>
      </w:r>
      <w:proofErr w:type="spellEnd"/>
      <w:r>
        <w:rPr>
          <w:rFonts w:ascii="Calibri" w:eastAsia="Calibri" w:hAnsi="Calibri" w:cs="Calibri"/>
          <w:sz w:val="24"/>
          <w:szCs w:val="24"/>
        </w:rPr>
        <w:t>).</w:t>
      </w:r>
    </w:p>
    <w:p w:rsidR="00B87364" w:rsidRDefault="00B87364">
      <w:pPr>
        <w:keepNext/>
        <w:tabs>
          <w:tab w:val="left" w:pos="1005"/>
        </w:tabs>
        <w:spacing w:after="120" w:line="240" w:lineRule="auto"/>
        <w:jc w:val="both"/>
      </w:pPr>
    </w:p>
    <w:p w:rsidR="00B87364" w:rsidRDefault="001044E0">
      <w:pPr>
        <w:keepNext/>
        <w:tabs>
          <w:tab w:val="left" w:pos="1005"/>
        </w:tabs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f) Tvorba odpisového plánu pre dlhodobý majetok, pričom sa uvádza doba odpisovania, sadzby odpisov a odpisové metódy pre účtovné odpisy:</w:t>
      </w:r>
    </w:p>
    <w:tbl>
      <w:tblPr>
        <w:tblStyle w:val="a3"/>
        <w:tblW w:w="960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18"/>
        <w:gridCol w:w="1013"/>
        <w:gridCol w:w="2107"/>
        <w:gridCol w:w="2268"/>
      </w:tblGrid>
      <w:tr w:rsidR="00B87364">
        <w:tc>
          <w:tcPr>
            <w:tcW w:w="4218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Dlhodobý hmotný a nehmotný</w:t>
            </w:r>
          </w:p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odpisovaný majetok</w:t>
            </w:r>
          </w:p>
        </w:tc>
        <w:tc>
          <w:tcPr>
            <w:tcW w:w="1013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číslo</w:t>
            </w:r>
          </w:p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účtu</w:t>
            </w:r>
          </w:p>
        </w:tc>
        <w:tc>
          <w:tcPr>
            <w:tcW w:w="2107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doba odpisovania</w:t>
            </w:r>
          </w:p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(počet rokov)</w:t>
            </w:r>
          </w:p>
        </w:tc>
        <w:tc>
          <w:tcPr>
            <w:tcW w:w="2268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odpisová sadzba </w:t>
            </w:r>
          </w:p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(%)</w:t>
            </w:r>
          </w:p>
        </w:tc>
      </w:tr>
      <w:tr w:rsidR="00B87364">
        <w:tc>
          <w:tcPr>
            <w:tcW w:w="4218" w:type="dxa"/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Software</w:t>
            </w:r>
          </w:p>
        </w:tc>
        <w:tc>
          <w:tcPr>
            <w:tcW w:w="1013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013</w:t>
            </w:r>
          </w:p>
        </w:tc>
        <w:tc>
          <w:tcPr>
            <w:tcW w:w="2107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Ostatný DNM </w:t>
            </w:r>
          </w:p>
        </w:tc>
        <w:tc>
          <w:tcPr>
            <w:tcW w:w="1013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019</w:t>
            </w:r>
          </w:p>
        </w:tc>
        <w:tc>
          <w:tcPr>
            <w:tcW w:w="2107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Stavby</w:t>
            </w:r>
          </w:p>
        </w:tc>
        <w:tc>
          <w:tcPr>
            <w:tcW w:w="1013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021</w:t>
            </w:r>
          </w:p>
        </w:tc>
        <w:tc>
          <w:tcPr>
            <w:tcW w:w="2107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20</w:t>
            </w:r>
          </w:p>
        </w:tc>
        <w:tc>
          <w:tcPr>
            <w:tcW w:w="2268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5</w:t>
            </w:r>
          </w:p>
        </w:tc>
      </w:tr>
      <w:tr w:rsidR="00B87364">
        <w:tc>
          <w:tcPr>
            <w:tcW w:w="4218" w:type="dxa"/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Počítače s príslušenstvom</w:t>
            </w:r>
          </w:p>
        </w:tc>
        <w:tc>
          <w:tcPr>
            <w:tcW w:w="1013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022.A</w:t>
            </w:r>
          </w:p>
        </w:tc>
        <w:tc>
          <w:tcPr>
            <w:tcW w:w="2107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Dopravné prostriedky</w:t>
            </w:r>
          </w:p>
        </w:tc>
        <w:tc>
          <w:tcPr>
            <w:tcW w:w="1013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</w:t>
            </w:r>
          </w:p>
        </w:tc>
        <w:tc>
          <w:tcPr>
            <w:tcW w:w="2107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Ostatné stroje</w:t>
            </w:r>
          </w:p>
        </w:tc>
        <w:tc>
          <w:tcPr>
            <w:tcW w:w="1013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022.A</w:t>
            </w:r>
          </w:p>
        </w:tc>
        <w:tc>
          <w:tcPr>
            <w:tcW w:w="2107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Ostatný dlhodobý hmotný majetok</w:t>
            </w:r>
          </w:p>
        </w:tc>
        <w:tc>
          <w:tcPr>
            <w:tcW w:w="1013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</w:t>
            </w:r>
          </w:p>
        </w:tc>
        <w:tc>
          <w:tcPr>
            <w:tcW w:w="2107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</w:tbl>
    <w:p w:rsidR="00B87364" w:rsidRDefault="001044E0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1044E0">
      <w:pPr>
        <w:spacing w:after="120" w:line="240" w:lineRule="auto"/>
      </w:pPr>
      <w:r>
        <w:rPr>
          <w:rFonts w:ascii="Calibri" w:eastAsia="Calibri" w:hAnsi="Calibri" w:cs="Calibri"/>
          <w:sz w:val="24"/>
          <w:szCs w:val="24"/>
        </w:rPr>
        <w:t xml:space="preserve">Komentár k odpisovému plánu: </w:t>
      </w:r>
    </w:p>
    <w:p w:rsidR="00B87364" w:rsidRDefault="001044E0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UJ používa účtovné odpisy nezávisle na daňových odpisoch. Majetok sa začína odpisovať v mesiaci, kedy bol zaradený do užívania. Účtovné odpisy vychádzajú z predpokladanej doby </w:t>
      </w:r>
      <w:r>
        <w:rPr>
          <w:rFonts w:ascii="Calibri" w:eastAsia="Calibri" w:hAnsi="Calibri" w:cs="Calibri"/>
          <w:sz w:val="24"/>
          <w:szCs w:val="24"/>
        </w:rPr>
        <w:lastRenderedPageBreak/>
        <w:t>používania majetku. Dlhodobý nehmotný majetok sa odpisuje počas 4 rokov od jeho obstarania.</w:t>
      </w:r>
    </w:p>
    <w:p w:rsidR="00B87364" w:rsidRDefault="001044E0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UJ používa rovnomerné odpisovanie dlhodobého hmotného majetku a dlhodobého nehmotného majetku. Podrobný účtovný odpisový plán po položkách sa vedie v podsystéme Majetok (taktiež daňové odpisy podľa zákona o dani z príjmov).</w:t>
      </w:r>
    </w:p>
    <w:p w:rsidR="00B87364" w:rsidRDefault="001044E0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UJ odpisuje jednotlivé veci alebo relevantné súbory hnuteľných vecí (napr. počítačová sieť, nábytková zostava). UJ nepoužíva </w:t>
      </w:r>
      <w:proofErr w:type="spellStart"/>
      <w:r>
        <w:rPr>
          <w:rFonts w:ascii="Calibri" w:eastAsia="Calibri" w:hAnsi="Calibri" w:cs="Calibri"/>
          <w:sz w:val="24"/>
          <w:szCs w:val="24"/>
        </w:rPr>
        <w:t>komponentné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odpisovanie (odpisovanie častí majetku - komponentov).</w:t>
      </w:r>
    </w:p>
    <w:p w:rsidR="00B87364" w:rsidRDefault="001044E0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UJ nepoužila jednorazový odpis</w:t>
      </w:r>
      <w:r>
        <w:rPr>
          <w:rFonts w:ascii="Calibri" w:eastAsia="Calibri" w:hAnsi="Calibri" w:cs="Calibri"/>
          <w:b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dlhodobého majetku z dôvodu jednorazového trvalého zníženia hodnoty majetku (§ 21/5 PU).</w:t>
      </w:r>
    </w:p>
    <w:p w:rsidR="00B87364" w:rsidRDefault="001044E0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ÚJ nepoužíva kategóriu drobného dlhodobého nehmotného majetku - položky pod 2 400 eur jednotkovej ceny so životnosťou nad jeden rok (§ 13/2 PU).</w:t>
      </w:r>
    </w:p>
    <w:p w:rsidR="00B87364" w:rsidRDefault="001044E0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ÚJ nepoužíva kategóriu drobného dlhodobého hmotného majetku - položky pod 1 700 eur jednotkovej ceny so životnosťou nad jeden rok (§ 13/6 PU).</w:t>
      </w:r>
    </w:p>
    <w:p w:rsidR="00B87364" w:rsidRDefault="001044E0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ÚJ nepoužíva dobrovoľné účtovanie podlimitného technického zhodnotenia do odpisovaného dlhodobého majetku – technické zhodnotenie pod 1 700 eur za účtovné obdobie (§ 21/3 PU; § 29/2 ZDP).</w:t>
      </w:r>
    </w:p>
    <w:p w:rsidR="00B87364" w:rsidRDefault="001044E0">
      <w:pPr>
        <w:numPr>
          <w:ilvl w:val="0"/>
          <w:numId w:val="2"/>
        </w:numPr>
        <w:spacing w:after="120" w:line="240" w:lineRule="auto"/>
        <w:ind w:hanging="360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ÚJ nepoužíva dobrovoľnú kapitalizáciu úrokov do obstarávacej ceny odpisovaného dlhodobého hmotného majetku alebo dlhodobého nehmotného majetku (§ 34/1 PU; § 35/2/h PU).</w:t>
      </w:r>
    </w:p>
    <w:p w:rsidR="00B87364" w:rsidRDefault="00B87364">
      <w:pPr>
        <w:spacing w:after="120" w:line="240" w:lineRule="auto"/>
        <w:jc w:val="both"/>
      </w:pPr>
    </w:p>
    <w:p w:rsidR="00B87364" w:rsidRDefault="001044E0">
      <w:pPr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>g) ÚJ neboli v zdaňovacom období roku 2015 poskytnuté žiadne dotácie</w:t>
      </w:r>
    </w:p>
    <w:p w:rsidR="00B87364" w:rsidRDefault="00B87364">
      <w:pPr>
        <w:keepNext/>
        <w:spacing w:after="120" w:line="240" w:lineRule="auto"/>
        <w:jc w:val="both"/>
      </w:pPr>
    </w:p>
    <w:p w:rsidR="00B87364" w:rsidRDefault="001044E0">
      <w:pPr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>5) ÚJ v zdaňovacom období roku 2015 nevykonala žiadne opravy významných chýb.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1044E0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IV – INFORMÁCIE, KTORÉ VYSVETĽUJÚ A DOPĹŇAJÚ SÚVAHU A VÝKAZ ZISKOV A STRÁT</w:t>
      </w:r>
    </w:p>
    <w:p w:rsidR="00B87364" w:rsidRDefault="00B87364">
      <w:pPr>
        <w:spacing w:line="240" w:lineRule="auto"/>
        <w:ind w:right="-468"/>
        <w:jc w:val="both"/>
      </w:pPr>
    </w:p>
    <w:p w:rsidR="00B87364" w:rsidRDefault="001044E0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1) ÚJ neeviduje žiadne položky nehmotného majetku.</w:t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1044E0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2) ÚJ neeviduje žiadne položky významných derivátov, majetku a záväzkoch zabezpečených derivátmi.</w:t>
      </w:r>
    </w:p>
    <w:p w:rsidR="00B87364" w:rsidRDefault="00B87364">
      <w:pPr>
        <w:spacing w:after="120" w:line="240" w:lineRule="auto"/>
        <w:jc w:val="both"/>
      </w:pPr>
    </w:p>
    <w:p w:rsidR="00B87364" w:rsidRDefault="001044E0">
      <w:pPr>
        <w:spacing w:after="120"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3a) ÚJ neeviduje žiadne položky zabezpečených záväzkov so zostatkovou dobou splatnosti dlhšou </w:t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  <w:t xml:space="preserve"> ako 5 rokov:  </w:t>
      </w:r>
    </w:p>
    <w:p w:rsidR="00B87364" w:rsidRDefault="00B87364">
      <w:pPr>
        <w:spacing w:after="120" w:line="240" w:lineRule="auto"/>
        <w:ind w:right="-141"/>
        <w:jc w:val="both"/>
      </w:pPr>
    </w:p>
    <w:tbl>
      <w:tblPr>
        <w:tblStyle w:val="a4"/>
        <w:tblW w:w="9714" w:type="dxa"/>
        <w:jc w:val="center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785"/>
        <w:gridCol w:w="2553"/>
        <w:gridCol w:w="2376"/>
      </w:tblGrid>
      <w:tr w:rsidR="00B87364">
        <w:trPr>
          <w:trHeight w:val="680"/>
          <w:jc w:val="center"/>
        </w:trPr>
        <w:tc>
          <w:tcPr>
            <w:tcW w:w="4785" w:type="dxa"/>
            <w:vAlign w:val="center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Názov položky</w:t>
            </w:r>
          </w:p>
        </w:tc>
        <w:tc>
          <w:tcPr>
            <w:tcW w:w="2553" w:type="dxa"/>
            <w:vAlign w:val="center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76" w:type="dxa"/>
            <w:vAlign w:val="center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B87364">
        <w:trPr>
          <w:trHeight w:val="200"/>
          <w:jc w:val="center"/>
        </w:trPr>
        <w:tc>
          <w:tcPr>
            <w:tcW w:w="4785" w:type="dxa"/>
            <w:vAlign w:val="center"/>
          </w:tcPr>
          <w:p w:rsidR="00B87364" w:rsidRDefault="001044E0">
            <w:pPr>
              <w:spacing w:line="240" w:lineRule="auto"/>
            </w:pPr>
            <w:r>
              <w:rPr>
                <w:rFonts w:ascii="Calibri" w:eastAsia="Calibri" w:hAnsi="Calibri" w:cs="Calibri"/>
                <w:sz w:val="24"/>
                <w:szCs w:val="24"/>
              </w:rPr>
              <w:lastRenderedPageBreak/>
              <w:t>Záväzky so zostatkovou dobou splatnosti nad 5 rokov</w:t>
            </w:r>
          </w:p>
        </w:tc>
        <w:tc>
          <w:tcPr>
            <w:tcW w:w="2553" w:type="dxa"/>
            <w:vAlign w:val="center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</w:t>
            </w:r>
          </w:p>
        </w:tc>
        <w:tc>
          <w:tcPr>
            <w:tcW w:w="2376" w:type="dxa"/>
            <w:vAlign w:val="center"/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</w:t>
            </w:r>
          </w:p>
        </w:tc>
      </w:tr>
    </w:tbl>
    <w:p w:rsidR="00B87364" w:rsidRDefault="00B87364">
      <w:pPr>
        <w:spacing w:before="120" w:line="240" w:lineRule="auto"/>
        <w:ind w:right="-471"/>
        <w:jc w:val="both"/>
      </w:pPr>
    </w:p>
    <w:p w:rsidR="00B87364" w:rsidRDefault="001044E0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3b) ÚJ neeviduje žiadne položky zabezpečených záväzkov.</w:t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1044E0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4) ÚJ neeviduje žiadne vlastné akcie.</w:t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1044E0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5) ÚJ neeviduje žiadne položky nákladov alebo výnosov, ktoré majú výnimočný rozsah alebo výskyt.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1044E0">
      <w:pPr>
        <w:spacing w:after="120" w:line="240" w:lineRule="auto"/>
        <w:ind w:right="-471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V – INFORMÁCIE O INÝCH AKTÍVACH A INÝCH PASÍVACH</w:t>
      </w:r>
    </w:p>
    <w:p w:rsidR="00B87364" w:rsidRDefault="00B87364">
      <w:pPr>
        <w:spacing w:after="120" w:line="240" w:lineRule="auto"/>
        <w:ind w:right="-471"/>
        <w:jc w:val="center"/>
      </w:pPr>
    </w:p>
    <w:p w:rsidR="00B87364" w:rsidRDefault="001044E0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1a) ÚJ neeviduje žiadne položky podmieneného majetku.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1044E0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1b) ÚJ neeviduje žiadne položky podmienených záväzkov.</w:t>
      </w:r>
    </w:p>
    <w:p w:rsidR="00B87364" w:rsidRDefault="00B87364">
      <w:pPr>
        <w:spacing w:after="120"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1044E0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2) ÚJ neeviduje žiadne ostatné finančné povinnosti, ktoré a nevykazujú v účtovných výkazoch.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1044E0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3 V účtovníctve ÚJ sa nenachádzajú žiadne položky evidované na podsúvahových účtoch.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ind w:right="-468"/>
        <w:jc w:val="center"/>
      </w:pPr>
    </w:p>
    <w:p w:rsidR="00B87364" w:rsidRDefault="001044E0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VI – UDALOSTI, KTORÉ NASTALI PO ZÁVIERKOVOM DNI</w:t>
      </w:r>
    </w:p>
    <w:p w:rsidR="00B87364" w:rsidRDefault="001044E0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(Následné udalosti)</w:t>
      </w:r>
    </w:p>
    <w:p w:rsidR="00B87364" w:rsidRDefault="00B87364">
      <w:pPr>
        <w:spacing w:line="240" w:lineRule="auto"/>
        <w:ind w:right="-468"/>
        <w:jc w:val="center"/>
      </w:pPr>
    </w:p>
    <w:p w:rsidR="00B87364" w:rsidRDefault="001044E0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ÚJ neeviduje žiadne udalosti, ktoré nastali po </w:t>
      </w:r>
      <w:proofErr w:type="spellStart"/>
      <w:r>
        <w:rPr>
          <w:rFonts w:ascii="Calibri" w:eastAsia="Calibri" w:hAnsi="Calibri" w:cs="Calibri"/>
          <w:sz w:val="24"/>
          <w:szCs w:val="24"/>
        </w:rPr>
        <w:t>závierkovom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dni.</w:t>
      </w:r>
    </w:p>
    <w:p w:rsidR="00B87364" w:rsidRDefault="00B87364">
      <w:pPr>
        <w:spacing w:line="240" w:lineRule="auto"/>
        <w:ind w:right="-468"/>
        <w:jc w:val="center"/>
      </w:pPr>
    </w:p>
    <w:p w:rsidR="00B87364" w:rsidRDefault="00B87364">
      <w:pPr>
        <w:spacing w:line="240" w:lineRule="auto"/>
        <w:ind w:right="-468"/>
        <w:jc w:val="center"/>
      </w:pPr>
    </w:p>
    <w:p w:rsidR="00B87364" w:rsidRDefault="001044E0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VII – OSTATNÉ INFORMÁCIE</w:t>
      </w:r>
    </w:p>
    <w:p w:rsidR="00B87364" w:rsidRDefault="00B87364">
      <w:pPr>
        <w:spacing w:line="240" w:lineRule="auto"/>
        <w:ind w:right="-468"/>
        <w:jc w:val="both"/>
      </w:pPr>
    </w:p>
    <w:p w:rsidR="00B87364" w:rsidRDefault="001044E0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1) ÚJ nemá žiadne právo poskytovať služby vo verejnom záujme.</w:t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1044E0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2) ÚJ nemá žiadnu priemyselnú výrobu. (§ 23d/6 </w:t>
      </w:r>
      <w:proofErr w:type="spellStart"/>
      <w:r>
        <w:rPr>
          <w:rFonts w:ascii="Calibri" w:eastAsia="Calibri" w:hAnsi="Calibri" w:cs="Calibri"/>
          <w:sz w:val="24"/>
          <w:szCs w:val="24"/>
        </w:rPr>
        <w:t>ZoU</w:t>
      </w:r>
      <w:proofErr w:type="spellEnd"/>
      <w:r>
        <w:rPr>
          <w:rFonts w:ascii="Calibri" w:eastAsia="Calibri" w:hAnsi="Calibri" w:cs="Calibri"/>
          <w:sz w:val="24"/>
          <w:szCs w:val="24"/>
        </w:rPr>
        <w:t>)</w:t>
      </w:r>
    </w:p>
    <w:p w:rsidR="00B87364" w:rsidRDefault="001044E0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</w:p>
    <w:p w:rsidR="00B87364" w:rsidRDefault="001044E0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3) ÚJ nemá žiadne finančné vzťahy s orgánmi verejnej moci. (§ 23d/6 </w:t>
      </w:r>
      <w:proofErr w:type="spellStart"/>
      <w:r>
        <w:rPr>
          <w:rFonts w:ascii="Calibri" w:eastAsia="Calibri" w:hAnsi="Calibri" w:cs="Calibri"/>
          <w:sz w:val="24"/>
          <w:szCs w:val="24"/>
        </w:rPr>
        <w:t>ZoU</w:t>
      </w:r>
      <w:proofErr w:type="spellEnd"/>
      <w:r>
        <w:rPr>
          <w:rFonts w:ascii="Calibri" w:eastAsia="Calibri" w:hAnsi="Calibri" w:cs="Calibri"/>
          <w:sz w:val="24"/>
          <w:szCs w:val="24"/>
        </w:rPr>
        <w:t>)</w:t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B87364">
      <w:pPr>
        <w:spacing w:after="120" w:line="240" w:lineRule="auto"/>
      </w:pPr>
    </w:p>
    <w:p w:rsidR="00B87364" w:rsidRDefault="001044E0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</w:p>
    <w:sectPr w:rsidR="00B87364">
      <w:headerReference w:type="default" r:id="rId8"/>
      <w:footerReference w:type="default" r:id="rId9"/>
      <w:pgSz w:w="11907" w:h="16840"/>
      <w:pgMar w:top="1417" w:right="992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6C4A" w:rsidRDefault="001044E0">
      <w:pPr>
        <w:spacing w:line="240" w:lineRule="auto"/>
      </w:pPr>
      <w:r>
        <w:separator/>
      </w:r>
    </w:p>
  </w:endnote>
  <w:endnote w:type="continuationSeparator" w:id="0">
    <w:p w:rsidR="00226C4A" w:rsidRDefault="001044E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7364" w:rsidRDefault="001044E0">
    <w:pPr>
      <w:tabs>
        <w:tab w:val="center" w:pos="4536"/>
        <w:tab w:val="right" w:pos="9072"/>
      </w:tabs>
      <w:spacing w:line="240" w:lineRule="auto"/>
      <w:jc w:val="right"/>
    </w:pPr>
    <w:r>
      <w:fldChar w:fldCharType="begin"/>
    </w:r>
    <w:r>
      <w:instrText>PAGE</w:instrText>
    </w:r>
    <w:r>
      <w:fldChar w:fldCharType="separate"/>
    </w:r>
    <w:r w:rsidR="00755F22">
      <w:rPr>
        <w:noProof/>
      </w:rPr>
      <w:t>6</w:t>
    </w:r>
    <w:r>
      <w:fldChar w:fldCharType="end"/>
    </w:r>
  </w:p>
  <w:p w:rsidR="00B87364" w:rsidRDefault="00B87364">
    <w:pPr>
      <w:tabs>
        <w:tab w:val="center" w:pos="4536"/>
        <w:tab w:val="right" w:pos="9072"/>
      </w:tabs>
      <w:spacing w:after="567" w:line="240" w:lineRule="auto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6C4A" w:rsidRDefault="001044E0">
      <w:pPr>
        <w:spacing w:line="240" w:lineRule="auto"/>
      </w:pPr>
      <w:r>
        <w:separator/>
      </w:r>
    </w:p>
  </w:footnote>
  <w:footnote w:type="continuationSeparator" w:id="0">
    <w:p w:rsidR="00226C4A" w:rsidRDefault="001044E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7364" w:rsidRDefault="001044E0">
    <w:pPr>
      <w:widowControl w:val="0"/>
      <w:tabs>
        <w:tab w:val="left" w:pos="2990"/>
        <w:tab w:val="left" w:pos="6348"/>
      </w:tabs>
      <w:spacing w:before="567" w:line="240" w:lineRule="auto"/>
      <w:ind w:left="-397"/>
      <w:jc w:val="center"/>
    </w:pPr>
    <w:r>
      <w:t xml:space="preserve"> </w:t>
    </w:r>
    <w:r>
      <w:t xml:space="preserve">Poznámky </w:t>
    </w:r>
    <w:proofErr w:type="spellStart"/>
    <w:r>
      <w:t>Úč</w:t>
    </w:r>
    <w:proofErr w:type="spellEnd"/>
    <w:r>
      <w:t xml:space="preserve"> POD 3 – 01          </w:t>
    </w:r>
    <w:r>
      <w:rPr>
        <w:color w:val="707070"/>
        <w:sz w:val="18"/>
        <w:szCs w:val="18"/>
        <w:highlight w:val="white"/>
      </w:rPr>
      <w:tab/>
    </w:r>
    <w:r>
      <w:t xml:space="preserve">                 IČO: </w:t>
    </w:r>
    <w:r w:rsidR="00755F22">
      <w:t>36419249</w:t>
    </w:r>
    <w:r>
      <w:t xml:space="preserve">         DIČ: 20</w:t>
    </w:r>
    <w:r w:rsidR="00755F22">
      <w:t>21835926</w:t>
    </w:r>
    <w:r>
      <w:t xml:space="preserve">  </w:t>
    </w:r>
  </w:p>
  <w:p w:rsidR="00B87364" w:rsidRDefault="00B87364">
    <w:pPr>
      <w:tabs>
        <w:tab w:val="center" w:pos="4703"/>
        <w:tab w:val="right" w:pos="9406"/>
      </w:tabs>
      <w:spacing w:line="240" w:lineRule="aut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64C91"/>
    <w:multiLevelType w:val="multilevel"/>
    <w:tmpl w:val="1EECCF62"/>
    <w:lvl w:ilvl="0">
      <w:numFmt w:val="bullet"/>
      <w:lvlText w:val="-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1">
    <w:nsid w:val="286D243E"/>
    <w:multiLevelType w:val="multilevel"/>
    <w:tmpl w:val="5072A10A"/>
    <w:lvl w:ilvl="0">
      <w:start w:val="6"/>
      <w:numFmt w:val="bullet"/>
      <w:lvlText w:val="-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2">
    <w:nsid w:val="4CAE6D9F"/>
    <w:multiLevelType w:val="multilevel"/>
    <w:tmpl w:val="6D68A1C2"/>
    <w:lvl w:ilvl="0">
      <w:start w:val="1"/>
      <w:numFmt w:val="bullet"/>
      <w:lvlText w:val="➢"/>
      <w:lvlJc w:val="left"/>
      <w:pPr>
        <w:ind w:left="360" w:firstLine="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080" w:firstLine="72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1800" w:firstLine="144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520" w:firstLine="216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240" w:firstLine="288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3960" w:firstLine="360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4680" w:firstLine="432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400" w:firstLine="504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120" w:firstLine="5760"/>
      </w:pPr>
      <w:rPr>
        <w:rFonts w:ascii="Arial" w:eastAsia="Arial" w:hAnsi="Arial" w:cs="Arial"/>
        <w:vertAlign w:val="baseline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B87364"/>
    <w:rsid w:val="001044E0"/>
    <w:rsid w:val="00226C4A"/>
    <w:rsid w:val="00755F22"/>
    <w:rsid w:val="009C1AB4"/>
    <w:rsid w:val="00B87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color w:val="000000"/>
        <w:sz w:val="22"/>
        <w:szCs w:val="22"/>
        <w:lang w:val="sk-SK" w:eastAsia="sk-SK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</w:style>
  <w:style w:type="paragraph" w:styleId="Nadpis1">
    <w:name w:val="heading 1"/>
    <w:basedOn w:val="Normlny"/>
    <w:next w:val="Normlny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Nadpis2">
    <w:name w:val="heading 2"/>
    <w:basedOn w:val="Normlny"/>
    <w:next w:val="Normlny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Nadpis5">
    <w:name w:val="heading 5"/>
    <w:basedOn w:val="Normlny"/>
    <w:next w:val="Normlny"/>
    <w:pPr>
      <w:keepNext/>
      <w:keepLines/>
      <w:spacing w:before="220" w:after="40"/>
      <w:contextualSpacing/>
      <w:outlineLvl w:val="4"/>
    </w:pPr>
    <w:rPr>
      <w:b/>
    </w:rPr>
  </w:style>
  <w:style w:type="paragraph" w:styleId="Nadpis6">
    <w:name w:val="heading 6"/>
    <w:basedOn w:val="Normlny"/>
    <w:next w:val="Normlny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Podtitul">
    <w:name w:val="Subtitle"/>
    <w:basedOn w:val="Normlny"/>
    <w:next w:val="Normlny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755F22"/>
    <w:pPr>
      <w:tabs>
        <w:tab w:val="center" w:pos="4536"/>
        <w:tab w:val="right" w:pos="9072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55F22"/>
  </w:style>
  <w:style w:type="paragraph" w:styleId="Pta">
    <w:name w:val="footer"/>
    <w:basedOn w:val="Normlny"/>
    <w:link w:val="PtaChar"/>
    <w:uiPriority w:val="99"/>
    <w:unhideWhenUsed/>
    <w:rsid w:val="00755F22"/>
    <w:pPr>
      <w:tabs>
        <w:tab w:val="center" w:pos="4536"/>
        <w:tab w:val="right" w:pos="9072"/>
      </w:tabs>
      <w:spacing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55F2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color w:val="000000"/>
        <w:sz w:val="22"/>
        <w:szCs w:val="22"/>
        <w:lang w:val="sk-SK" w:eastAsia="sk-SK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</w:style>
  <w:style w:type="paragraph" w:styleId="Nadpis1">
    <w:name w:val="heading 1"/>
    <w:basedOn w:val="Normlny"/>
    <w:next w:val="Normlny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Nadpis2">
    <w:name w:val="heading 2"/>
    <w:basedOn w:val="Normlny"/>
    <w:next w:val="Normlny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Nadpis5">
    <w:name w:val="heading 5"/>
    <w:basedOn w:val="Normlny"/>
    <w:next w:val="Normlny"/>
    <w:pPr>
      <w:keepNext/>
      <w:keepLines/>
      <w:spacing w:before="220" w:after="40"/>
      <w:contextualSpacing/>
      <w:outlineLvl w:val="4"/>
    </w:pPr>
    <w:rPr>
      <w:b/>
    </w:rPr>
  </w:style>
  <w:style w:type="paragraph" w:styleId="Nadpis6">
    <w:name w:val="heading 6"/>
    <w:basedOn w:val="Normlny"/>
    <w:next w:val="Normlny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Podtitul">
    <w:name w:val="Subtitle"/>
    <w:basedOn w:val="Normlny"/>
    <w:next w:val="Normlny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755F22"/>
    <w:pPr>
      <w:tabs>
        <w:tab w:val="center" w:pos="4536"/>
        <w:tab w:val="right" w:pos="9072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55F22"/>
  </w:style>
  <w:style w:type="paragraph" w:styleId="Pta">
    <w:name w:val="footer"/>
    <w:basedOn w:val="Normlny"/>
    <w:link w:val="PtaChar"/>
    <w:uiPriority w:val="99"/>
    <w:unhideWhenUsed/>
    <w:rsid w:val="00755F22"/>
    <w:pPr>
      <w:tabs>
        <w:tab w:val="center" w:pos="4536"/>
        <w:tab w:val="right" w:pos="9072"/>
      </w:tabs>
      <w:spacing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55F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1199</Words>
  <Characters>6835</Characters>
  <Application>Microsoft Office Word</Application>
  <DocSecurity>0</DocSecurity>
  <Lines>56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Vika3</cp:lastModifiedBy>
  <cp:revision>2</cp:revision>
  <dcterms:created xsi:type="dcterms:W3CDTF">2016-06-30T15:50:00Z</dcterms:created>
  <dcterms:modified xsi:type="dcterms:W3CDTF">2016-06-30T15:50:00Z</dcterms:modified>
</cp:coreProperties>
</file>