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2"/>
        <w:gridCol w:w="207"/>
        <w:gridCol w:w="484"/>
        <w:gridCol w:w="1284"/>
        <w:gridCol w:w="196"/>
        <w:gridCol w:w="407"/>
        <w:gridCol w:w="207"/>
        <w:gridCol w:w="196"/>
        <w:gridCol w:w="207"/>
        <w:gridCol w:w="196"/>
        <w:gridCol w:w="207"/>
        <w:gridCol w:w="303"/>
        <w:gridCol w:w="290"/>
        <w:gridCol w:w="349"/>
        <w:gridCol w:w="196"/>
        <w:gridCol w:w="263"/>
        <w:gridCol w:w="196"/>
        <w:gridCol w:w="196"/>
        <w:gridCol w:w="196"/>
        <w:gridCol w:w="304"/>
        <w:gridCol w:w="771"/>
        <w:gridCol w:w="770"/>
        <w:gridCol w:w="379"/>
        <w:gridCol w:w="694"/>
        <w:gridCol w:w="449"/>
        <w:gridCol w:w="486"/>
        <w:gridCol w:w="477"/>
        <w:gridCol w:w="203"/>
        <w:gridCol w:w="228"/>
        <w:gridCol w:w="203"/>
        <w:gridCol w:w="333"/>
        <w:gridCol w:w="323"/>
        <w:gridCol w:w="1113"/>
        <w:gridCol w:w="196"/>
        <w:gridCol w:w="355"/>
      </w:tblGrid>
      <w:tr w:rsidR="00CC2E2F" w:rsidRPr="00CC2E2F" w:rsidTr="00CC2E2F">
        <w:trPr>
          <w:trHeight w:val="36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POZNÁMKY individuálnej účtovnej závierky malej účtovnej jednotky k 31.12.2015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Čl. I Všeobecné informácie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Názov a sídlo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Obchodné meno (názov) účtovnej jednotky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KLMS s.r.o.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Ulica a číslo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12/526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PSČ</w:t>
            </w:r>
          </w:p>
        </w:tc>
        <w:tc>
          <w:tcPr>
            <w:tcW w:w="10593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obce</w:t>
            </w:r>
          </w:p>
        </w:tc>
        <w:tc>
          <w:tcPr>
            <w:tcW w:w="1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07642</w:t>
            </w:r>
          </w:p>
        </w:tc>
        <w:tc>
          <w:tcPr>
            <w:tcW w:w="10593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Veľké Trakany - Kolónia</w:t>
            </w:r>
          </w:p>
        </w:tc>
        <w:tc>
          <w:tcPr>
            <w:tcW w:w="1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239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Kód SK NACE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45420939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2022977902</w:t>
            </w: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45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25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Číslo telefónu</w:t>
            </w:r>
          </w:p>
        </w:tc>
        <w:tc>
          <w:tcPr>
            <w:tcW w:w="2805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Číslo faxu</w:t>
            </w:r>
          </w:p>
        </w:tc>
        <w:tc>
          <w:tcPr>
            <w:tcW w:w="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/</w:t>
            </w:r>
          </w:p>
        </w:tc>
        <w:tc>
          <w:tcPr>
            <w:tcW w:w="17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/</w:t>
            </w:r>
          </w:p>
        </w:tc>
        <w:tc>
          <w:tcPr>
            <w:tcW w:w="18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E-mailová adresa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Opis činnosti hospodárskej činnosti účtovnej jednotky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Hlavnými činnosťami spoločnosti sú: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Oprava a údržba motorových vozidiel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(2) Účtovná závierka za predchádzajúce obdobie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Účtovná závierka za predchádzajúce účtovné obdobie bola schválená dňa 27.03.2015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(3) Právny dôvod na zostavenie účtovnej závierky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Spoločnosť predkladá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riadnu účtovnú závierku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(5)  Priemerný prepočítaný počet zamestnancov účtovnej jednotky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1260"/>
        </w:trPr>
        <w:tc>
          <w:tcPr>
            <w:tcW w:w="8197" w:type="dxa"/>
            <w:gridSpan w:val="2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244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919" w:type="dxa"/>
            <w:gridSpan w:val="4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8197" w:type="dxa"/>
            <w:gridSpan w:val="2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3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4</w:t>
            </w:r>
          </w:p>
        </w:tc>
      </w:tr>
      <w:tr w:rsidR="00CC2E2F" w:rsidRPr="00CC2E2F" w:rsidTr="00CC2E2F">
        <w:trPr>
          <w:trHeight w:val="300"/>
        </w:trPr>
        <w:tc>
          <w:tcPr>
            <w:tcW w:w="8197" w:type="dxa"/>
            <w:gridSpan w:val="2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Stav zamestnancov ku dňu zostavenia závierky, z toho: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3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4</w:t>
            </w:r>
          </w:p>
        </w:tc>
      </w:tr>
      <w:tr w:rsidR="00CC2E2F" w:rsidRPr="00CC2E2F" w:rsidTr="00CC2E2F">
        <w:trPr>
          <w:trHeight w:val="300"/>
        </w:trPr>
        <w:tc>
          <w:tcPr>
            <w:tcW w:w="8197" w:type="dxa"/>
            <w:gridSpan w:val="2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Počet vedúcich zamestnancov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1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1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lastRenderedPageBreak/>
              <w:t>Čl. III Informácie o prijatých postupoch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Predpoklad nepretržitého pokračovania v činnosti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Účtovná závierka bola zostavená za predpokladu nepretržitého trvania spoločnosti.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(2) Informácie o aplikácii účtovných zásad a metód a významné zmeny účtovných zásad a účtovných metód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Aplikované účtované zásady a metódy, ktoré sú dôležité na posúdenie majetku, záväzkov, finančnej situácie a výsledku hospodárenia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4280" w:type="dxa"/>
            <w:gridSpan w:val="13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8080" w:type="dxa"/>
            <w:gridSpan w:val="22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Aplikovaná zásada / metóda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80" w:type="dxa"/>
            <w:gridSpan w:val="2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80" w:type="dxa"/>
            <w:gridSpan w:val="2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80" w:type="dxa"/>
            <w:gridSpan w:val="2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80" w:type="dxa"/>
            <w:gridSpan w:val="2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80" w:type="dxa"/>
            <w:gridSpan w:val="2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Zmeny účtovných zásad a metód s uvedením dôvodu ich uplatnenia a ich vplyvu na hodnotu majetku, záväzkov, vlastného imania a  výsledku hospodárenia  účtovnej jednotky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4280" w:type="dxa"/>
            <w:gridSpan w:val="13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zmeny</w:t>
            </w:r>
          </w:p>
        </w:tc>
        <w:tc>
          <w:tcPr>
            <w:tcW w:w="5440" w:type="dxa"/>
            <w:gridSpan w:val="15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Dôvod zmeny</w:t>
            </w:r>
          </w:p>
        </w:tc>
        <w:tc>
          <w:tcPr>
            <w:tcW w:w="2640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Vplyv na hodnotu zložky majetku a záväzky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40" w:type="dxa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40" w:type="dxa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40" w:type="dxa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40" w:type="dxa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40" w:type="dxa"/>
            <w:gridSpan w:val="15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(3) Informácie o transakciách, ktoré sa neuvádzajú v súvahe, ale sú významné na posúdenie finančnej situácie účtovnej jednotky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3990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Opis transakcie</w:t>
            </w:r>
          </w:p>
        </w:tc>
        <w:tc>
          <w:tcPr>
            <w:tcW w:w="3193" w:type="dxa"/>
            <w:gridSpan w:val="10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Charakter transakcie</w:t>
            </w:r>
          </w:p>
        </w:tc>
        <w:tc>
          <w:tcPr>
            <w:tcW w:w="3570" w:type="dxa"/>
            <w:gridSpan w:val="10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Účel transakcie</w:t>
            </w:r>
          </w:p>
        </w:tc>
        <w:tc>
          <w:tcPr>
            <w:tcW w:w="1607" w:type="dxa"/>
            <w:gridSpan w:val="3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Finančný vplyv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7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7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7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7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70" w:type="dxa"/>
            <w:gridSpan w:val="10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15"/>
        </w:trPr>
        <w:tc>
          <w:tcPr>
            <w:tcW w:w="3990" w:type="dxa"/>
            <w:gridSpan w:val="12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3193" w:type="dxa"/>
            <w:gridSpan w:val="10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570" w:type="dxa"/>
            <w:gridSpan w:val="10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07" w:type="dxa"/>
            <w:gridSpan w:val="3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(4) Spôsob oceňovania jednotlivých zložiek majetku a záväzkov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a) Spôsob ocenenia majetku a záväzkov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Spôsob ocenenia majetku a záväzkov (obstarávacia cena, vlastné náklady, menovitá hodnota, reálna hodnota, metóda vlastného imania)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3990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lastRenderedPageBreak/>
              <w:t>Názov položky</w:t>
            </w:r>
          </w:p>
        </w:tc>
        <w:tc>
          <w:tcPr>
            <w:tcW w:w="3193" w:type="dxa"/>
            <w:gridSpan w:val="10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Ocenenie majetku a záväzkov</w:t>
            </w:r>
          </w:p>
        </w:tc>
        <w:tc>
          <w:tcPr>
            <w:tcW w:w="5177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Doplňujúce informácie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Dlhodobý nehmotný majetok obstaraný kúpou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Obstarávacia cena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Dlhodobý nehmotný majetok vytvorený vlastnou činnosťou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Vlastné náklady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Dlhodobý nehmotný majetok obstaraný inak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Dlhodobý hmotný majetok obstaraný kúpou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Obstarávacia cena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Dlhodobý hmotný majetok vytvorený vlastnou činnosťou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Vlastné náklady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Dlhodobý hmotný majetok obstaraný inak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Zásoby obstarané kúpou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Obstarávacia cena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Zásoby vytvorené vlastnou činnosťou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Vlastné náklady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Podiely na základnom imaní obchodných spoločností, deriváty a cenné papiere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Obstarávacia cena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Pohľadávky pri odplatnom nadobudnutí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Obstarávacia cena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Pohľadávky pri ich vzniku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Záväzky pri ich prevzatí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Obstarávacia cena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Záväzky pri ich vzniku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Peňažné prostriedky a ceniny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Majetok a záväzky nadobudnuté kúpou podniku alebo jeho časti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Reálna hodnota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Cenné papiere, deriváty a podiely na základnom imaní (podľa § 25, písm. e) bod 3)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Reálna hodnota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Komodity, s ktorými sa obchoduje na verejnom trhu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Reálna hodnota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Drahé kovy v majetku fondu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Reálna hodnota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Prenajatý majetok a majetok obstaraný na základe zmluvy o kúpe prenajatej veci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Obstarávacia cena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Splatná daň z príjmov a odložená daň z príjmov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3990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93" w:type="dxa"/>
            <w:gridSpan w:val="10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Účtovanie obstarania a úbytku zásob účtovná jednotka vykonávala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tieto účtovné prípady sa v bežnom účtovnom období nevyskytli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Pri vyskladnení zásob sa používala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>* tieto účtovné prípady sa v bežnom účtovnom období nevyskytli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b) Určenie odhadu zníženia hodnoty majetku a tvorba opravnej položky k majetku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2673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31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8370" w:type="dxa"/>
            <w:gridSpan w:val="2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Opravné položky</w:t>
            </w:r>
          </w:p>
        </w:tc>
      </w:tr>
      <w:tr w:rsidR="00CC2E2F" w:rsidRPr="00CC2E2F" w:rsidTr="00CC2E2F">
        <w:trPr>
          <w:trHeight w:val="1575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Majetok</w:t>
            </w:r>
          </w:p>
        </w:tc>
        <w:tc>
          <w:tcPr>
            <w:tcW w:w="1317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Odhad zníženia hodnoty</w:t>
            </w:r>
          </w:p>
        </w:tc>
        <w:tc>
          <w:tcPr>
            <w:tcW w:w="1458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Stav OP na začiatku účtovného obdobia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Tvorba OP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Zúčtovanie OP z dôvodu zániku opodstatnenosti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Zúčtovanie OP z dôvodu vyradenia majetku z účtovníctva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Stav OP na konci účtovného obdobia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45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45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45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45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7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458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c) Určenie ocenenia záväzkov a stanovenie odhadu rezerv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Komentár k položke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d) Určenie ocenenia finančných nástrojov alebo majetku pri oceňovaní reálnou hodnotou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1. Určenie ocenenia reálnou hodnotou, aplikácia reálnej hodnoty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2. Údaje o reálnej hodnote a zmenách reálnej hodnoty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1260"/>
        </w:trPr>
        <w:tc>
          <w:tcPr>
            <w:tcW w:w="4629" w:type="dxa"/>
            <w:gridSpan w:val="1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Kategória finančných nástrojov / majetku, ktorý nie je finančným nástrojom</w:t>
            </w:r>
          </w:p>
        </w:tc>
        <w:tc>
          <w:tcPr>
            <w:tcW w:w="2554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Reálna hodnota</w:t>
            </w:r>
          </w:p>
        </w:tc>
        <w:tc>
          <w:tcPr>
            <w:tcW w:w="2757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Zmeny reálnej hodnoty zahrnuté do výkazu ziskov a strát</w:t>
            </w:r>
          </w:p>
        </w:tc>
        <w:tc>
          <w:tcPr>
            <w:tcW w:w="2420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Zmeny reálnej hodnoty zahrnuté vo VI ako oceňovacie rozdiely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5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42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5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42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5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42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5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42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57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42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3. Informácie o rozsahu a podstate derivátových finančných nástrojov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4629" w:type="dxa"/>
            <w:gridSpan w:val="1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derivátového finančného nástroja</w:t>
            </w:r>
          </w:p>
        </w:tc>
        <w:tc>
          <w:tcPr>
            <w:tcW w:w="7731" w:type="dxa"/>
            <w:gridSpan w:val="21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Rozsah a podstata derivátového nástroja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731" w:type="dxa"/>
            <w:gridSpan w:val="21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731" w:type="dxa"/>
            <w:gridSpan w:val="21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731" w:type="dxa"/>
            <w:gridSpan w:val="21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731" w:type="dxa"/>
            <w:gridSpan w:val="21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731" w:type="dxa"/>
            <w:gridSpan w:val="21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e) Určenie ocenenia finančných nástrojov alebo majetku pri oceňovaní  obstarávacou cenou alebo vlastnými nákladmi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1. Informácie o reálnej hodnote derivátových finančných nástrojov a  o rozsahu a charaktere týchto nástrojov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4629" w:type="dxa"/>
            <w:gridSpan w:val="1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lastRenderedPageBreak/>
              <w:t>Druh derivátových finančných nástrojov</w:t>
            </w:r>
          </w:p>
        </w:tc>
        <w:tc>
          <w:tcPr>
            <w:tcW w:w="2554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Reálna hodnota určená ako trhová cena</w:t>
            </w:r>
          </w:p>
        </w:tc>
        <w:tc>
          <w:tcPr>
            <w:tcW w:w="5177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Rozsah a charakter derivátového nástroja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4629" w:type="dxa"/>
            <w:gridSpan w:val="1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2. Informácie o dlhodobom finančnom majetku, ktorý sa vykazuje vo vyššej hodnote ako je jeho reálna hodnota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2673" w:type="dxa"/>
            <w:gridSpan w:val="5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Dlhodobý majetok</w:t>
            </w:r>
          </w:p>
        </w:tc>
        <w:tc>
          <w:tcPr>
            <w:tcW w:w="1956" w:type="dxa"/>
            <w:gridSpan w:val="9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Účtovná hodnota</w:t>
            </w:r>
          </w:p>
        </w:tc>
        <w:tc>
          <w:tcPr>
            <w:tcW w:w="2554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Reálna hodnota</w:t>
            </w:r>
          </w:p>
        </w:tc>
        <w:tc>
          <w:tcPr>
            <w:tcW w:w="5177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Dôvod na nezníženie účtovnej hodnoty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5177" w:type="dxa"/>
            <w:gridSpan w:val="1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f) Stanovenie metódy vlastného imania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g ) Spôsob zostavenia odpisového plánu pre dlhodobý majetok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Spôsob odpisovania dlhodobého majetku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Odpisový plán účtovných odpisov dlhodobého majetku účtovná jednotka zostavila v internom predpise tak, že za základ vzala metódy používané pri vyčísľovaní daňových odpisov, účtovné a daňové odpisy sa rovnajú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Tvorba odpisového plánu pre jednotlivé druhy dlhodobého majetku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5752" w:type="dxa"/>
            <w:gridSpan w:val="20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dlhodobého majetku</w:t>
            </w:r>
          </w:p>
        </w:tc>
        <w:tc>
          <w:tcPr>
            <w:tcW w:w="1431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438" w:type="dxa"/>
            <w:gridSpan w:val="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Ročná odpisová sadzba</w:t>
            </w:r>
          </w:p>
        </w:tc>
        <w:tc>
          <w:tcPr>
            <w:tcW w:w="3739" w:type="dxa"/>
            <w:gridSpan w:val="10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Metóda odpisovania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Aktivované náklady na vývoj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Softvér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Oceniteľné práva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proofErr w:type="spellStart"/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Goodwill</w:t>
            </w:r>
            <w:proofErr w:type="spellEnd"/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Ostatný dlhodobý nehmotný majetok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Základné stádo a ťažné zvieratá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Ostatný dlhodobý hmotný majetok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739" w:type="dxa"/>
            <w:gridSpan w:val="10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h) Dotácie poskytnuté na obstaranie majetku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5752" w:type="dxa"/>
            <w:gridSpan w:val="20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Majetok</w:t>
            </w:r>
          </w:p>
        </w:tc>
        <w:tc>
          <w:tcPr>
            <w:tcW w:w="3968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Spôsob ocenenia</w:t>
            </w:r>
          </w:p>
        </w:tc>
        <w:tc>
          <w:tcPr>
            <w:tcW w:w="2640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Výška dotácie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968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968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968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> </w:t>
            </w:r>
          </w:p>
        </w:tc>
        <w:tc>
          <w:tcPr>
            <w:tcW w:w="3968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752" w:type="dxa"/>
            <w:gridSpan w:val="20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968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(5) Opravy významných chýb minulých účtovných období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Opravy významných chýb minulých účtovných období účtovaných v bežnom </w:t>
            </w:r>
            <w:proofErr w:type="spellStart"/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účt</w:t>
            </w:r>
            <w:proofErr w:type="spellEnd"/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 období s uvedením sumy vplyvu na nerozdelený zisk alebo neuhradenú stratu minulých rokov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1260"/>
        </w:trPr>
        <w:tc>
          <w:tcPr>
            <w:tcW w:w="9720" w:type="dxa"/>
            <w:gridSpan w:val="28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chyby</w:t>
            </w:r>
          </w:p>
        </w:tc>
        <w:tc>
          <w:tcPr>
            <w:tcW w:w="2640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Suma vplyvu na nerozdelený zisk /neuhradenú stratu minulých období</w:t>
            </w:r>
          </w:p>
        </w:tc>
      </w:tr>
      <w:tr w:rsidR="00CC2E2F" w:rsidRPr="00CC2E2F" w:rsidTr="00CC2E2F">
        <w:trPr>
          <w:trHeight w:val="300"/>
        </w:trPr>
        <w:tc>
          <w:tcPr>
            <w:tcW w:w="9720" w:type="dxa"/>
            <w:gridSpan w:val="2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9720" w:type="dxa"/>
            <w:gridSpan w:val="2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9720" w:type="dxa"/>
            <w:gridSpan w:val="2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9720" w:type="dxa"/>
            <w:gridSpan w:val="2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9720" w:type="dxa"/>
            <w:gridSpan w:val="28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40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Čl. IV Informácie, ktoré vysvetľujú a doplňujú súvahu a výkaz ziskov a strát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(1) Informácie o nehmotnom majetku, ktorý je </w:t>
            </w:r>
            <w:proofErr w:type="spellStart"/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goodwill</w:t>
            </w:r>
            <w:proofErr w:type="spellEnd"/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alebo záporný </w:t>
            </w:r>
            <w:proofErr w:type="spellStart"/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goodwill</w:t>
            </w:r>
            <w:proofErr w:type="spellEnd"/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proofErr w:type="spellStart"/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Goodwill</w:t>
            </w:r>
            <w:proofErr w:type="spellEnd"/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 xml:space="preserve">  - dôvod jeho vzniku, spôsob výpočtu, hodnota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1260"/>
        </w:trPr>
        <w:tc>
          <w:tcPr>
            <w:tcW w:w="4280" w:type="dxa"/>
            <w:gridSpan w:val="13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Dôvod vzniku </w:t>
            </w:r>
            <w:proofErr w:type="spellStart"/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goodwillu</w:t>
            </w:r>
            <w:proofErr w:type="spellEnd"/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/ záporného </w:t>
            </w:r>
            <w:proofErr w:type="spellStart"/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godwillu</w:t>
            </w:r>
            <w:proofErr w:type="spellEnd"/>
          </w:p>
        </w:tc>
        <w:tc>
          <w:tcPr>
            <w:tcW w:w="3261" w:type="dxa"/>
            <w:gridSpan w:val="10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Spôsob výpočtu</w:t>
            </w:r>
          </w:p>
        </w:tc>
        <w:tc>
          <w:tcPr>
            <w:tcW w:w="2579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Hodnota za bežné obdobie</w:t>
            </w:r>
          </w:p>
        </w:tc>
        <w:tc>
          <w:tcPr>
            <w:tcW w:w="2240" w:type="dxa"/>
            <w:gridSpan w:val="5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Hodnota za bezprostredne predchádzajúce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261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24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261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24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261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24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261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24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280" w:type="dxa"/>
            <w:gridSpan w:val="1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261" w:type="dxa"/>
            <w:gridSpan w:val="10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79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24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(2) Informácie o významných položkách derivátov, majetku a záväzkoch zabezpečených derivátmi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Významné položky majetku a záväzkov zabezpečených derivátmi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4807" w:type="dxa"/>
            <w:gridSpan w:val="1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39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4163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Reálna hodnota</w:t>
            </w:r>
          </w:p>
        </w:tc>
      </w:tr>
      <w:tr w:rsidR="00CC2E2F" w:rsidRPr="00CC2E2F" w:rsidTr="00CC2E2F">
        <w:trPr>
          <w:trHeight w:val="945"/>
        </w:trPr>
        <w:tc>
          <w:tcPr>
            <w:tcW w:w="4807" w:type="dxa"/>
            <w:gridSpan w:val="15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Zabezpečovaná položka</w:t>
            </w:r>
          </w:p>
        </w:tc>
        <w:tc>
          <w:tcPr>
            <w:tcW w:w="3390" w:type="dxa"/>
            <w:gridSpan w:val="9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Forma zabezpečenia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4807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Majetok vykázaný v súvahe</w:t>
            </w:r>
          </w:p>
        </w:tc>
        <w:tc>
          <w:tcPr>
            <w:tcW w:w="339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807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Záväzok vykázaný v súvahe</w:t>
            </w:r>
          </w:p>
        </w:tc>
        <w:tc>
          <w:tcPr>
            <w:tcW w:w="339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4807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Zmluvy, ktoré sa neúčtujú na súvahových účtoch</w:t>
            </w:r>
          </w:p>
        </w:tc>
        <w:tc>
          <w:tcPr>
            <w:tcW w:w="339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600"/>
        </w:trPr>
        <w:tc>
          <w:tcPr>
            <w:tcW w:w="4807" w:type="dxa"/>
            <w:gridSpan w:val="15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Očakávané budúce obchody dosiaľ zmluvne nezabezpečené</w:t>
            </w:r>
          </w:p>
        </w:tc>
        <w:tc>
          <w:tcPr>
            <w:tcW w:w="3390" w:type="dxa"/>
            <w:gridSpan w:val="9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15"/>
        </w:trPr>
        <w:tc>
          <w:tcPr>
            <w:tcW w:w="4807" w:type="dxa"/>
            <w:gridSpan w:val="15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3390" w:type="dxa"/>
            <w:gridSpan w:val="9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4" w:type="dxa"/>
            <w:gridSpan w:val="7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2673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775" w:type="dxa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32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Účtovná hodnota</w:t>
            </w:r>
          </w:p>
        </w:tc>
        <w:tc>
          <w:tcPr>
            <w:tcW w:w="1673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0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C2E2F" w:rsidRPr="00CC2E2F" w:rsidTr="00CC2E2F">
        <w:trPr>
          <w:trHeight w:val="126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lastRenderedPageBreak/>
              <w:t>Názov položky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Rozsah a povaha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záväzku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Dohodnutá cena podkladového nástroja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Vplyv na budúce peňažné toky</w:t>
            </w:r>
          </w:p>
        </w:tc>
      </w:tr>
      <w:tr w:rsidR="00CC2E2F" w:rsidRPr="00CC2E2F" w:rsidTr="00CC2E2F">
        <w:trPr>
          <w:trHeight w:val="6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Deriváty určené na obchodovanie, z toho: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Zabezpečovacie deriváty, z toho: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Pohyby v oceňovacích rozdieloch z ocenenia reálnou hodnotou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5448" w:type="dxa"/>
            <w:gridSpan w:val="1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32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28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63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Zmena reálnej hodnoty (+/-) s vplyvom na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Zmena reálnej hodnoty (+/-) s vplyvom na</w:t>
            </w:r>
          </w:p>
        </w:tc>
      </w:tr>
      <w:tr w:rsidR="00CC2E2F" w:rsidRPr="00CC2E2F" w:rsidTr="00CC2E2F">
        <w:trPr>
          <w:trHeight w:val="63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Deriváty určené na obchodovanie, z toho: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Zabezpečovacie deriváty, z toho: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5448" w:type="dxa"/>
            <w:gridSpan w:val="19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3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97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73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60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(3) Informácie o záväzkoch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a) Informácie o celkovej sume záväzkoch so zostatkovou dobou splatnosti dlhšou ako päť rokov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8197" w:type="dxa"/>
            <w:gridSpan w:val="2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lastRenderedPageBreak/>
              <w:t>Názov položky</w:t>
            </w:r>
          </w:p>
        </w:tc>
        <w:tc>
          <w:tcPr>
            <w:tcW w:w="2244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919" w:type="dxa"/>
            <w:gridSpan w:val="4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8197" w:type="dxa"/>
            <w:gridSpan w:val="2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Celková suma záväzkov so zostatkovou  dobou splatnosti dlhšou ako päť rokov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b) Informácie o celkovej sume zabezpečených záväzkov, opis a spôsoby zabezpečenia záväzkov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1260"/>
        </w:trPr>
        <w:tc>
          <w:tcPr>
            <w:tcW w:w="8197" w:type="dxa"/>
            <w:gridSpan w:val="2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244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919" w:type="dxa"/>
            <w:gridSpan w:val="4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8197" w:type="dxa"/>
            <w:gridSpan w:val="2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Záväzky, na ktoré boli zabezpečené záložné práva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8197" w:type="dxa"/>
            <w:gridSpan w:val="2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Záväzky, na ktoré boli zabezpečené obmedzené práva s nimi nakladať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8197" w:type="dxa"/>
            <w:gridSpan w:val="2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8197" w:type="dxa"/>
            <w:gridSpan w:val="24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4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15"/>
        </w:trPr>
        <w:tc>
          <w:tcPr>
            <w:tcW w:w="8197" w:type="dxa"/>
            <w:gridSpan w:val="24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Celková suma</w:t>
            </w:r>
          </w:p>
        </w:tc>
        <w:tc>
          <w:tcPr>
            <w:tcW w:w="2244" w:type="dxa"/>
            <w:gridSpan w:val="7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19" w:type="dxa"/>
            <w:gridSpan w:val="4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(4) Informácie o vlastných akciách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a) Dôvod nadobudnutia vlastných akcií: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b) Informácie o počte, menovitej hodnote nadobudnutých vlastných akcií počas účtovného obdobia a protihodnote, za ktorú sa nadobudli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2673" w:type="dxa"/>
            <w:gridSpan w:val="5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2775" w:type="dxa"/>
            <w:gridSpan w:val="14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3632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Protihodnota, za ktorú sa akcie nadobudli</w:t>
            </w:r>
          </w:p>
        </w:tc>
        <w:tc>
          <w:tcPr>
            <w:tcW w:w="3280" w:type="dxa"/>
            <w:gridSpan w:val="9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% podiel na základnom imaní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b) Informácie o počte a menovitej hodnote vlastných akcií  prevedených počas účtovného obdobia na inú osobu a protihodnote, za ktorú sa previedli na inú osobu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2673" w:type="dxa"/>
            <w:gridSpan w:val="5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2775" w:type="dxa"/>
            <w:gridSpan w:val="14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3632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Protihodnota, za ktorú sa akcie previedli na inú osobu</w:t>
            </w:r>
          </w:p>
        </w:tc>
        <w:tc>
          <w:tcPr>
            <w:tcW w:w="3280" w:type="dxa"/>
            <w:gridSpan w:val="9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% podiel na základnom imaní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c) Informácie o počte, menovitej hodnote a protihodnote, za ktorú sa vlastné akcie nadobudli a ktoré má účtovná jednotka v držbe k poslednému dňu účtovného obdobia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2673" w:type="dxa"/>
            <w:gridSpan w:val="5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2775" w:type="dxa"/>
            <w:gridSpan w:val="14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3632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Protihodnota, za ktorú sa akcie nadobudli</w:t>
            </w:r>
          </w:p>
        </w:tc>
        <w:tc>
          <w:tcPr>
            <w:tcW w:w="3280" w:type="dxa"/>
            <w:gridSpan w:val="9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% podiel na základnom imaní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300"/>
        </w:trPr>
        <w:tc>
          <w:tcPr>
            <w:tcW w:w="267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775" w:type="dxa"/>
            <w:gridSpan w:val="1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632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280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(5) Informácie o položkách nákladov alebo výnosov výnimočného rozsahu alebo výskytu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Informácie o nákladoch, ktoré majú výnimočný charakter alebo rozsah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6468" w:type="dxa"/>
            <w:gridSpan w:val="21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Dôvod vzniku</w:t>
            </w:r>
          </w:p>
        </w:tc>
        <w:tc>
          <w:tcPr>
            <w:tcW w:w="3072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820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Informácie o výnosoch, ktoré majú výnimočný charakter alebo rozsah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6468" w:type="dxa"/>
            <w:gridSpan w:val="21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Dôvod vzniku</w:t>
            </w:r>
          </w:p>
        </w:tc>
        <w:tc>
          <w:tcPr>
            <w:tcW w:w="3072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820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Čl. V Informácie o iných aktívach a iných pasívach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Informácie o podmienenom majetku a záväzkoch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a) Opis a hodnota podmieneného majetku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6468" w:type="dxa"/>
            <w:gridSpan w:val="21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podmieneného majetku</w:t>
            </w:r>
          </w:p>
        </w:tc>
        <w:tc>
          <w:tcPr>
            <w:tcW w:w="3072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820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Práva zo servisných zmlúv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Práva z poistných zmlúv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Práva z koncesionárskych zmlúv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Práva z licenčných zmlúv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6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Práva z privatizácie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Práva zo súdnych sporov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Iné práva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b) Opis a hodnota podmienených záväzkov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6468" w:type="dxa"/>
            <w:gridSpan w:val="21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lastRenderedPageBreak/>
              <w:t xml:space="preserve"> </w:t>
            </w:r>
          </w:p>
        </w:tc>
        <w:tc>
          <w:tcPr>
            <w:tcW w:w="5892" w:type="dxa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Hodnota</w:t>
            </w:r>
          </w:p>
        </w:tc>
      </w:tr>
      <w:tr w:rsidR="00CC2E2F" w:rsidRPr="00CC2E2F" w:rsidTr="00CC2E2F">
        <w:trPr>
          <w:trHeight w:val="945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Zo súdnych rozhodnutí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 poskytnutých záruk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Zo všeobecne záväzných právnych predpisov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Zo zmluvy o podriadenom záväzku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 ručenia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Iné podmienené záväzky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6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(2) Informácie o významných položkách ostatných finančných povinností, ktoré sa nevykazujú v účtovných výkazoch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6468" w:type="dxa"/>
            <w:gridSpan w:val="21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3072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820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(3) Informácie o údajoch na podsúvahových účtoch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945"/>
        </w:trPr>
        <w:tc>
          <w:tcPr>
            <w:tcW w:w="6468" w:type="dxa"/>
            <w:gridSpan w:val="21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3072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820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C2E2F" w:rsidRPr="00CC2E2F" w:rsidRDefault="00CC2E2F" w:rsidP="00CC2E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Prenajatý majetok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Majetok v nájme (operatívny prenájom)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Pohľadávky z derivátov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Záväzky z opcií derivátov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Odpísané pohľadávky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Pohľadávky z leasingu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300"/>
        </w:trPr>
        <w:tc>
          <w:tcPr>
            <w:tcW w:w="6468" w:type="dxa"/>
            <w:gridSpan w:val="21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Iné položky</w:t>
            </w:r>
          </w:p>
        </w:tc>
        <w:tc>
          <w:tcPr>
            <w:tcW w:w="3072" w:type="dxa"/>
            <w:gridSpan w:val="6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82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Čl. VII Ostatné informácie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1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Informácie o udelení výlučného práva alebo osobitného práva poskytovať služby vo verejnom záujme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a) Informácie o formách prijatej náhrady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b) Informácie o účtovných zásadách použitých pri prideľovaní nákladov a výnosov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c) Informácie o druhoch činností účtovnej jednotky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255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3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CC2E2F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lastRenderedPageBreak/>
              <w:t>Ďalšie doplňujúce informácie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CC2E2F" w:rsidRPr="00CC2E2F" w:rsidTr="00CC2E2F">
        <w:trPr>
          <w:trHeight w:val="300"/>
        </w:trPr>
        <w:tc>
          <w:tcPr>
            <w:tcW w:w="12005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2E2F" w:rsidRPr="00CC2E2F" w:rsidRDefault="00CC2E2F" w:rsidP="00CC2E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2E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AB6FA7" w:rsidRDefault="00AB6FA7"/>
    <w:sectPr w:rsidR="00AB6FA7" w:rsidSect="00AB6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E2F"/>
    <w:rsid w:val="00AB6FA7"/>
    <w:rsid w:val="00CC2E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6F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C2E2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C2E2F"/>
    <w:rPr>
      <w:color w:val="800080"/>
      <w:u w:val="single"/>
    </w:rPr>
  </w:style>
  <w:style w:type="paragraph" w:customStyle="1" w:styleId="xl63">
    <w:name w:val="xl63"/>
    <w:basedOn w:val="Normlny"/>
    <w:rsid w:val="00CC2E2F"/>
    <w:pPr>
      <w:shd w:val="clear" w:color="000000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6">
    <w:name w:val="xl66"/>
    <w:basedOn w:val="Normlny"/>
    <w:rsid w:val="00CC2E2F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C2E2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paragraph" w:customStyle="1" w:styleId="xl68">
    <w:name w:val="xl68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6"/>
      <w:szCs w:val="26"/>
      <w:u w:val="single"/>
      <w:lang w:eastAsia="sk-SK"/>
    </w:rPr>
  </w:style>
  <w:style w:type="paragraph" w:customStyle="1" w:styleId="xl69">
    <w:name w:val="xl69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C2E2F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3">
    <w:name w:val="xl73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4">
    <w:name w:val="xl74"/>
    <w:basedOn w:val="Normlny"/>
    <w:rsid w:val="00CC2E2F"/>
    <w:pPr>
      <w:pBdr>
        <w:top w:val="single" w:sz="8" w:space="0" w:color="auto"/>
        <w:left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5">
    <w:name w:val="xl75"/>
    <w:basedOn w:val="Normlny"/>
    <w:rsid w:val="00CC2E2F"/>
    <w:pPr>
      <w:pBdr>
        <w:top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6">
    <w:name w:val="xl76"/>
    <w:basedOn w:val="Normlny"/>
    <w:rsid w:val="00CC2E2F"/>
    <w:pPr>
      <w:pBdr>
        <w:top w:val="single" w:sz="8" w:space="0" w:color="auto"/>
        <w:bottom w:val="double" w:sz="6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7">
    <w:name w:val="xl77"/>
    <w:basedOn w:val="Normlny"/>
    <w:rsid w:val="00CC2E2F"/>
    <w:pPr>
      <w:pBdr>
        <w:left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C2E2F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C2E2F"/>
    <w:pPr>
      <w:pBdr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CC2E2F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CC2E2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CC2E2F"/>
    <w:pPr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customStyle="1" w:styleId="xl84">
    <w:name w:val="xl84"/>
    <w:basedOn w:val="Normlny"/>
    <w:rsid w:val="00CC2E2F"/>
    <w:pPr>
      <w:pBdr>
        <w:top w:val="single" w:sz="8" w:space="0" w:color="auto"/>
        <w:left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CC2E2F"/>
    <w:pPr>
      <w:pBdr>
        <w:top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6">
    <w:name w:val="xl86"/>
    <w:basedOn w:val="Normlny"/>
    <w:rsid w:val="00CC2E2F"/>
    <w:pPr>
      <w:pBdr>
        <w:top w:val="single" w:sz="8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7">
    <w:name w:val="xl87"/>
    <w:basedOn w:val="Normlny"/>
    <w:rsid w:val="00CC2E2F"/>
    <w:pPr>
      <w:pBdr>
        <w:top w:val="single" w:sz="8" w:space="0" w:color="auto"/>
        <w:bottom w:val="double" w:sz="6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C2E2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9">
    <w:name w:val="xl89"/>
    <w:basedOn w:val="Normlny"/>
    <w:rsid w:val="00CC2E2F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0">
    <w:name w:val="xl90"/>
    <w:basedOn w:val="Normlny"/>
    <w:rsid w:val="00CC2E2F"/>
    <w:pPr>
      <w:pBdr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C2E2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C2E2F"/>
    <w:pPr>
      <w:pBdr>
        <w:lef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C2E2F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C2E2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C2E2F"/>
    <w:pPr>
      <w:pBdr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C2E2F"/>
    <w:pPr>
      <w:pBdr>
        <w:top w:val="double" w:sz="6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7">
    <w:name w:val="xl97"/>
    <w:basedOn w:val="Normlny"/>
    <w:rsid w:val="00CC2E2F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8">
    <w:name w:val="xl98"/>
    <w:basedOn w:val="Normlny"/>
    <w:rsid w:val="00CC2E2F"/>
    <w:pPr>
      <w:pBdr>
        <w:top w:val="double" w:sz="6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9">
    <w:name w:val="xl99"/>
    <w:basedOn w:val="Normlny"/>
    <w:rsid w:val="00CC2E2F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0">
    <w:name w:val="xl100"/>
    <w:basedOn w:val="Normlny"/>
    <w:rsid w:val="00CC2E2F"/>
    <w:pPr>
      <w:pBdr>
        <w:top w:val="double" w:sz="6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1">
    <w:name w:val="xl101"/>
    <w:basedOn w:val="Normlny"/>
    <w:rsid w:val="00CC2E2F"/>
    <w:pPr>
      <w:pBdr>
        <w:top w:val="single" w:sz="8" w:space="0" w:color="auto"/>
        <w:left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2">
    <w:name w:val="xl102"/>
    <w:basedOn w:val="Normlny"/>
    <w:rsid w:val="00CC2E2F"/>
    <w:pPr>
      <w:pBdr>
        <w:top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3">
    <w:name w:val="xl103"/>
    <w:basedOn w:val="Normlny"/>
    <w:rsid w:val="00CC2E2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4">
    <w:name w:val="xl104"/>
    <w:basedOn w:val="Normlny"/>
    <w:rsid w:val="00CC2E2F"/>
    <w:pPr>
      <w:pBdr>
        <w:top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5">
    <w:name w:val="xl105"/>
    <w:basedOn w:val="Normlny"/>
    <w:rsid w:val="00CC2E2F"/>
    <w:pPr>
      <w:pBdr>
        <w:left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6">
    <w:name w:val="xl106"/>
    <w:basedOn w:val="Normlny"/>
    <w:rsid w:val="00CC2E2F"/>
    <w:pPr>
      <w:pBdr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7">
    <w:name w:val="xl107"/>
    <w:basedOn w:val="Normlny"/>
    <w:rsid w:val="00CC2E2F"/>
    <w:pPr>
      <w:pBdr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8">
    <w:name w:val="xl108"/>
    <w:basedOn w:val="Normlny"/>
    <w:rsid w:val="00CC2E2F"/>
    <w:pPr>
      <w:pBdr>
        <w:bottom w:val="double" w:sz="6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9">
    <w:name w:val="xl109"/>
    <w:basedOn w:val="Normlny"/>
    <w:rsid w:val="00CC2E2F"/>
    <w:pPr>
      <w:pBdr>
        <w:left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10">
    <w:name w:val="xl110"/>
    <w:basedOn w:val="Normlny"/>
    <w:rsid w:val="00CC2E2F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11">
    <w:name w:val="xl111"/>
    <w:basedOn w:val="Normlny"/>
    <w:rsid w:val="00CC2E2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12">
    <w:name w:val="xl112"/>
    <w:basedOn w:val="Normlny"/>
    <w:rsid w:val="00CC2E2F"/>
    <w:pPr>
      <w:pBdr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13">
    <w:name w:val="xl113"/>
    <w:basedOn w:val="Normlny"/>
    <w:rsid w:val="00CC2E2F"/>
    <w:pPr>
      <w:pBdr>
        <w:left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C2E2F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C2E2F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C2E2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552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2098</Words>
  <Characters>11963</Characters>
  <Application>Microsoft Office Word</Application>
  <DocSecurity>0</DocSecurity>
  <Lines>99</Lines>
  <Paragraphs>28</Paragraphs>
  <ScaleCrop>false</ScaleCrop>
  <Company/>
  <LinksUpToDate>false</LinksUpToDate>
  <CharactersWithSpaces>14033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2016-06-30T20:46:00Z</dcterms:created>
  <dcterms:modified xsi:type="dcterms:W3CDTF">2016-06-30T20:48:00Z</dcterms:modified>
</cp:coreProperties>
</file>