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WithEffects.xml" ContentType="application/vnd.ms-word.stylesWithEffects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F26AD1" w:rsidRPr="00055FDE" w:rsidRDefault="00F26AD1">
      <w:pPr>
        <w:spacing w:after="200" w:line="276" w:lineRule="auto"/>
        <w:jc w:val="center"/>
        <w:rPr>
          <w:rFonts w:eastAsia="MS Mincho" w:cs="FuturaTEE-Book"/>
          <w:b/>
          <w:bCs/>
          <w:noProof/>
          <w:sz w:val="32"/>
          <w:szCs w:val="32"/>
          <w:lang w:val="en-US"/>
        </w:rPr>
      </w:pPr>
    </w:p>
    <w:p w:rsidR="00F26AD1" w:rsidRDefault="00055FDE">
      <w:pPr>
        <w:spacing w:after="200" w:line="276" w:lineRule="auto"/>
        <w:jc w:val="center"/>
        <w:rPr>
          <w:rFonts w:ascii="Arial Narrow CE" w:eastAsia="MS Mincho" w:hAnsi="Arial Narrow CE" w:cs="FuturaTEE-Book"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bCs/>
          <w:noProof/>
          <w:sz w:val="32"/>
          <w:szCs w:val="32"/>
          <w:lang w:val="en-US"/>
        </w:rPr>
        <w:t>POZNÁMKY</w:t>
      </w:r>
    </w:p>
    <w:p w:rsidR="00F26AD1" w:rsidRDefault="00055FDE">
      <w:pPr>
        <w:ind w:left="360"/>
        <w:jc w:val="center"/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  <w:t>účtovnej závierky zostavenej</w:t>
      </w:r>
    </w:p>
    <w:p w:rsidR="00F26AD1" w:rsidRDefault="00055FDE">
      <w:pPr>
        <w:spacing w:after="60" w:line="276" w:lineRule="auto"/>
        <w:jc w:val="center"/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  <w:t>k  31.12.2015</w:t>
      </w:r>
    </w:p>
    <w:p w:rsidR="00F26AD1" w:rsidRDefault="00055FDE">
      <w:pPr>
        <w:spacing w:after="200" w:line="276" w:lineRule="auto"/>
        <w:jc w:val="center"/>
        <w:rPr>
          <w:rFonts w:ascii="Arial Narrow CE" w:eastAsia="MS Mincho" w:hAnsi="Arial Narrow CE" w:cs="FuturaTEE-Book"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  <w:t>(v celých eurách)</w:t>
      </w:r>
    </w:p>
    <w:tbl>
      <w:tblPr>
        <w:tblStyle w:val="TableGrid"/>
        <w:tblW w:w="9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773"/>
        <w:gridCol w:w="774"/>
        <w:gridCol w:w="1897"/>
        <w:gridCol w:w="567"/>
        <w:gridCol w:w="425"/>
        <w:gridCol w:w="284"/>
        <w:gridCol w:w="850"/>
        <w:gridCol w:w="567"/>
        <w:gridCol w:w="567"/>
        <w:gridCol w:w="426"/>
        <w:gridCol w:w="236"/>
        <w:gridCol w:w="861"/>
        <w:gridCol w:w="287"/>
      </w:tblGrid>
      <w:tr w:rsidR="00F26AD1">
        <w:trPr>
          <w:trHeight w:hRule="exact" w:val="284"/>
        </w:trPr>
        <w:tc>
          <w:tcPr>
            <w:tcW w:w="775" w:type="dxa"/>
            <w:noWrap/>
            <w:vAlign w:val="bottom"/>
          </w:tcPr>
          <w:p w:rsidR="00F26AD1" w:rsidRDefault="00F26AD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3" w:type="dxa"/>
            <w:noWrap/>
            <w:vAlign w:val="bottom"/>
          </w:tcPr>
          <w:p w:rsidR="00F26AD1" w:rsidRDefault="00F26AD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4" w:type="dxa"/>
            <w:noWrap/>
            <w:vAlign w:val="bottom"/>
          </w:tcPr>
          <w:p w:rsidR="00F26AD1" w:rsidRDefault="00F26AD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897" w:type="dxa"/>
            <w:noWrap/>
            <w:vAlign w:val="bottom"/>
          </w:tcPr>
          <w:p w:rsidR="00F26AD1" w:rsidRDefault="00F26AD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2" w:type="dxa"/>
            <w:gridSpan w:val="2"/>
            <w:noWrap/>
            <w:vAlign w:val="bottom"/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84" w:type="dxa"/>
            <w:noWrap/>
            <w:vAlign w:val="bottom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567" w:type="dxa"/>
            <w:noWrap/>
            <w:vAlign w:val="bottom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36" w:type="dxa"/>
            <w:noWrap/>
            <w:vAlign w:val="bottom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noWrap/>
            <w:vAlign w:val="bottom"/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287" w:type="dxa"/>
            <w:vAlign w:val="bottom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4219" w:type="dxa"/>
            <w:gridSpan w:val="4"/>
            <w:tcBorders>
              <w:right w:val="single" w:sz="4" w:space="0" w:color="auto"/>
            </w:tcBorders>
            <w:noWrap/>
          </w:tcPr>
          <w:p w:rsidR="00F26AD1" w:rsidRDefault="00055FDE">
            <w:pPr>
              <w:spacing w:before="60" w:line="276" w:lineRule="auto"/>
              <w:ind w:left="284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Za účtovné obdobie od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D1" w:rsidRDefault="00055FDE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noWrap/>
            <w:vAlign w:val="center"/>
          </w:tcPr>
          <w:p w:rsidR="00F26AD1" w:rsidRDefault="00F26AD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noWrap/>
            <w:vAlign w:val="center"/>
          </w:tcPr>
          <w:p w:rsidR="00F26AD1" w:rsidRDefault="00F26AD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D1" w:rsidRDefault="00055FDE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2015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26AD1" w:rsidRDefault="00055FDE">
            <w:pPr>
              <w:spacing w:before="60" w:line="276" w:lineRule="auto"/>
              <w:jc w:val="right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D1" w:rsidRDefault="00055FDE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12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noWrap/>
            <w:vAlign w:val="center"/>
          </w:tcPr>
          <w:p w:rsidR="00F26AD1" w:rsidRDefault="00F26AD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noWrap/>
            <w:vAlign w:val="center"/>
          </w:tcPr>
          <w:p w:rsidR="00F26AD1" w:rsidRDefault="00F26AD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D1" w:rsidRDefault="00055FDE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2015</w:t>
            </w:r>
          </w:p>
        </w:tc>
        <w:tc>
          <w:tcPr>
            <w:tcW w:w="287" w:type="dxa"/>
            <w:tcBorders>
              <w:left w:val="single" w:sz="4" w:space="0" w:color="auto"/>
            </w:tcBorders>
            <w:vAlign w:val="center"/>
          </w:tcPr>
          <w:p w:rsidR="00F26AD1" w:rsidRDefault="00F26AD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75" w:type="dxa"/>
            <w:noWrap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3" w:type="dxa"/>
            <w:noWrap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4" w:type="dxa"/>
            <w:noWrap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897" w:type="dxa"/>
            <w:noWrap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 w:rsidR="00F26AD1" w:rsidRDefault="00F26AD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noWrap/>
            <w:vAlign w:val="center"/>
          </w:tcPr>
          <w:p w:rsidR="00F26AD1" w:rsidRDefault="00F26AD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noWrap/>
            <w:vAlign w:val="center"/>
          </w:tcPr>
          <w:p w:rsidR="00F26AD1" w:rsidRDefault="00F26AD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567" w:type="dxa"/>
            <w:noWrap/>
            <w:vAlign w:val="center"/>
          </w:tcPr>
          <w:p w:rsidR="00F26AD1" w:rsidRDefault="00F26AD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 w:rsidR="00F26AD1" w:rsidRDefault="00F26AD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noWrap/>
            <w:vAlign w:val="center"/>
          </w:tcPr>
          <w:p w:rsidR="00F26AD1" w:rsidRDefault="00F26AD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noWrap/>
            <w:vAlign w:val="center"/>
          </w:tcPr>
          <w:p w:rsidR="00F26AD1" w:rsidRDefault="00F26AD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7" w:type="dxa"/>
            <w:vAlign w:val="center"/>
          </w:tcPr>
          <w:p w:rsidR="00F26AD1" w:rsidRDefault="00F26AD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4219" w:type="dxa"/>
            <w:gridSpan w:val="4"/>
            <w:vMerge w:val="restart"/>
            <w:noWrap/>
          </w:tcPr>
          <w:p w:rsidR="00F26AD1" w:rsidRDefault="00055FDE">
            <w:pPr>
              <w:spacing w:before="60" w:line="276" w:lineRule="auto"/>
              <w:ind w:left="284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Za bezprostredne predchádzajúce účtovné obdobie od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84" w:type="dxa"/>
            <w:noWrap/>
            <w:vAlign w:val="center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567" w:type="dxa"/>
            <w:noWrap/>
            <w:vAlign w:val="center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36" w:type="dxa"/>
            <w:noWrap/>
            <w:vAlign w:val="center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noWrap/>
            <w:vAlign w:val="center"/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287" w:type="dxa"/>
            <w:vAlign w:val="center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4219" w:type="dxa"/>
            <w:gridSpan w:val="4"/>
            <w:vMerge/>
            <w:tcBorders>
              <w:right w:val="single" w:sz="4" w:space="0" w:color="auto"/>
            </w:tcBorders>
            <w:noWrap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D1" w:rsidRDefault="00055FDE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noWrap/>
            <w:vAlign w:val="center"/>
          </w:tcPr>
          <w:p w:rsidR="00F26AD1" w:rsidRDefault="00F26AD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noWrap/>
            <w:vAlign w:val="center"/>
          </w:tcPr>
          <w:p w:rsidR="00F26AD1" w:rsidRDefault="00F26AD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D1" w:rsidRDefault="00055FDE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2014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26AD1" w:rsidRDefault="00055FDE">
            <w:pPr>
              <w:spacing w:before="60" w:line="276" w:lineRule="auto"/>
              <w:jc w:val="right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D1" w:rsidRDefault="00055FDE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12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noWrap/>
            <w:vAlign w:val="center"/>
          </w:tcPr>
          <w:p w:rsidR="00F26AD1" w:rsidRDefault="00F26AD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noWrap/>
            <w:vAlign w:val="center"/>
          </w:tcPr>
          <w:p w:rsidR="00F26AD1" w:rsidRDefault="00F26AD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D1" w:rsidRDefault="00055FDE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2014</w:t>
            </w:r>
          </w:p>
        </w:tc>
        <w:tc>
          <w:tcPr>
            <w:tcW w:w="287" w:type="dxa"/>
            <w:tcBorders>
              <w:left w:val="single" w:sz="4" w:space="0" w:color="auto"/>
            </w:tcBorders>
            <w:vAlign w:val="center"/>
          </w:tcPr>
          <w:p w:rsidR="00F26AD1" w:rsidRDefault="00F26AD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771"/>
        <w:gridCol w:w="425"/>
        <w:gridCol w:w="2092"/>
      </w:tblGrid>
      <w:tr w:rsidR="00F26AD1">
        <w:trPr>
          <w:trHeight w:hRule="exact" w:val="284"/>
        </w:trPr>
        <w:tc>
          <w:tcPr>
            <w:tcW w:w="9288" w:type="dxa"/>
            <w:gridSpan w:val="3"/>
          </w:tcPr>
          <w:p w:rsidR="00F26AD1" w:rsidRDefault="00055FDE">
            <w:pPr>
              <w:spacing w:before="60" w:line="276" w:lineRule="auto"/>
              <w:ind w:left="6379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Účtovná závierka:*)</w:t>
            </w:r>
          </w:p>
        </w:tc>
      </w:tr>
      <w:tr w:rsidR="00F26AD1">
        <w:trPr>
          <w:trHeight w:hRule="exact" w:val="284"/>
        </w:trPr>
        <w:tc>
          <w:tcPr>
            <w:tcW w:w="6771" w:type="dxa"/>
            <w:tcBorders>
              <w:right w:val="single" w:sz="4" w:space="0" w:color="auto"/>
            </w:tcBorders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AD1" w:rsidRDefault="00055FDE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X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F26AD1" w:rsidRDefault="00055FDE">
            <w:pPr>
              <w:spacing w:before="60" w:line="276" w:lineRule="auto"/>
              <w:ind w:left="175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riadna</w:t>
            </w:r>
          </w:p>
        </w:tc>
      </w:tr>
      <w:tr w:rsidR="00F26AD1">
        <w:trPr>
          <w:trHeight w:hRule="exact" w:val="284"/>
        </w:trPr>
        <w:tc>
          <w:tcPr>
            <w:tcW w:w="6771" w:type="dxa"/>
            <w:tcBorders>
              <w:right w:val="single" w:sz="4" w:space="0" w:color="auto"/>
            </w:tcBorders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F26AD1" w:rsidRDefault="00055FDE">
            <w:pPr>
              <w:spacing w:before="60" w:line="276" w:lineRule="auto"/>
              <w:ind w:left="175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mimoriadna</w:t>
            </w:r>
          </w:p>
        </w:tc>
      </w:tr>
      <w:tr w:rsidR="00F26AD1">
        <w:trPr>
          <w:trHeight w:hRule="exact" w:val="284"/>
        </w:trPr>
        <w:tc>
          <w:tcPr>
            <w:tcW w:w="6771" w:type="dxa"/>
            <w:tcBorders>
              <w:right w:val="single" w:sz="4" w:space="0" w:color="auto"/>
            </w:tcBorders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F26AD1" w:rsidRDefault="00055FDE">
            <w:pPr>
              <w:spacing w:before="60" w:line="276" w:lineRule="auto"/>
              <w:ind w:left="175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priebežná</w:t>
            </w:r>
          </w:p>
        </w:tc>
      </w:tr>
    </w:tbl>
    <w:p w:rsidR="00F26AD1" w:rsidRDefault="00F26AD1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1310"/>
        <w:gridCol w:w="1084"/>
        <w:gridCol w:w="1584"/>
        <w:gridCol w:w="1408"/>
        <w:gridCol w:w="1580"/>
        <w:gridCol w:w="1580"/>
        <w:gridCol w:w="350"/>
      </w:tblGrid>
      <w:tr w:rsidR="00F26AD1">
        <w:trPr>
          <w:trHeight w:hRule="exact" w:val="284"/>
        </w:trPr>
        <w:tc>
          <w:tcPr>
            <w:tcW w:w="392" w:type="dxa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IČO</w:t>
            </w:r>
          </w:p>
        </w:tc>
        <w:tc>
          <w:tcPr>
            <w:tcW w:w="1084" w:type="dxa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DIČ</w:t>
            </w:r>
          </w:p>
        </w:tc>
        <w:tc>
          <w:tcPr>
            <w:tcW w:w="1408" w:type="dxa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3160" w:type="dxa"/>
            <w:gridSpan w:val="2"/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Dátum vzniku účtovnej jednotky</w:t>
            </w:r>
          </w:p>
        </w:tc>
        <w:tc>
          <w:tcPr>
            <w:tcW w:w="350" w:type="dxa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F26AD1" w:rsidRPr="00AA0B52" w:rsidRDefault="00F26AD1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16"/>
                <w:lang w:val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AD1" w:rsidRPr="00AA0B52" w:rsidRDefault="00AA0B52">
            <w:pPr>
              <w:rPr>
                <w:rFonts w:eastAsia="MS Mincho" w:cs="FuturaTEE-Book"/>
                <w:b/>
                <w:noProof/>
                <w:w w:val="150"/>
                <w:sz w:val="16"/>
                <w:lang w:val="en-US"/>
              </w:rPr>
            </w:pPr>
            <w:r w:rsidRPr="00AA0B52">
              <w:rPr>
                <w:rFonts w:eastAsia="MS Mincho" w:cs="FuturaTEE-Book"/>
                <w:b/>
                <w:noProof/>
                <w:w w:val="150"/>
                <w:sz w:val="16"/>
                <w:lang w:val="en-US"/>
              </w:rPr>
              <w:t>47224355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AD1" w:rsidRPr="00AA0B52" w:rsidRDefault="00AA0B52">
            <w:pPr>
              <w:rPr>
                <w:rFonts w:eastAsia="MS Mincho" w:cs="FuturaTEE-Book"/>
                <w:b/>
                <w:noProof/>
                <w:w w:val="150"/>
                <w:sz w:val="16"/>
                <w:lang w:val="en-US"/>
              </w:rPr>
            </w:pPr>
            <w:r w:rsidRPr="00AA0B52">
              <w:rPr>
                <w:rFonts w:eastAsia="MS Mincho" w:cs="FuturaTEE-Book"/>
                <w:b/>
                <w:noProof/>
                <w:w w:val="150"/>
                <w:sz w:val="16"/>
                <w:lang w:val="en-US"/>
              </w:rPr>
              <w:t>2023813385</w:t>
            </w: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AD1" w:rsidRPr="00AA0B52" w:rsidRDefault="00F26AD1">
            <w:pPr>
              <w:rPr>
                <w:rFonts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0" w:type="dxa"/>
            <w:tcBorders>
              <w:left w:val="single" w:sz="4" w:space="0" w:color="auto"/>
            </w:tcBorders>
            <w:vAlign w:val="center"/>
          </w:tcPr>
          <w:p w:rsidR="00F26AD1" w:rsidRDefault="00F26AD1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8544"/>
        <w:gridCol w:w="350"/>
      </w:tblGrid>
      <w:tr w:rsidR="00F26AD1">
        <w:trPr>
          <w:trHeight w:hRule="exact" w:val="284"/>
        </w:trPr>
        <w:tc>
          <w:tcPr>
            <w:tcW w:w="392" w:type="dxa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sz="4" w:space="0" w:color="auto"/>
            </w:tcBorders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Obchodné meno účtovnej jednotky</w:t>
            </w:r>
          </w:p>
        </w:tc>
        <w:tc>
          <w:tcPr>
            <w:tcW w:w="350" w:type="dxa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F26AD1" w:rsidRDefault="00F26AD1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AD1" w:rsidRPr="00AA0B52" w:rsidRDefault="00AA0B52">
            <w:pPr>
              <w:rPr>
                <w:rFonts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eastAsia="MS Mincho" w:cs="FuturaTEE-Book"/>
                <w:b/>
                <w:noProof/>
                <w:w w:val="150"/>
                <w:sz w:val="20"/>
                <w:lang w:val="en-US"/>
              </w:rPr>
              <w:t>AUTOSERVIS FERAD s.r.o.</w:t>
            </w: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F26AD1" w:rsidRDefault="00F26AD1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AD1" w:rsidRDefault="00F26AD1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8544"/>
        <w:gridCol w:w="350"/>
      </w:tblGrid>
      <w:tr w:rsidR="00F26AD1">
        <w:trPr>
          <w:trHeight w:hRule="exact" w:val="284"/>
        </w:trPr>
        <w:tc>
          <w:tcPr>
            <w:tcW w:w="392" w:type="dxa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Sídlo účtovnej  jednotky</w:t>
            </w:r>
          </w:p>
        </w:tc>
        <w:tc>
          <w:tcPr>
            <w:tcW w:w="350" w:type="dxa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392" w:type="dxa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sz="4" w:space="0" w:color="auto"/>
            </w:tcBorders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Ulica a číslo</w:t>
            </w:r>
          </w:p>
        </w:tc>
        <w:tc>
          <w:tcPr>
            <w:tcW w:w="350" w:type="dxa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F26AD1" w:rsidRDefault="00F26AD1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AD1" w:rsidRPr="00AA0B52" w:rsidRDefault="00AA0B52">
            <w:pPr>
              <w:rPr>
                <w:rFonts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eastAsia="MS Mincho" w:cs="FuturaTEE-Book"/>
                <w:b/>
                <w:noProof/>
                <w:w w:val="150"/>
                <w:sz w:val="20"/>
                <w:lang w:val="en-US"/>
              </w:rPr>
              <w:t>Vojtaššáková 601</w:t>
            </w: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F26AD1" w:rsidRPr="00AA0B52" w:rsidRDefault="00F26AD1">
      <w:pPr>
        <w:rPr>
          <w:rFonts w:eastAsia="MS Mincho" w:cs="FuturaTEE-Book"/>
          <w:noProof/>
          <w:w w:val="150"/>
          <w:sz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1310"/>
        <w:gridCol w:w="249"/>
        <w:gridCol w:w="6985"/>
        <w:gridCol w:w="350"/>
      </w:tblGrid>
      <w:tr w:rsidR="00F26AD1">
        <w:trPr>
          <w:trHeight w:hRule="exact" w:val="284"/>
        </w:trPr>
        <w:tc>
          <w:tcPr>
            <w:tcW w:w="392" w:type="dxa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PSČ</w:t>
            </w:r>
          </w:p>
        </w:tc>
        <w:tc>
          <w:tcPr>
            <w:tcW w:w="249" w:type="dxa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6987" w:type="dxa"/>
            <w:tcBorders>
              <w:bottom w:val="single" w:sz="4" w:space="0" w:color="auto"/>
            </w:tcBorders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Názov obce</w:t>
            </w:r>
          </w:p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Dátum vzniku účtovnej jednotky</w:t>
            </w:r>
          </w:p>
        </w:tc>
        <w:tc>
          <w:tcPr>
            <w:tcW w:w="350" w:type="dxa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F26AD1" w:rsidRDefault="00F26AD1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AD1" w:rsidRPr="00AA0B52" w:rsidRDefault="00AA0B52">
            <w:pPr>
              <w:rPr>
                <w:rFonts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eastAsia="MS Mincho" w:cs="FuturaTEE-Book"/>
                <w:b/>
                <w:noProof/>
                <w:w w:val="150"/>
                <w:sz w:val="20"/>
                <w:lang w:val="en-US"/>
              </w:rPr>
              <w:t>02744</w:t>
            </w: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AD1" w:rsidRPr="00AA0B52" w:rsidRDefault="00AA0B52">
            <w:pPr>
              <w:rPr>
                <w:rFonts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eastAsia="MS Mincho" w:cs="FuturaTEE-Book"/>
                <w:b/>
                <w:noProof/>
                <w:w w:val="150"/>
                <w:sz w:val="20"/>
                <w:lang w:val="en-US"/>
              </w:rPr>
              <w:t>Tvrdošín</w:t>
            </w: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1063"/>
        <w:gridCol w:w="1063"/>
        <w:gridCol w:w="1852"/>
        <w:gridCol w:w="841"/>
        <w:gridCol w:w="3727"/>
        <w:gridCol w:w="350"/>
      </w:tblGrid>
      <w:tr w:rsidR="00F26AD1">
        <w:trPr>
          <w:trHeight w:hRule="exact" w:val="284"/>
        </w:trPr>
        <w:tc>
          <w:tcPr>
            <w:tcW w:w="392" w:type="dxa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Smerové číslo telefónu</w:t>
            </w: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Číslo telefónu</w:t>
            </w:r>
          </w:p>
        </w:tc>
        <w:tc>
          <w:tcPr>
            <w:tcW w:w="841" w:type="dxa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3727" w:type="dxa"/>
            <w:tcBorders>
              <w:bottom w:val="single" w:sz="4" w:space="0" w:color="auto"/>
            </w:tcBorders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Číslo faxu</w:t>
            </w:r>
          </w:p>
        </w:tc>
        <w:tc>
          <w:tcPr>
            <w:tcW w:w="350" w:type="dxa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F26AD1" w:rsidRDefault="00F26AD1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AD1" w:rsidRDefault="00F26AD1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AD1" w:rsidRDefault="00F26AD1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AD1" w:rsidRDefault="00F26AD1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8544"/>
        <w:gridCol w:w="350"/>
      </w:tblGrid>
      <w:tr w:rsidR="00F26AD1">
        <w:trPr>
          <w:trHeight w:hRule="exact" w:val="284"/>
        </w:trPr>
        <w:tc>
          <w:tcPr>
            <w:tcW w:w="392" w:type="dxa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sz="4" w:space="0" w:color="auto"/>
            </w:tcBorders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E-mailová adresa</w:t>
            </w:r>
          </w:p>
        </w:tc>
        <w:tc>
          <w:tcPr>
            <w:tcW w:w="350" w:type="dxa"/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F26AD1" w:rsidRDefault="00F26AD1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AD1" w:rsidRDefault="00F26AD1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p w:rsidR="00F26AD1" w:rsidRDefault="00F26AD1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59"/>
        <w:gridCol w:w="2550"/>
        <w:gridCol w:w="2127"/>
        <w:gridCol w:w="1950"/>
      </w:tblGrid>
      <w:tr w:rsidR="00F26AD1">
        <w:trPr>
          <w:trHeight w:hRule="exact" w:val="28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Zostavené dňa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Podpisový záznam štatutárneho orgánu alebo člena štatutárneho orgánu účtovnej jednotky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Podpisový záznam osoby zodpovednej za zostavenie účtovnej závierky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Podpisový záznam osoby zodpovednej za vedenie účtovníctva</w:t>
            </w:r>
          </w:p>
        </w:tc>
      </w:tr>
      <w:tr w:rsidR="00F26AD1">
        <w:trPr>
          <w:trHeight w:val="568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AD1" w:rsidRPr="00AA0B52" w:rsidRDefault="00AA0B52">
            <w:pPr>
              <w:spacing w:before="60" w:line="276" w:lineRule="auto"/>
              <w:jc w:val="center"/>
              <w:rPr>
                <w:rFonts w:eastAsia="MS Mincho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eastAsia="MS Mincho" w:cs="FuturaTEE-Book"/>
                <w:b/>
                <w:noProof/>
                <w:w w:val="150"/>
                <w:sz w:val="20"/>
                <w:lang w:val="en-US"/>
              </w:rPr>
              <w:t>29.6.2016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AD1" w:rsidRDefault="00055FDE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Schválené dňa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F26AD1">
        <w:trPr>
          <w:trHeight w:val="568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AD1" w:rsidRPr="00055FDE" w:rsidRDefault="00055FDE">
            <w:pPr>
              <w:spacing w:before="60" w:line="276" w:lineRule="auto"/>
              <w:jc w:val="center"/>
              <w:rPr>
                <w:rFonts w:eastAsia="MS Mincho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eastAsia="MS Mincho" w:cs="FuturaTEE-Book"/>
                <w:b/>
                <w:bCs/>
                <w:noProof/>
                <w:sz w:val="20"/>
                <w:lang w:val="en-US"/>
              </w:rPr>
              <w:t>29.6.2016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D1" w:rsidRDefault="00F26AD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</w:tbl>
    <w:p w:rsidR="00F26AD1" w:rsidRDefault="00061639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  <w:bookmarkStart w:id="0" w:name="_GoBack"/>
      <w:bookmarkEnd w:id="0"/>
      <w:r w:rsidRPr="00061639">
        <w:rPr>
          <w:rFonts w:ascii="Arial Narrow CE" w:hAnsi="Arial Narrow CE"/>
          <w:noProof/>
          <w:sz w:val="20"/>
          <w:lang w:val="en-US" w:eastAsia="en-US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Text Box 4" o:spid="_x0000_s1026" type="#_x0000_t202" style="position:absolute;margin-left:90.3pt;margin-top:11.6pt;width:11.9pt;height:1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">
            <v:textbox inset="0,0,1.5mm">
              <w:txbxContent>
                <w:p w:rsidR="00A2118A" w:rsidRPr="007C40F2" w:rsidRDefault="00055FDE" w:rsidP="00EA1D8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</w:p>
    <w:p w:rsidR="00F26AD1" w:rsidRDefault="00055FDE">
      <w:pPr>
        <w:ind w:left="360"/>
        <w:rPr>
          <w:rFonts w:ascii="Arial Narrow CE" w:eastAsia="MS Mincho" w:hAnsi="Arial Narrow CE" w:cs="FuturaTEE-Book"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noProof/>
          <w:sz w:val="20"/>
          <w:lang w:val="en-US"/>
        </w:rPr>
        <w:t>*) Vyzna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FuturaTEE-Book"/>
          <w:noProof/>
          <w:sz w:val="20"/>
          <w:lang w:val="en-US"/>
        </w:rPr>
        <w:t xml:space="preserve">uje sa                     </w:t>
      </w:r>
    </w:p>
    <w:p w:rsidR="00F26AD1" w:rsidRDefault="00F26AD1">
      <w:pPr>
        <w:spacing w:before="60" w:line="276" w:lineRule="auto"/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p w:rsidR="00F26AD1" w:rsidRDefault="00055FDE">
      <w:pPr>
        <w:spacing w:after="200" w:line="276" w:lineRule="auto"/>
        <w:rPr>
          <w:rFonts w:ascii="Arial Narrow CE" w:eastAsia="MS Mincho" w:hAnsi="Arial Narrow CE" w:cs="FuturaTEE-Book"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noProof/>
          <w:sz w:val="20"/>
          <w:lang w:val="en-US"/>
        </w:rPr>
        <w:br w:type="page"/>
      </w:r>
    </w:p>
    <w:p w:rsidR="00F26AD1" w:rsidRDefault="00055FDE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b/>
          <w:noProof/>
          <w:sz w:val="20"/>
          <w:lang w:val="en-US"/>
        </w:rPr>
      </w:pPr>
      <w:r>
        <w:rPr>
          <w:rFonts w:ascii="Arial Narrow CE" w:eastAsia="MS Mincho" w:hAnsi="Arial Narrow CE" w:cs="Arial"/>
          <w:b/>
          <w:noProof/>
          <w:sz w:val="20"/>
          <w:lang w:val="en-US"/>
        </w:rPr>
        <w:t>A. Všeobecné informácie o obchodníkovi s cennými papiermi</w:t>
      </w:r>
    </w:p>
    <w:p w:rsidR="00F26AD1" w:rsidRDefault="00055FDE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 xml:space="preserve">1. Popis 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inností obchodníka s cennými papiermi, ur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enie jeho základných 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inností a ur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enie zemepisných oblastí, v ktorých obchodník s cennými papiermi vykonáva svoje 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innosti.</w:t>
      </w:r>
    </w:p>
    <w:tbl>
      <w:tblPr>
        <w:tblStyle w:val="TableGrid"/>
        <w:tblW w:w="0" w:type="auto"/>
        <w:tblInd w:w="4" w:type="dxa"/>
        <w:tblLook w:val="04A0"/>
      </w:tblPr>
      <w:tblGrid>
        <w:gridCol w:w="9212"/>
      </w:tblGrid>
      <w:tr w:rsidR="00F26AD1">
        <w:trPr>
          <w:trHeight w:val="932"/>
        </w:trPr>
        <w:tc>
          <w:tcPr>
            <w:tcW w:w="9212" w:type="dxa"/>
          </w:tcPr>
          <w:p w:rsidR="00F26AD1" w:rsidRDefault="00F26AD1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F26AD1" w:rsidRDefault="00055FDE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2. Obchodné meno priamej materskej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tovnej jednotky a obchodné meno materskej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tovnej jednotky celej skupiny.</w:t>
      </w:r>
    </w:p>
    <w:tbl>
      <w:tblPr>
        <w:tblStyle w:val="TableGrid"/>
        <w:tblW w:w="0" w:type="auto"/>
        <w:tblLook w:val="04A0"/>
      </w:tblPr>
      <w:tblGrid>
        <w:gridCol w:w="9212"/>
      </w:tblGrid>
      <w:tr w:rsidR="00F26AD1">
        <w:trPr>
          <w:trHeight w:val="927"/>
        </w:trPr>
        <w:tc>
          <w:tcPr>
            <w:tcW w:w="9212" w:type="dxa"/>
          </w:tcPr>
          <w:p w:rsidR="00F26AD1" w:rsidRDefault="00F26AD1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F26AD1" w:rsidRDefault="00055FDE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b/>
          <w:noProof/>
          <w:sz w:val="20"/>
          <w:lang w:val="en-US"/>
        </w:rPr>
      </w:pPr>
      <w:r>
        <w:rPr>
          <w:rFonts w:ascii="Arial Narrow CE" w:eastAsia="MS Mincho" w:hAnsi="Arial Narrow CE" w:cs="Arial"/>
          <w:b/>
          <w:noProof/>
          <w:sz w:val="20"/>
          <w:lang w:val="en-US"/>
        </w:rPr>
        <w:t>B.  Použité účtovné zásady a účtovné metódy</w:t>
      </w:r>
    </w:p>
    <w:p w:rsidR="00F26AD1" w:rsidRDefault="00055FDE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 xml:space="preserve">1.  Informácia o tom, 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i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tovná závierka bola zostavená na základe predpokladu </w:t>
      </w:r>
      <w:r>
        <w:rPr>
          <w:rFonts w:eastAsia="MS Mincho"/>
          <w:noProof/>
          <w:sz w:val="20"/>
          <w:lang w:val="en-US"/>
        </w:rPr>
        <w:t>ď</w:t>
      </w:r>
      <w:r>
        <w:rPr>
          <w:rFonts w:ascii="Arial Narrow CE" w:eastAsia="MS Mincho" w:hAnsi="Arial Narrow CE" w:cs="Arial"/>
          <w:noProof/>
          <w:sz w:val="20"/>
          <w:lang w:val="en-US"/>
        </w:rPr>
        <w:t>alšieho nepretr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itého trvania obchodníka s cennými papiermi; ak nebola zostavená na  základe tohto predpokladu, ktoré skuto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nosti k tomu vedenie obchodníka s cennými papiermi viedli, prípadne ak bola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tovná závierka zostavená na základe predpokladu </w:t>
      </w:r>
      <w:r>
        <w:rPr>
          <w:rFonts w:eastAsia="MS Mincho"/>
          <w:noProof/>
          <w:sz w:val="20"/>
          <w:lang w:val="en-US"/>
        </w:rPr>
        <w:t>ď</w:t>
      </w:r>
      <w:r>
        <w:rPr>
          <w:rFonts w:ascii="Arial Narrow CE" w:eastAsia="MS Mincho" w:hAnsi="Arial Narrow CE" w:cs="Arial"/>
          <w:noProof/>
          <w:sz w:val="20"/>
          <w:lang w:val="en-US"/>
        </w:rPr>
        <w:t>alšieho nepretr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itého trvania obchodníka s cennými papiermi, ale obchodník s cennými papiermi je vystavený významným neistotám v súvislosti s jeho 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innos</w:t>
      </w:r>
      <w:r>
        <w:rPr>
          <w:rFonts w:eastAsia="MS Mincho"/>
          <w:noProof/>
          <w:sz w:val="20"/>
          <w:lang w:val="en-US"/>
        </w:rPr>
        <w:t>ť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ou, a to takým neistotám, 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e vedenie obchodníka s cennými papiermi má významné pochybnosti o schopnosti obchodníka s cennými papiermi na</w:t>
      </w:r>
      <w:r>
        <w:rPr>
          <w:rFonts w:eastAsia="MS Mincho"/>
          <w:noProof/>
          <w:sz w:val="20"/>
          <w:lang w:val="en-US"/>
        </w:rPr>
        <w:t>ď</w:t>
      </w:r>
      <w:r>
        <w:rPr>
          <w:rFonts w:ascii="Arial Narrow CE" w:eastAsia="MS Mincho" w:hAnsi="Arial Narrow CE" w:cs="Arial"/>
          <w:noProof/>
          <w:sz w:val="20"/>
          <w:lang w:val="en-US"/>
        </w:rPr>
        <w:t>alej nepretr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ite trva</w:t>
      </w:r>
      <w:r>
        <w:rPr>
          <w:rFonts w:eastAsia="MS Mincho"/>
          <w:noProof/>
          <w:sz w:val="20"/>
          <w:lang w:val="en-US"/>
        </w:rPr>
        <w:t>ť</w:t>
      </w:r>
      <w:r>
        <w:rPr>
          <w:rFonts w:ascii="Arial Narrow CE" w:eastAsia="MS Mincho" w:hAnsi="Arial Narrow CE" w:cs="Arial"/>
          <w:noProof/>
          <w:sz w:val="20"/>
          <w:lang w:val="en-US"/>
        </w:rPr>
        <w:t>, tieto neistoty sa uvedú.</w:t>
      </w:r>
    </w:p>
    <w:tbl>
      <w:tblPr>
        <w:tblStyle w:val="TableGrid"/>
        <w:tblW w:w="0" w:type="auto"/>
        <w:tblInd w:w="4" w:type="dxa"/>
        <w:tblLook w:val="04A0"/>
      </w:tblPr>
      <w:tblGrid>
        <w:gridCol w:w="9212"/>
      </w:tblGrid>
      <w:tr w:rsidR="00F26AD1">
        <w:trPr>
          <w:trHeight w:val="1101"/>
        </w:trPr>
        <w:tc>
          <w:tcPr>
            <w:tcW w:w="9212" w:type="dxa"/>
          </w:tcPr>
          <w:p w:rsidR="00F26AD1" w:rsidRDefault="00F26AD1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F26AD1" w:rsidRDefault="00055FDE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2.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tovné zásady a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tovné metódy pou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ité pri zostavovaní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tovnej závierky.    </w:t>
      </w:r>
    </w:p>
    <w:tbl>
      <w:tblPr>
        <w:tblStyle w:val="TableGrid"/>
        <w:tblW w:w="0" w:type="auto"/>
        <w:tblInd w:w="4" w:type="dxa"/>
        <w:tblLook w:val="04A0"/>
      </w:tblPr>
      <w:tblGrid>
        <w:gridCol w:w="9212"/>
      </w:tblGrid>
      <w:tr w:rsidR="00F26AD1">
        <w:trPr>
          <w:trHeight w:val="1039"/>
        </w:trPr>
        <w:tc>
          <w:tcPr>
            <w:tcW w:w="9212" w:type="dxa"/>
          </w:tcPr>
          <w:p w:rsidR="00F26AD1" w:rsidRDefault="00F26AD1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F26AD1" w:rsidRDefault="00055FDE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3. Informácie o pou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ití nových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tovných zásad a nových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tovných metód v porovnaní s  predchádzajúcim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tovným obdobím a o dôvodoch ich pou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itia a ich vplyve na výsledok hospodárenia a vlastné imanie obchodníka s cennými papiermi.</w:t>
      </w:r>
    </w:p>
    <w:tbl>
      <w:tblPr>
        <w:tblStyle w:val="TableGrid"/>
        <w:tblW w:w="0" w:type="auto"/>
        <w:tblInd w:w="4" w:type="dxa"/>
        <w:tblLook w:val="04A0"/>
      </w:tblPr>
      <w:tblGrid>
        <w:gridCol w:w="9212"/>
      </w:tblGrid>
      <w:tr w:rsidR="00F26AD1">
        <w:trPr>
          <w:trHeight w:val="1097"/>
        </w:trPr>
        <w:tc>
          <w:tcPr>
            <w:tcW w:w="9212" w:type="dxa"/>
          </w:tcPr>
          <w:p w:rsidR="00F26AD1" w:rsidRDefault="00F26AD1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F26AD1" w:rsidRDefault="00055FDE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4. Popis spôsobov oce</w:t>
      </w:r>
      <w:r>
        <w:rPr>
          <w:rFonts w:eastAsia="MS Mincho"/>
          <w:noProof/>
          <w:sz w:val="20"/>
          <w:lang w:val="en-US"/>
        </w:rPr>
        <w:t>ň</w:t>
      </w:r>
      <w:r>
        <w:rPr>
          <w:rFonts w:ascii="Arial Narrow CE" w:eastAsia="MS Mincho" w:hAnsi="Arial Narrow CE" w:cs="Arial"/>
          <w:noProof/>
          <w:sz w:val="20"/>
          <w:lang w:val="en-US"/>
        </w:rPr>
        <w:t>ovania majetku a záväzkov, metódach pou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itých pri ur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ení reálnych hodnôt majetku a záväzkov, cudzích menách a kurzoch pou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itých na prepo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et cudzej meny na eurá.</w:t>
      </w:r>
    </w:p>
    <w:tbl>
      <w:tblPr>
        <w:tblStyle w:val="TableGrid"/>
        <w:tblW w:w="0" w:type="auto"/>
        <w:tblInd w:w="4" w:type="dxa"/>
        <w:tblLook w:val="04A0"/>
      </w:tblPr>
      <w:tblGrid>
        <w:gridCol w:w="9212"/>
      </w:tblGrid>
      <w:tr w:rsidR="00F26AD1">
        <w:trPr>
          <w:trHeight w:val="1067"/>
        </w:trPr>
        <w:tc>
          <w:tcPr>
            <w:tcW w:w="9212" w:type="dxa"/>
          </w:tcPr>
          <w:p w:rsidR="00F26AD1" w:rsidRDefault="00F26AD1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F26AD1" w:rsidRDefault="00055FDE">
      <w:pPr>
        <w:keepNext/>
        <w:autoSpaceDE w:val="0"/>
        <w:autoSpaceDN w:val="0"/>
        <w:adjustRightInd w:val="0"/>
        <w:ind w:left="6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5. Ur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enie d</w:t>
      </w:r>
      <w:r>
        <w:rPr>
          <w:rFonts w:eastAsia="MS Mincho"/>
          <w:noProof/>
          <w:sz w:val="20"/>
          <w:lang w:val="en-US"/>
        </w:rPr>
        <w:t>ň</w:t>
      </w:r>
      <w:r>
        <w:rPr>
          <w:rFonts w:ascii="Arial Narrow CE" w:eastAsia="MS Mincho" w:hAnsi="Arial Narrow CE" w:cs="Arial"/>
          <w:noProof/>
          <w:sz w:val="20"/>
          <w:lang w:val="en-US"/>
        </w:rPr>
        <w:t>a uskuto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nenia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tovného prípadu, napríklad pri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tovaní cenných papierov a derivátov, 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i sa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tuje v de</w:t>
      </w:r>
      <w:r>
        <w:rPr>
          <w:rFonts w:eastAsia="MS Mincho"/>
          <w:noProof/>
          <w:sz w:val="20"/>
          <w:lang w:val="en-US"/>
        </w:rPr>
        <w:t>ň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 dohodnutia obchodu alebo v de</w:t>
      </w:r>
      <w:r>
        <w:rPr>
          <w:rFonts w:eastAsia="MS Mincho"/>
          <w:noProof/>
          <w:sz w:val="20"/>
          <w:lang w:val="en-US"/>
        </w:rPr>
        <w:t>ň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 vyrovnania obchodu. </w:t>
      </w:r>
    </w:p>
    <w:tbl>
      <w:tblPr>
        <w:tblStyle w:val="TableGrid"/>
        <w:tblW w:w="0" w:type="auto"/>
        <w:tblInd w:w="4" w:type="dxa"/>
        <w:tblLook w:val="04A0"/>
      </w:tblPr>
      <w:tblGrid>
        <w:gridCol w:w="9212"/>
      </w:tblGrid>
      <w:tr w:rsidR="00F26AD1">
        <w:trPr>
          <w:trHeight w:val="923"/>
        </w:trPr>
        <w:tc>
          <w:tcPr>
            <w:tcW w:w="9212" w:type="dxa"/>
          </w:tcPr>
          <w:p w:rsidR="00F26AD1" w:rsidRDefault="00F26AD1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F26AD1" w:rsidRDefault="00055FDE">
      <w:pPr>
        <w:keepNext/>
        <w:autoSpaceDE w:val="0"/>
        <w:autoSpaceDN w:val="0"/>
        <w:adjustRightInd w:val="0"/>
        <w:ind w:left="6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6. Postupy odpisovania hmotného majetku alebo nehmotného majetku.</w:t>
      </w:r>
    </w:p>
    <w:tbl>
      <w:tblPr>
        <w:tblStyle w:val="TableGrid"/>
        <w:tblW w:w="0" w:type="auto"/>
        <w:tblInd w:w="4" w:type="dxa"/>
        <w:tblLook w:val="04A0"/>
      </w:tblPr>
      <w:tblGrid>
        <w:gridCol w:w="9212"/>
      </w:tblGrid>
      <w:tr w:rsidR="00F26AD1">
        <w:trPr>
          <w:trHeight w:val="1004"/>
        </w:trPr>
        <w:tc>
          <w:tcPr>
            <w:tcW w:w="9212" w:type="dxa"/>
          </w:tcPr>
          <w:p w:rsidR="00F26AD1" w:rsidRDefault="00F26AD1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F26AD1" w:rsidRDefault="00055FDE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7. Zásady a postupy identifikácie majetku so zní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enou hodnotou.</w:t>
      </w:r>
    </w:p>
    <w:tbl>
      <w:tblPr>
        <w:tblStyle w:val="TableGrid"/>
        <w:tblW w:w="0" w:type="auto"/>
        <w:tblInd w:w="4" w:type="dxa"/>
        <w:tblLook w:val="04A0"/>
      </w:tblPr>
      <w:tblGrid>
        <w:gridCol w:w="9212"/>
      </w:tblGrid>
      <w:tr w:rsidR="00F26AD1">
        <w:trPr>
          <w:trHeight w:val="1182"/>
        </w:trPr>
        <w:tc>
          <w:tcPr>
            <w:tcW w:w="9212" w:type="dxa"/>
          </w:tcPr>
          <w:p w:rsidR="00F26AD1" w:rsidRDefault="00F26AD1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F26AD1" w:rsidRDefault="00055FDE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8. Zásady a postupy výpo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tu výšky tvorby opravných polo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iek a rezerv.</w:t>
      </w:r>
    </w:p>
    <w:tbl>
      <w:tblPr>
        <w:tblStyle w:val="TableGrid"/>
        <w:tblW w:w="0" w:type="auto"/>
        <w:tblInd w:w="4" w:type="dxa"/>
        <w:tblLook w:val="04A0"/>
      </w:tblPr>
      <w:tblGrid>
        <w:gridCol w:w="9212"/>
      </w:tblGrid>
      <w:tr w:rsidR="00F26AD1">
        <w:trPr>
          <w:trHeight w:val="1192"/>
        </w:trPr>
        <w:tc>
          <w:tcPr>
            <w:tcW w:w="9212" w:type="dxa"/>
          </w:tcPr>
          <w:p w:rsidR="00F26AD1" w:rsidRDefault="00F26AD1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F26AD1" w:rsidRDefault="00F26AD1">
      <w:pPr>
        <w:autoSpaceDE w:val="0"/>
        <w:autoSpaceDN w:val="0"/>
        <w:adjustRightInd w:val="0"/>
        <w:jc w:val="both"/>
        <w:rPr>
          <w:rFonts w:ascii="Arial Narrow CE" w:eastAsia="MS Mincho" w:hAnsi="Arial Narrow CE" w:cs="FuturaTEE-Book"/>
          <w:b/>
          <w:noProof/>
          <w:sz w:val="20"/>
          <w:lang w:val="en-US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2410"/>
        <w:gridCol w:w="2410"/>
      </w:tblGrid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C. Prehľad o peňažných tokoch</w:t>
            </w:r>
          </w:p>
        </w:tc>
        <w:tc>
          <w:tcPr>
            <w:tcW w:w="241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1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Peňažný tok z prevádzkovej činnosti</w:t>
            </w:r>
          </w:p>
        </w:tc>
        <w:tc>
          <w:tcPr>
            <w:tcW w:w="2410" w:type="dxa"/>
            <w:vAlign w:val="center"/>
          </w:tcPr>
          <w:p w:rsidR="00F26AD1" w:rsidRDefault="00055FDE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 w:rsidR="00F26AD1" w:rsidRDefault="00055FDE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Výnosy z prijímaných úrokov, odplát a provízií (+)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na úroky, odplaty a provízie (-)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Náklady na úroky, odplaty a provízie (-)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Záväzky za úroky, odplaty a provízie (+)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Obrat strany Dt  usporiadacích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 obchodovania s finan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nými nástrojmi (+)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za predané finan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nástroje (-)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Obrat strany Dt analytických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 prvotného zaú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tovania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 finan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ných nástrojov (-)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Záväzky na zaplatenie kúpnej ceny FN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Výnos z odpísaných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adávok (+)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Náklady na zamestnancov a dodávate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ov (-)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Záväzky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zamestnancom a dodávate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om (+)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prevádzkového majetku (-/+)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Zmena stavu krátkodobých pô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iek klientom (+/-) na analytických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toch prvotného zaú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tovania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prevádzkových záväzkov (+/-)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vkladov klientov (+/-)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záväzkov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dodávate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om (+/-)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Iné krátkodobé záväzky +/-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istý pe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ný tok z prevádzkovej 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innosti pred zdanením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Zaplatená da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z príjmov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istý pe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ný tok z prevádzkovej 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innosti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Peňažný tok z investičnej činnosti</w:t>
            </w:r>
          </w:p>
        </w:tc>
        <w:tc>
          <w:tcPr>
            <w:tcW w:w="2410" w:type="dxa"/>
            <w:vAlign w:val="center"/>
          </w:tcPr>
          <w:p w:rsidR="00F26AD1" w:rsidRDefault="00055FDE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 w:rsidR="00F26AD1" w:rsidRDefault="00055FDE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Zmena stavu dlhodobého majetku (-/+)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Záväzky z obstarania dlhodobého majetku (+)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Výnosy z predaja a likvidácie dlhodobého majetku (+)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z predaja a likvidácie dlhodobého majetku (-)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Výnosy z dividend (+)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na dividendy (-)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Výnosy z prijímaných úrokov z vkladov a  úverov (+)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z úrokov z vkladov a úverov (-)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Príjmy z predaja finan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ných nástrojov dr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aných na predaj (+)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Nákup finan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ných nástrojov dr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aných na predaj (-)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enie/ zvýšenie poskytnutých úverov a vkladov (+/-)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istý pe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ný tok z investi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nej 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innosti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Peňažný tok z finančnej činnosti</w:t>
            </w:r>
          </w:p>
        </w:tc>
        <w:tc>
          <w:tcPr>
            <w:tcW w:w="2410" w:type="dxa"/>
            <w:vAlign w:val="center"/>
          </w:tcPr>
          <w:p w:rsidR="00F26AD1" w:rsidRDefault="00055FDE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 w:rsidR="00F26AD1" w:rsidRDefault="00055FDE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vlastného imania (+/-)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prijatých dlhodobých úverov a finan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ného nájmu(+/-)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Náklady na úroky z dlhodobých úverov a finan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ného nájmu (-)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Záväzky za úroky z dlhodobých úverov a finan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ného nájmu (+)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Zaplatené dividendy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istý pe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ný tok z finan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nej 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innosti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Účinok zmien vo výmenných kurzoch na peňažné prostriedky v cudzej mene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Čistý vzrast/pokles peňažných prostriedkov a ich ekvivalentov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Peňažné prostriedky a ich ekvivalenty na začiatku účtovného obdobia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5670" w:type="dxa"/>
          </w:tcPr>
          <w:p w:rsidR="00F26AD1" w:rsidRDefault="00055FDE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Peňažné prostriedky a ich ekvivalenty na konci účtovného obdobia</w:t>
            </w: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F26AD1" w:rsidRDefault="00F26AD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F26AD1" w:rsidRDefault="00055FDE">
      <w:pPr>
        <w:tabs>
          <w:tab w:val="left" w:pos="720"/>
        </w:tabs>
        <w:ind w:left="284" w:hanging="284"/>
        <w:jc w:val="both"/>
        <w:rPr>
          <w:rFonts w:ascii="Arial Narrow CE" w:hAnsi="Arial Narrow CE"/>
          <w:b/>
          <w:noProof/>
          <w:sz w:val="20"/>
          <w:lang w:val="en-US"/>
        </w:rPr>
      </w:pPr>
      <w:r>
        <w:rPr>
          <w:rFonts w:ascii="Arial Narrow CE" w:hAnsi="Arial Narrow CE"/>
          <w:b/>
          <w:noProof/>
          <w:sz w:val="20"/>
          <w:lang w:val="en-US"/>
        </w:rPr>
        <w:t>D. Prehľad o zmenách vo vlastnom imaní</w:t>
      </w:r>
    </w:p>
    <w:p w:rsidR="00F26AD1" w:rsidRDefault="00055FDE">
      <w:pPr>
        <w:tabs>
          <w:tab w:val="left" w:pos="720"/>
        </w:tabs>
        <w:ind w:left="720" w:hanging="720"/>
        <w:jc w:val="both"/>
        <w:rPr>
          <w:rFonts w:ascii="Arial Narrow CE" w:hAnsi="Arial Narrow CE"/>
          <w:noProof/>
          <w:sz w:val="20"/>
          <w:lang w:val="en-US"/>
        </w:rPr>
      </w:pPr>
      <w:r>
        <w:rPr>
          <w:rFonts w:ascii="Arial Narrow CE" w:hAnsi="Arial Narrow CE"/>
          <w:noProof/>
          <w:sz w:val="20"/>
          <w:lang w:val="en-US"/>
        </w:rPr>
        <w:t xml:space="preserve">   </w:t>
      </w:r>
    </w:p>
    <w:tbl>
      <w:tblPr>
        <w:tblW w:w="1049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7"/>
        <w:gridCol w:w="1200"/>
        <w:gridCol w:w="1276"/>
        <w:gridCol w:w="1275"/>
        <w:gridCol w:w="1276"/>
        <w:gridCol w:w="1276"/>
      </w:tblGrid>
      <w:tr w:rsidR="00F26AD1">
        <w:trPr>
          <w:trHeight w:val="538"/>
          <w:tblHeader/>
        </w:trPr>
        <w:tc>
          <w:tcPr>
            <w:tcW w:w="4187" w:type="dxa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  <w:p w:rsidR="00F26AD1" w:rsidRDefault="00055FDE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POLOŽKA</w:t>
            </w:r>
          </w:p>
          <w:p w:rsidR="00F26AD1" w:rsidRDefault="00055FDE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200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Akciový kapitál</w:t>
            </w:r>
          </w:p>
        </w:tc>
        <w:tc>
          <w:tcPr>
            <w:tcW w:w="1276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Rezervné fondy</w:t>
            </w:r>
          </w:p>
        </w:tc>
        <w:tc>
          <w:tcPr>
            <w:tcW w:w="1275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Fondy z ocenenia</w:t>
            </w:r>
          </w:p>
        </w:tc>
        <w:tc>
          <w:tcPr>
            <w:tcW w:w="1276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Nerozdelené zisky</w:t>
            </w:r>
          </w:p>
        </w:tc>
        <w:tc>
          <w:tcPr>
            <w:tcW w:w="1276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Spolu</w:t>
            </w:r>
          </w:p>
        </w:tc>
      </w:tr>
      <w:tr w:rsidR="00F26AD1">
        <w:trPr>
          <w:trHeight w:val="295"/>
          <w:tblHeader/>
        </w:trPr>
        <w:tc>
          <w:tcPr>
            <w:tcW w:w="4187" w:type="dxa"/>
          </w:tcPr>
          <w:p w:rsidR="00F26AD1" w:rsidRDefault="00055FDE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</w:t>
            </w:r>
          </w:p>
        </w:tc>
        <w:tc>
          <w:tcPr>
            <w:tcW w:w="1200" w:type="dxa"/>
          </w:tcPr>
          <w:p w:rsidR="00F26AD1" w:rsidRDefault="00055FDE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1</w:t>
            </w:r>
          </w:p>
        </w:tc>
        <w:tc>
          <w:tcPr>
            <w:tcW w:w="1276" w:type="dxa"/>
          </w:tcPr>
          <w:p w:rsidR="00F26AD1" w:rsidRDefault="00055FDE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</w:t>
            </w:r>
          </w:p>
        </w:tc>
        <w:tc>
          <w:tcPr>
            <w:tcW w:w="1275" w:type="dxa"/>
          </w:tcPr>
          <w:p w:rsidR="00F26AD1" w:rsidRDefault="00055FDE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3</w:t>
            </w:r>
          </w:p>
        </w:tc>
        <w:tc>
          <w:tcPr>
            <w:tcW w:w="1276" w:type="dxa"/>
          </w:tcPr>
          <w:p w:rsidR="00F26AD1" w:rsidRDefault="00055FDE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4</w:t>
            </w:r>
          </w:p>
        </w:tc>
        <w:tc>
          <w:tcPr>
            <w:tcW w:w="1276" w:type="dxa"/>
          </w:tcPr>
          <w:p w:rsidR="00F26AD1" w:rsidRDefault="00055FDE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5</w:t>
            </w:r>
          </w:p>
        </w:tc>
      </w:tr>
      <w:tr w:rsidR="00F26AD1">
        <w:trPr>
          <w:trHeight w:val="295"/>
        </w:trPr>
        <w:tc>
          <w:tcPr>
            <w:tcW w:w="4187" w:type="dxa"/>
          </w:tcPr>
          <w:p w:rsidR="00F26AD1" w:rsidRDefault="00055FDE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Stav k poslednému dňu predchádzajúceho účtovného obdobia</w:t>
            </w:r>
          </w:p>
        </w:tc>
        <w:tc>
          <w:tcPr>
            <w:tcW w:w="12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4187" w:type="dxa"/>
          </w:tcPr>
          <w:p w:rsidR="00F26AD1" w:rsidRDefault="00055FDE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Zmeny v ú</w:t>
            </w:r>
            <w:r>
              <w:rPr>
                <w:noProof/>
                <w:sz w:val="20"/>
                <w:lang w:val="en-US"/>
              </w:rPr>
              <w:t>č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tovnej politike</w:t>
            </w:r>
          </w:p>
        </w:tc>
        <w:tc>
          <w:tcPr>
            <w:tcW w:w="12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4187" w:type="dxa"/>
          </w:tcPr>
          <w:p w:rsidR="00F26AD1" w:rsidRDefault="00055FDE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Upravený stav k poslednému dňu predchádzajúceho účtovného obdobia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2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4187" w:type="dxa"/>
          </w:tcPr>
          <w:p w:rsidR="00F26AD1" w:rsidRDefault="00055FDE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Oce</w:t>
            </w:r>
            <w:r>
              <w:rPr>
                <w:noProof/>
                <w:sz w:val="20"/>
                <w:lang w:val="en-US"/>
              </w:rPr>
              <w:t>ň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ovacie rozdiely z ocenenia cenných papierov na predaj</w:t>
            </w:r>
          </w:p>
        </w:tc>
        <w:tc>
          <w:tcPr>
            <w:tcW w:w="12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4187" w:type="dxa"/>
          </w:tcPr>
          <w:p w:rsidR="00F26AD1" w:rsidRDefault="00055FDE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Ostatné oce</w:t>
            </w:r>
            <w:r>
              <w:rPr>
                <w:noProof/>
                <w:sz w:val="20"/>
                <w:lang w:val="en-US"/>
              </w:rPr>
              <w:t>ň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ovacie rozdiely</w:t>
            </w:r>
          </w:p>
        </w:tc>
        <w:tc>
          <w:tcPr>
            <w:tcW w:w="12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4187" w:type="dxa"/>
          </w:tcPr>
          <w:p w:rsidR="00F26AD1" w:rsidRDefault="00055FDE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Da</w:t>
            </w:r>
            <w:r>
              <w:rPr>
                <w:noProof/>
                <w:sz w:val="20"/>
                <w:lang w:val="en-US"/>
              </w:rPr>
              <w:t>ň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> ú</w:t>
            </w:r>
            <w:r>
              <w:rPr>
                <w:noProof/>
                <w:sz w:val="20"/>
                <w:lang w:val="en-US"/>
              </w:rPr>
              <w:t>č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tovaná na polo</w:t>
            </w:r>
            <w:r>
              <w:rPr>
                <w:noProof/>
                <w:sz w:val="20"/>
                <w:lang w:val="en-US"/>
              </w:rPr>
              <w:t>ž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ky vlastného imania</w:t>
            </w:r>
          </w:p>
        </w:tc>
        <w:tc>
          <w:tcPr>
            <w:tcW w:w="12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4187" w:type="dxa"/>
          </w:tcPr>
          <w:p w:rsidR="00F26AD1" w:rsidRDefault="00055FDE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Zmena čistého obchodného imania bez zisku za bežné účtovné obdobie</w:t>
            </w:r>
          </w:p>
        </w:tc>
        <w:tc>
          <w:tcPr>
            <w:tcW w:w="12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4187" w:type="dxa"/>
          </w:tcPr>
          <w:p w:rsidR="00F26AD1" w:rsidRDefault="00055FDE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Zisk/strata be</w:t>
            </w:r>
            <w:r>
              <w:rPr>
                <w:noProof/>
                <w:sz w:val="20"/>
                <w:lang w:val="en-US"/>
              </w:rPr>
              <w:t>ž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ného ú</w:t>
            </w:r>
            <w:r>
              <w:rPr>
                <w:noProof/>
                <w:sz w:val="20"/>
                <w:lang w:val="en-US"/>
              </w:rPr>
              <w:t>č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tovného obdobia</w:t>
            </w:r>
          </w:p>
        </w:tc>
        <w:tc>
          <w:tcPr>
            <w:tcW w:w="12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4187" w:type="dxa"/>
          </w:tcPr>
          <w:p w:rsidR="00F26AD1" w:rsidRDefault="00055FDE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Úplná zmena čistého obchodného imania</w:t>
            </w:r>
          </w:p>
        </w:tc>
        <w:tc>
          <w:tcPr>
            <w:tcW w:w="12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4187" w:type="dxa"/>
          </w:tcPr>
          <w:p w:rsidR="00F26AD1" w:rsidRDefault="00055FDE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Rozdelenie zisku</w:t>
            </w:r>
          </w:p>
        </w:tc>
        <w:tc>
          <w:tcPr>
            <w:tcW w:w="12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4187" w:type="dxa"/>
          </w:tcPr>
          <w:p w:rsidR="00F26AD1" w:rsidRDefault="00055FDE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Zvýšenie/zní</w:t>
            </w:r>
            <w:r>
              <w:rPr>
                <w:noProof/>
                <w:sz w:val="20"/>
                <w:lang w:val="en-US"/>
              </w:rPr>
              <w:t>ž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enie akciového kapitálu</w:t>
            </w:r>
          </w:p>
        </w:tc>
        <w:tc>
          <w:tcPr>
            <w:tcW w:w="12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4187" w:type="dxa"/>
          </w:tcPr>
          <w:p w:rsidR="00F26AD1" w:rsidRDefault="00055FDE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Stav k poslednému dňu bežného účtovného obdobia</w:t>
            </w:r>
          </w:p>
        </w:tc>
        <w:tc>
          <w:tcPr>
            <w:tcW w:w="12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tabs>
          <w:tab w:val="left" w:pos="720"/>
        </w:tabs>
        <w:jc w:val="both"/>
        <w:rPr>
          <w:rFonts w:ascii="Arial Narrow CE" w:hAnsi="Arial Narrow CE"/>
          <w:b/>
          <w:noProof/>
          <w:sz w:val="20"/>
          <w:lang w:val="en-US"/>
        </w:rPr>
      </w:pPr>
    </w:p>
    <w:p w:rsidR="00F26AD1" w:rsidRDefault="00055FDE">
      <w:pPr>
        <w:tabs>
          <w:tab w:val="left" w:pos="0"/>
        </w:tabs>
        <w:jc w:val="both"/>
        <w:rPr>
          <w:rFonts w:ascii="Arial Narrow CE" w:hAnsi="Arial Narrow CE"/>
          <w:noProof/>
          <w:sz w:val="20"/>
          <w:lang w:val="en-US"/>
        </w:rPr>
      </w:pPr>
      <w:r>
        <w:rPr>
          <w:rFonts w:ascii="Arial Narrow CE" w:hAnsi="Arial Narrow CE"/>
          <w:b/>
          <w:noProof/>
          <w:sz w:val="20"/>
          <w:lang w:val="en-US"/>
        </w:rPr>
        <w:t>E. Prehľad o majetku klientov</w:t>
      </w:r>
    </w:p>
    <w:p w:rsidR="00F26AD1" w:rsidRDefault="00F26AD1">
      <w:pPr>
        <w:tabs>
          <w:tab w:val="left" w:pos="720"/>
        </w:tabs>
        <w:ind w:left="720" w:hanging="720"/>
        <w:jc w:val="both"/>
        <w:rPr>
          <w:rFonts w:ascii="Arial Narrow CE" w:hAnsi="Arial Narrow CE"/>
          <w:b/>
          <w:noProof/>
          <w:sz w:val="20"/>
          <w:lang w:val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0"/>
        <w:gridCol w:w="3978"/>
        <w:gridCol w:w="1559"/>
        <w:gridCol w:w="1843"/>
      </w:tblGrid>
      <w:tr w:rsidR="00F26AD1">
        <w:trPr>
          <w:trHeight w:val="538"/>
          <w:tblHeader/>
        </w:trPr>
        <w:tc>
          <w:tcPr>
            <w:tcW w:w="700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Ozna-čenie</w:t>
            </w:r>
          </w:p>
        </w:tc>
        <w:tc>
          <w:tcPr>
            <w:tcW w:w="3978" w:type="dxa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  <w:p w:rsidR="00F26AD1" w:rsidRDefault="00055FDE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POLOŽKA</w:t>
            </w:r>
          </w:p>
          <w:p w:rsidR="00F26AD1" w:rsidRDefault="00055FDE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1843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Predchádzajúce účtovné obdobie</w:t>
            </w:r>
          </w:p>
        </w:tc>
      </w:tr>
      <w:tr w:rsidR="00F26AD1">
        <w:trPr>
          <w:trHeight w:val="295"/>
          <w:tblHeader/>
        </w:trPr>
        <w:tc>
          <w:tcPr>
            <w:tcW w:w="700" w:type="dxa"/>
          </w:tcPr>
          <w:p w:rsidR="00F26AD1" w:rsidRDefault="00055FDE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a</w:t>
            </w:r>
          </w:p>
        </w:tc>
        <w:tc>
          <w:tcPr>
            <w:tcW w:w="3978" w:type="dxa"/>
          </w:tcPr>
          <w:p w:rsidR="00F26AD1" w:rsidRDefault="00055FDE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</w:t>
            </w:r>
          </w:p>
        </w:tc>
        <w:tc>
          <w:tcPr>
            <w:tcW w:w="1559" w:type="dxa"/>
          </w:tcPr>
          <w:p w:rsidR="00F26AD1" w:rsidRDefault="00055FDE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1</w:t>
            </w:r>
          </w:p>
        </w:tc>
        <w:tc>
          <w:tcPr>
            <w:tcW w:w="1843" w:type="dxa"/>
          </w:tcPr>
          <w:p w:rsidR="00F26AD1" w:rsidRDefault="00055FDE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</w:t>
            </w:r>
          </w:p>
        </w:tc>
      </w:tr>
      <w:tr w:rsidR="00F26AD1">
        <w:trPr>
          <w:trHeight w:val="295"/>
        </w:trPr>
        <w:tc>
          <w:tcPr>
            <w:tcW w:w="7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F26AD1" w:rsidRDefault="00055FDE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Majetok klientov</w:t>
            </w:r>
          </w:p>
        </w:tc>
        <w:tc>
          <w:tcPr>
            <w:tcW w:w="1559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7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F26AD1" w:rsidRDefault="00055FDE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Pe</w:t>
            </w:r>
            <w:r>
              <w:rPr>
                <w:noProof/>
                <w:sz w:val="20"/>
                <w:lang w:val="en-US"/>
              </w:rPr>
              <w:t>ň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a</w:t>
            </w:r>
            <w:r>
              <w:rPr>
                <w:noProof/>
                <w:sz w:val="20"/>
                <w:lang w:val="en-US"/>
              </w:rPr>
              <w:t>ž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né prostriedky klientov</w:t>
            </w:r>
          </w:p>
        </w:tc>
        <w:tc>
          <w:tcPr>
            <w:tcW w:w="1559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7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F26AD1" w:rsidRDefault="00055FDE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Cenné papiere klientov</w:t>
            </w:r>
          </w:p>
        </w:tc>
        <w:tc>
          <w:tcPr>
            <w:tcW w:w="1559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7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F26AD1" w:rsidRDefault="00055FDE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Iné finan</w:t>
            </w:r>
            <w:r>
              <w:rPr>
                <w:noProof/>
                <w:sz w:val="20"/>
                <w:lang w:val="en-US"/>
              </w:rPr>
              <w:t>č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né nástroje klientov</w:t>
            </w:r>
          </w:p>
        </w:tc>
        <w:tc>
          <w:tcPr>
            <w:tcW w:w="1559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7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F26AD1" w:rsidRDefault="00055FDE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Portfólia klientov</w:t>
            </w:r>
          </w:p>
        </w:tc>
        <w:tc>
          <w:tcPr>
            <w:tcW w:w="1559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7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F26AD1" w:rsidRDefault="00055FDE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Poh</w:t>
            </w:r>
            <w:r>
              <w:rPr>
                <w:noProof/>
                <w:sz w:val="20"/>
                <w:lang w:val="en-US"/>
              </w:rPr>
              <w:t>ľ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adávky klientov vo</w:t>
            </w:r>
            <w:r>
              <w:rPr>
                <w:noProof/>
                <w:sz w:val="20"/>
                <w:lang w:val="en-US"/>
              </w:rPr>
              <w:t>č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i trhu</w:t>
            </w:r>
          </w:p>
        </w:tc>
        <w:tc>
          <w:tcPr>
            <w:tcW w:w="1559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7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F26AD1" w:rsidRDefault="00055FDE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Majetok klientov spolu</w:t>
            </w:r>
          </w:p>
        </w:tc>
        <w:tc>
          <w:tcPr>
            <w:tcW w:w="1559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7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F26AD1" w:rsidRDefault="00055FDE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Záväzky voči klientom zo zvereného majetku</w:t>
            </w:r>
          </w:p>
        </w:tc>
        <w:tc>
          <w:tcPr>
            <w:tcW w:w="1559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7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F26AD1" w:rsidRDefault="00055FDE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pe</w:t>
            </w:r>
            <w:r>
              <w:rPr>
                <w:noProof/>
                <w:sz w:val="20"/>
                <w:lang w:val="en-US"/>
              </w:rPr>
              <w:t>ň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a</w:t>
            </w:r>
            <w:r>
              <w:rPr>
                <w:noProof/>
                <w:sz w:val="20"/>
                <w:lang w:val="en-US"/>
              </w:rPr>
              <w:t>ž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ných prostriedkov klientov</w:t>
            </w:r>
          </w:p>
        </w:tc>
        <w:tc>
          <w:tcPr>
            <w:tcW w:w="1559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7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F26AD1" w:rsidRDefault="00055FDE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cenných papierov klientov</w:t>
            </w:r>
          </w:p>
        </w:tc>
        <w:tc>
          <w:tcPr>
            <w:tcW w:w="1559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7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F26AD1" w:rsidRDefault="00055FDE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portfólií klientov</w:t>
            </w:r>
          </w:p>
        </w:tc>
        <w:tc>
          <w:tcPr>
            <w:tcW w:w="1559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7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F26AD1" w:rsidRDefault="00055FDE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zo správy a ulo</w:t>
            </w:r>
            <w:r>
              <w:rPr>
                <w:noProof/>
                <w:sz w:val="20"/>
                <w:lang w:val="en-US"/>
              </w:rPr>
              <w:t>ž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enia cenných papierov klientov</w:t>
            </w:r>
          </w:p>
        </w:tc>
        <w:tc>
          <w:tcPr>
            <w:tcW w:w="1559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7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F26AD1" w:rsidRDefault="00055FDE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klientov vo</w:t>
            </w:r>
            <w:r>
              <w:rPr>
                <w:noProof/>
                <w:sz w:val="20"/>
                <w:lang w:val="en-US"/>
              </w:rPr>
              <w:t>č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>i trhu</w:t>
            </w:r>
          </w:p>
        </w:tc>
        <w:tc>
          <w:tcPr>
            <w:tcW w:w="1559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7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F26AD1" w:rsidRDefault="00055FDE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uschovania cenných papierov klientov</w:t>
            </w:r>
          </w:p>
        </w:tc>
        <w:tc>
          <w:tcPr>
            <w:tcW w:w="1559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F26AD1">
        <w:trPr>
          <w:trHeight w:val="295"/>
        </w:trPr>
        <w:tc>
          <w:tcPr>
            <w:tcW w:w="700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F26AD1" w:rsidRDefault="00055FDE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Záväzky voči klientom zo zvereného majetku spolu</w:t>
            </w:r>
          </w:p>
        </w:tc>
        <w:tc>
          <w:tcPr>
            <w:tcW w:w="1559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F26AD1" w:rsidRDefault="00F26AD1">
      <w:pPr>
        <w:ind w:left="360"/>
        <w:rPr>
          <w:rFonts w:ascii="Arial Narrow CE" w:eastAsia="MS Mincho" w:hAnsi="Arial Narrow CE" w:cs="FuturaTEE-Book"/>
          <w:b/>
          <w:noProof/>
          <w:sz w:val="20"/>
          <w:lang w:val="en-US"/>
        </w:rPr>
      </w:pPr>
    </w:p>
    <w:p w:rsidR="00F26AD1" w:rsidRDefault="00F26AD1">
      <w:pPr>
        <w:ind w:left="360"/>
        <w:rPr>
          <w:rFonts w:ascii="Arial Narrow CE" w:eastAsia="MS Mincho" w:hAnsi="Arial Narrow CE" w:cs="FuturaTEE-Book"/>
          <w:b/>
          <w:noProof/>
          <w:sz w:val="20"/>
          <w:lang w:val="en-US"/>
        </w:rPr>
      </w:pPr>
    </w:p>
    <w:p w:rsidR="00F26AD1" w:rsidRDefault="00055FDE">
      <w:pPr>
        <w:ind w:left="360"/>
        <w:rPr>
          <w:rFonts w:ascii="Arial Narrow CE" w:eastAsia="MS Mincho" w:hAnsi="Arial Narrow CE" w:cs="FuturaTEE-Book"/>
          <w:b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noProof/>
          <w:sz w:val="20"/>
          <w:lang w:val="en-US"/>
        </w:rPr>
        <w:t>F. Poznámky k položkám súvahy a k položkám výkazu ziskov a strát.</w:t>
      </w:r>
    </w:p>
    <w:p w:rsidR="00F26AD1" w:rsidRDefault="00F26AD1">
      <w:pPr>
        <w:ind w:left="360"/>
        <w:rPr>
          <w:rFonts w:ascii="Arial Narrow CE" w:eastAsia="MS Mincho" w:hAnsi="Arial Narrow CE" w:cs="FuturaTEE-Book"/>
          <w:b/>
          <w:noProof/>
          <w:sz w:val="20"/>
          <w:lang w:val="en-US"/>
        </w:rPr>
      </w:pPr>
    </w:p>
    <w:p w:rsidR="00F26AD1" w:rsidRDefault="00055FDE">
      <w:pPr>
        <w:ind w:left="360"/>
        <w:rPr>
          <w:rFonts w:ascii="Arial Narrow CE" w:eastAsia="MS Mincho" w:hAnsi="Arial Narrow CE" w:cs="FuturaTEE-Book"/>
          <w:b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noProof/>
          <w:sz w:val="20"/>
          <w:lang w:val="en-US"/>
        </w:rPr>
        <w:t xml:space="preserve">Súvaha </w:t>
      </w:r>
    </w:p>
    <w:p w:rsidR="00F26AD1" w:rsidRDefault="00055FDE">
      <w:pPr>
        <w:numPr>
          <w:ilvl w:val="0"/>
          <w:numId w:val="3"/>
        </w:numPr>
        <w:rPr>
          <w:rFonts w:ascii="Arial Narrow CE" w:eastAsia="MS Mincho" w:hAnsi="Arial Narrow CE" w:cs="FuturaTEE-Book"/>
          <w:b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noProof/>
          <w:sz w:val="20"/>
          <w:lang w:val="en-US"/>
        </w:rPr>
        <w:t>Aktíva</w:t>
      </w:r>
    </w:p>
    <w:p w:rsidR="00F26AD1" w:rsidRDefault="00F26AD1">
      <w:pPr>
        <w:ind w:left="720"/>
        <w:rPr>
          <w:rFonts w:ascii="Arial Narrow CE" w:eastAsia="MS Mincho" w:hAnsi="Arial Narrow CE" w:cs="FuturaTEE-Book"/>
          <w:b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510"/>
        <w:gridCol w:w="2552"/>
        <w:gridCol w:w="2409"/>
      </w:tblGrid>
      <w:tr w:rsidR="00F26AD1">
        <w:tc>
          <w:tcPr>
            <w:tcW w:w="709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0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1.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Pe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prostriedky a ekvivalenty pe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ných prostriedkov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F26AD1">
        <w:tc>
          <w:tcPr>
            <w:tcW w:w="709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0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Pe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né prostriedky v pokladni 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9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0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9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0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Poskytnuté úvery splatné na po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iadanie a do 24 hodín a vklady splatné do 24 h.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9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0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na pe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prostriedky v rámci spotových operácií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9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0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Cenné papiere pe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ného trhu s dohodnutou dobou splatnosti najviac tri mesiace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9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510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i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i/>
                <w:noProof/>
                <w:sz w:val="20"/>
                <w:lang w:val="en-US"/>
              </w:rPr>
              <w:t>Medzisúčet - súvaha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i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i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9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0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Úverové linky na okam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ité 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erpanie pe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ných prostriedkov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9" w:type="dxa"/>
          </w:tcPr>
          <w:p w:rsidR="00F26AD1" w:rsidRDefault="00F26AD1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0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055FDE">
      <w:pPr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Ak má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tovná jednotka pe</w:t>
      </w:r>
      <w:r>
        <w:rPr>
          <w:rFonts w:eastAsia="MS Mincho"/>
          <w:noProof/>
          <w:sz w:val="20"/>
          <w:lang w:val="en-US"/>
        </w:rPr>
        <w:t>ň</w:t>
      </w:r>
      <w:r>
        <w:rPr>
          <w:rFonts w:ascii="Arial Narrow CE" w:eastAsia="MS Mincho" w:hAnsi="Arial Narrow CE" w:cs="Arial"/>
          <w:noProof/>
          <w:sz w:val="20"/>
          <w:lang w:val="en-US"/>
        </w:rPr>
        <w:t>a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né prostriedky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</w:t>
      </w:r>
      <w:r>
        <w:rPr>
          <w:rFonts w:ascii="Arial Narrow CE" w:eastAsia="MS Mincho" w:hAnsi="Arial Narrow CE" w:cs="Arial"/>
          <w:noProof/>
          <w:sz w:val="20"/>
          <w:lang w:val="en-US"/>
        </w:rPr>
        <w:t>a ekvivalenty pe</w:t>
      </w:r>
      <w:r>
        <w:rPr>
          <w:rFonts w:eastAsia="MS Mincho"/>
          <w:noProof/>
          <w:sz w:val="20"/>
          <w:lang w:val="en-US"/>
        </w:rPr>
        <w:t>ň</w:t>
      </w:r>
      <w:r>
        <w:rPr>
          <w:rFonts w:ascii="Arial Narrow CE" w:eastAsia="MS Mincho" w:hAnsi="Arial Narrow CE" w:cs="Arial"/>
          <w:noProof/>
          <w:sz w:val="20"/>
          <w:lang w:val="en-US"/>
        </w:rPr>
        <w:t>a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ných prostriedkov v cudzej mene, vypracuje sa tabu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ka pre ka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dú menu vrátane meny euro, a 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í sa 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íslom 1, s pripojeným 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ením príslušnej meny, napríklad 1. EUR, 1. USD.</w:t>
      </w:r>
    </w:p>
    <w:p w:rsidR="00F26AD1" w:rsidRDefault="00F26AD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2.a).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klientom z poskytnutých slu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ieb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Investi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slu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Ved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ajšie slu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F26AD1" w:rsidRDefault="00F26AD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3.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Cenné papiere na obchodovanie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Akcie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ené v repoobchodoch 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Podielové listy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 v repoobchodoch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Krátkodobé dlhopisy,  napríklad pokladni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pouká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ky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 v repoobchodoch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Dlhopisy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 v repoobchodoch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Zmenky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 v repoobchodoch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055FDE">
      <w:pPr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Ak má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tovná jednotka cenné papiere na obchodovanie ocenené v cudzej mene, vypracuje sa tabu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ka pre ka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dú menu vrátane meny euro, ktorá sa 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í 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íslom 3, s pripojeným 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ením príslušnej meny, napríklad 3. EUR, 3. USD.</w:t>
      </w:r>
    </w:p>
    <w:p w:rsidR="00F26AD1" w:rsidRDefault="00F26AD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4.I.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Deriváty s aktívnym zostatkom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úrokové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 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istom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menové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istom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akciové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istom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komoditné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istom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úverové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F26AD1" w:rsidRDefault="00F26AD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4.II.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Deriváty s aktívnym zostatom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zostatkovej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Nad jeden rok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5.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Cenné papiere na predaj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Akcie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ené v repoobchodoch 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Podielové listy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 v repoobchodoch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Krátkodobé dlhopisy napríklad. pokladni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pouká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ky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 v repoobchodoch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Dlhopisy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 v repoobchodoch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Zmenky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 v repoobchodoch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055FDE">
      <w:pPr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Ak má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tovná jednotka cenné papiere na obchodovanie ocenené v cudzej mene, vypracuje sa tabu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ka pre ka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dú menu vrátane meny euro, ktorá sa 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 xml:space="preserve">í  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íslom 5, s pripojeným 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ením príslušnej meny, napríklad 5. EUR, 5. USD.</w:t>
      </w:r>
    </w:p>
    <w:p w:rsidR="00F26AD1" w:rsidRDefault="00F26AD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 a).I.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bankám z obrátených repoobchodov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dohodnutej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tý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7.a).II.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bankám z obrátených repoobchodov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zostatkovej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tý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</w:t>
            </w:r>
            <w:r>
              <w:rPr>
                <w:rFonts w:eastAsia="MS Mincho"/>
                <w:noProof/>
                <w:sz w:val="20"/>
                <w:lang w:val="en-US"/>
              </w:rPr>
              <w:t>ň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 b).I.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bankám ostatné krátkodobé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dohodnutej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</w:t>
            </w:r>
            <w:r>
              <w:rPr>
                <w:rFonts w:eastAsia="MS Mincho"/>
                <w:noProof/>
                <w:sz w:val="20"/>
                <w:lang w:val="en-US"/>
              </w:rPr>
              <w:t>ť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7.b).II.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bankám ostatné krátkodobé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zostatkovej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7.b).III.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bankám ostatné krátkodobé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zostatkovej doby splatnosti – 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hodnoty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Hrubá hodnota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adávok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istá hodnota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adávok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7.c).I.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bankám dlhodobé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dohodnutej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</w:t>
            </w:r>
            <w:r>
              <w:rPr>
                <w:rFonts w:eastAsia="MS Mincho"/>
                <w:noProof/>
                <w:sz w:val="20"/>
                <w:lang w:val="en-US"/>
              </w:rPr>
              <w:t>ť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 xml:space="preserve">7.c).II.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bankám dlhodobé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zostatkovej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</w:t>
            </w:r>
            <w:r>
              <w:rPr>
                <w:rFonts w:eastAsia="MS Mincho"/>
                <w:noProof/>
                <w:sz w:val="20"/>
                <w:lang w:val="en-US"/>
              </w:rPr>
              <w:t>ť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7.c).III.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bankám dlhodobé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zostatkovej doby splatnosti – 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hodnoty</w:t>
            </w:r>
          </w:p>
        </w:tc>
        <w:tc>
          <w:tcPr>
            <w:tcW w:w="2552" w:type="dxa"/>
          </w:tcPr>
          <w:p w:rsidR="00F26AD1" w:rsidRDefault="00055FDE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Hrubá hodnota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adávok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istá hodnota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adávok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7.c).IV.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adávky vo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 bankám dlhodobé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zostatkovej doby splatnosti ocenené umorovanou hodnotou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</w:t>
            </w:r>
            <w:r>
              <w:rPr>
                <w:rFonts w:eastAsia="MS Mincho"/>
                <w:noProof/>
                <w:sz w:val="20"/>
                <w:lang w:val="en-US"/>
              </w:rPr>
              <w:t>ť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055FDE">
      <w:pPr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Ak má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tovná jednotka poh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adávky vo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i bankám v cudzej mene, vypracuje sa tabu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ka ku ka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dej tabu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ke k riadku 7 pod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a jednotlivých mien, ktorá sa 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í 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ením príslušnej tabu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ky s pripojením 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enia meny, napríklad 7.c).I.USD.</w:t>
      </w:r>
    </w:p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8.a).I.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Obrátené  repoobchody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dohodnutej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</w:t>
            </w:r>
            <w:r>
              <w:rPr>
                <w:noProof/>
                <w:sz w:val="20"/>
                <w:lang w:val="en-US" w:eastAsia="sk-SK"/>
              </w:rPr>
              <w:t>ň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Obrátené repoobchody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</w:t>
            </w:r>
            <w:r>
              <w:rPr>
                <w:noProof/>
                <w:sz w:val="20"/>
                <w:lang w:val="en-US" w:eastAsia="sk-SK"/>
              </w:rPr>
              <w:t>ň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 úvery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dohodnutej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7.2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 úvery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úvery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 – 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poh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adávok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istá hodnota poh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adávok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úvery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dohodnutej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F26AD1" w:rsidRDefault="00055FDE">
            <w:pPr>
              <w:ind w:left="36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544"/>
        <w:gridCol w:w="2552"/>
        <w:gridCol w:w="2409"/>
      </w:tblGrid>
      <w:tr w:rsidR="00F26AD1">
        <w:tc>
          <w:tcPr>
            <w:tcW w:w="675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44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úvery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675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44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675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44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675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44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675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44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675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44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675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44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675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44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675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44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675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44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675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44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8.c).III.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Dlhodobé úvery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 zostatkovej doby splatnosti – 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hodnoty</w:t>
            </w:r>
          </w:p>
        </w:tc>
        <w:tc>
          <w:tcPr>
            <w:tcW w:w="2552" w:type="dxa"/>
          </w:tcPr>
          <w:p w:rsidR="00F26AD1" w:rsidRDefault="00055FDE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Hrubá hodnota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adávok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Zní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istá hodnota poh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adávok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8.c).IV.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Dlhodobé  úvery pod</w:t>
            </w:r>
            <w:r>
              <w:rPr>
                <w:rFonts w:eastAsia="MS Mincho"/>
                <w:noProof/>
                <w:sz w:val="20"/>
                <w:lang w:val="en-US"/>
              </w:rPr>
              <w:t>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 zostatkovej doby splatnosti ocenené umorovanou hodnotou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</w:t>
            </w:r>
            <w:r>
              <w:rPr>
                <w:rFonts w:eastAsia="MS Mincho"/>
                <w:noProof/>
                <w:sz w:val="20"/>
                <w:lang w:val="en-US"/>
              </w:rPr>
              <w:t>ž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né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zabezpe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nezabezpe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zabezpe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nezabezpe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</w:t>
            </w:r>
            <w:r>
              <w:rPr>
                <w:rFonts w:eastAsia="MS Mincho"/>
                <w:noProof/>
                <w:sz w:val="20"/>
                <w:lang w:val="en-US"/>
              </w:rPr>
              <w:t>ť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zabezpe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nezabezpe</w:t>
            </w:r>
            <w:r>
              <w:rPr>
                <w:rFonts w:eastAsia="MS Mincho"/>
                <w:noProof/>
                <w:sz w:val="20"/>
                <w:lang w:val="en-US"/>
              </w:rPr>
              <w:t>č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ind w:left="708"/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F26AD1" w:rsidRDefault="00055FDE">
      <w:pPr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Ak má ú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tovná jednotka poh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adávky z úverov v cudzej mene, vypracuje sa tabu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ka ku ka</w:t>
      </w:r>
      <w:r>
        <w:rPr>
          <w:rFonts w:eastAsia="MS Mincho"/>
          <w:noProof/>
          <w:sz w:val="20"/>
          <w:lang w:val="en-US"/>
        </w:rPr>
        <w:t>ž</w:t>
      </w:r>
      <w:r>
        <w:rPr>
          <w:rFonts w:ascii="Arial Narrow CE" w:eastAsia="MS Mincho" w:hAnsi="Arial Narrow CE" w:cs="Arial"/>
          <w:noProof/>
          <w:sz w:val="20"/>
          <w:lang w:val="en-US"/>
        </w:rPr>
        <w:t>dej tabu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ke k riadku 8 pod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a jednotlivých  mien, ktoré sa 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ia 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ením príslušnej tabu</w:t>
      </w:r>
      <w:r>
        <w:rPr>
          <w:rFonts w:eastAsia="MS Mincho"/>
          <w:noProof/>
          <w:sz w:val="20"/>
          <w:lang w:val="en-US"/>
        </w:rPr>
        <w:t>ľ</w:t>
      </w:r>
      <w:r>
        <w:rPr>
          <w:rFonts w:ascii="Arial Narrow CE" w:eastAsia="MS Mincho" w:hAnsi="Arial Narrow CE" w:cs="Arial"/>
          <w:noProof/>
          <w:sz w:val="20"/>
          <w:lang w:val="en-US"/>
        </w:rPr>
        <w:t>ky s pripojením ozna</w:t>
      </w:r>
      <w:r>
        <w:rPr>
          <w:rFonts w:eastAsia="MS Mincho"/>
          <w:noProof/>
          <w:sz w:val="20"/>
          <w:lang w:val="en-US"/>
        </w:rPr>
        <w:t>č</w:t>
      </w:r>
      <w:r>
        <w:rPr>
          <w:rFonts w:ascii="Arial Narrow CE" w:eastAsia="MS Mincho" w:hAnsi="Arial Narrow CE" w:cs="Arial"/>
          <w:noProof/>
          <w:sz w:val="20"/>
          <w:lang w:val="en-US"/>
        </w:rPr>
        <w:t>enia meny, napríklad 8.c).I.USD.</w:t>
      </w:r>
    </w:p>
    <w:p w:rsidR="00F26AD1" w:rsidRDefault="00F26AD1">
      <w:pPr>
        <w:ind w:left="708"/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Obstaranie hmotného majetku a nehmotného majetku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Pozemky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istá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tovná hodnota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Budovy 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istá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tovná hodnota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istá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tovná hodnota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Nehmotný majetok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istá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tovná hodnota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Spolu 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istá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tovná hodnota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Nehmotný majetok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tovná hodnota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Hmotný majetok odpisovaný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Budovy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tovná hodnota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tovná hodnota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055FDE">
      <w:pPr>
        <w:ind w:left="360"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 xml:space="preserve">Súvaha </w:t>
      </w:r>
    </w:p>
    <w:p w:rsidR="00F26AD1" w:rsidRDefault="00055FDE">
      <w:pPr>
        <w:ind w:left="360"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B. Pasíva</w:t>
      </w:r>
    </w:p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Záväzky splatné na po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iadanie – rozpis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mien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EUR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USD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JPY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CHF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GPB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SEK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CZK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PLN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HUF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CAD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AUD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meny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3.a).I.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 bankám z repoobchodov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dohodnutej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</w:t>
            </w:r>
            <w:r>
              <w:rPr>
                <w:noProof/>
                <w:sz w:val="20"/>
                <w:lang w:val="en-US" w:eastAsia="sk-SK"/>
              </w:rPr>
              <w:t>ň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 bankám z repoobchodov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</w:t>
            </w:r>
            <w:r>
              <w:rPr>
                <w:noProof/>
                <w:sz w:val="20"/>
                <w:lang w:val="en-US" w:eastAsia="sk-SK"/>
              </w:rPr>
              <w:t>ň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 bankám ostatné krátkodobé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dohodnutej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3.b).II.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Záväzky vo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 bankám ostatné krátkodobé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 bankám dlhodobé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dohodnutej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 bankám dlhodobé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3.c).III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Záväzky vo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 bankám dlhodobé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 ocenené umorovanou hodnotou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Deriváty</w:t>
            </w:r>
          </w:p>
        </w:tc>
        <w:tc>
          <w:tcPr>
            <w:tcW w:w="2552" w:type="dxa"/>
          </w:tcPr>
          <w:p w:rsidR="00F26AD1" w:rsidRDefault="00055FDE"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úrokové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 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istom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menové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 xml:space="preserve">vyrovnávané v 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istom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akciové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hrubom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 xml:space="preserve">vyrovnávané v 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istom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komoditné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hrubom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istom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úverové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5.II.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Deriváty s pasívnym zostatom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Nad jeden rok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6.a).I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Repoobchody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dohodnutej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</w:t>
            </w:r>
            <w:r>
              <w:rPr>
                <w:noProof/>
                <w:sz w:val="20"/>
                <w:lang w:val="en-US" w:eastAsia="sk-SK"/>
              </w:rPr>
              <w:t>ň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Repoobchody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</w:t>
            </w:r>
            <w:r>
              <w:rPr>
                <w:noProof/>
                <w:sz w:val="20"/>
                <w:lang w:val="en-US" w:eastAsia="sk-SK"/>
              </w:rPr>
              <w:t>ň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prijaté krátkodobé  úvery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dohodnutej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Ostatné prijaté krátkodobé  úvery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prijaté krátkodobé úvery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 – 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poh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adávok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istá hodnota poh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adávok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dohodnutej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 zostatkovej doby splatnosti ocenené umorovanou hodnotou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rokov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F26AD1" w:rsidRDefault="00055FDE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055FDE">
      <w:pPr>
        <w:keepNext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Výkaz ziskov a strát</w:t>
      </w:r>
    </w:p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Výnosy z odplát a provízií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Výnosy z odplát a provízií 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 investi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ných slu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ieb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 ved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ajších investi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ných slu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ieb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Výnosy z úrokov a obdobné výnosy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poh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adávky a úvery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cenné papiere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úvery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cenné papiere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Finan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ný prenájom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11.h.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istá strata zo 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enia hodnoty finan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ného majetku/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istý zisk zo zrušenia 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enia hodnoty finan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ného majetku a z úhrady odpísaných poh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adávok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majetku na za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iatku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.o.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Úprava o 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 majetku po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as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.o.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Zrušenie 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enia hodnoty majetku po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as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.o.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majetku na konci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.o.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Úprava o zní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enie hodnoty majetku na konci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.o.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istá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tovná hodnota majetku na konci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.o.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Úhrada odpísaných poh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adávok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Osobné náklady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Základné mzdy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Pohyblivá zlo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ka miezd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Poistenie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Stravovanie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Zdravotná starostlivos</w:t>
            </w:r>
            <w:r>
              <w:rPr>
                <w:noProof/>
                <w:sz w:val="20"/>
                <w:lang w:val="en-US" w:eastAsia="sk-SK"/>
              </w:rPr>
              <w:t>ť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Vzdelávanie a školenia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Dovolenky, kultúra, šport, zábava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k.1.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Odpisy hmotného majetku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Budovy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m.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prevádzkové náklady 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Odplata auditorovi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Údr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ba nehnute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ností a zariadení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Iné slu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Nájomné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Energie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Nakúpený materiál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n.1.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Náklady  na úroky a obdobné náklady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záväzky a prijaté úvery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Emitované krátkodobé cenné papiere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Prijaté dlhodobé úvery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Emitované dlhodobé cenné papiere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Finan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ný prenájom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511"/>
        <w:gridCol w:w="2552"/>
        <w:gridCol w:w="2409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n.2.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Dane a poplatky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40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</w:t>
            </w:r>
            <w:r>
              <w:rPr>
                <w:noProof/>
                <w:sz w:val="20"/>
                <w:lang w:val="en-US" w:eastAsia="sk-SK"/>
              </w:rPr>
              <w:t>ň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 pridanej hodnoty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Spotrebné dane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Majetkové dane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Miestne dane a poplatky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Súdne poplatky a iné poplatky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055FDE"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G. Ostatné poznámky</w:t>
      </w:r>
    </w:p>
    <w:p w:rsidR="00F26AD1" w:rsidRDefault="00F26AD1"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 w:rsidR="00F26AD1" w:rsidRDefault="00055FDE">
      <w:pPr>
        <w:numPr>
          <w:ilvl w:val="0"/>
          <w:numId w:val="4"/>
        </w:num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Údaje o vz</w:t>
      </w:r>
      <w:r>
        <w:rPr>
          <w:noProof/>
          <w:sz w:val="20"/>
          <w:lang w:val="en-US" w:eastAsia="sk-SK"/>
        </w:rPr>
        <w:t>ť</w:t>
      </w:r>
      <w:r>
        <w:rPr>
          <w:rFonts w:ascii="Arial Narrow CE" w:hAnsi="Arial Narrow CE" w:cs="Arial"/>
          <w:noProof/>
          <w:sz w:val="20"/>
          <w:lang w:val="en-US" w:eastAsia="sk-SK"/>
        </w:rPr>
        <w:t>ahoch so spriaznenými osobami.</w:t>
      </w:r>
    </w:p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369"/>
        <w:gridCol w:w="2552"/>
        <w:gridCol w:w="2551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336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Podiely spriaznených osôb na základom imaní obchodníka s cennými papiermi a jeho dcérskych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j. a pridru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ených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j.</w:t>
            </w:r>
          </w:p>
        </w:tc>
        <w:tc>
          <w:tcPr>
            <w:tcW w:w="255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55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36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obchodníka s cennými papiermi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36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dcérskych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j.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36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pridru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ených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j.</w:t>
            </w:r>
          </w:p>
        </w:tc>
        <w:tc>
          <w:tcPr>
            <w:tcW w:w="255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2661"/>
        <w:gridCol w:w="3039"/>
        <w:gridCol w:w="2772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266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Finan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vz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ahy so  spriaznenými osobami</w:t>
            </w:r>
          </w:p>
        </w:tc>
        <w:tc>
          <w:tcPr>
            <w:tcW w:w="303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77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poh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adávky</w:t>
            </w:r>
          </w:p>
        </w:tc>
        <w:tc>
          <w:tcPr>
            <w:tcW w:w="303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poh</w:t>
            </w:r>
            <w:r>
              <w:rPr>
                <w:noProof/>
                <w:sz w:val="20"/>
                <w:lang w:val="en-US" w:eastAsia="sk-SK"/>
              </w:rPr>
              <w:t>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adávky</w:t>
            </w:r>
          </w:p>
        </w:tc>
        <w:tc>
          <w:tcPr>
            <w:tcW w:w="303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záväzky</w:t>
            </w:r>
          </w:p>
        </w:tc>
        <w:tc>
          <w:tcPr>
            <w:tcW w:w="303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266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záväzky</w:t>
            </w:r>
          </w:p>
        </w:tc>
        <w:tc>
          <w:tcPr>
            <w:tcW w:w="303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2661"/>
        <w:gridCol w:w="3039"/>
        <w:gridCol w:w="2772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266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Vydané záruky za   spriaznené osoby</w:t>
            </w:r>
          </w:p>
        </w:tc>
        <w:tc>
          <w:tcPr>
            <w:tcW w:w="303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77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Dcérske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jednotky</w:t>
            </w:r>
          </w:p>
        </w:tc>
        <w:tc>
          <w:tcPr>
            <w:tcW w:w="303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Pridru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jednotky</w:t>
            </w:r>
          </w:p>
        </w:tc>
        <w:tc>
          <w:tcPr>
            <w:tcW w:w="303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spriaznené osoby</w:t>
            </w:r>
          </w:p>
        </w:tc>
        <w:tc>
          <w:tcPr>
            <w:tcW w:w="303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66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303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2661"/>
        <w:gridCol w:w="3039"/>
        <w:gridCol w:w="2772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266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d).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Prijaté záruky od  spriaznených osôb</w:t>
            </w:r>
          </w:p>
        </w:tc>
        <w:tc>
          <w:tcPr>
            <w:tcW w:w="3039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77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Dcérske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jednotky</w:t>
            </w:r>
          </w:p>
        </w:tc>
        <w:tc>
          <w:tcPr>
            <w:tcW w:w="303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Pridru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jednotky</w:t>
            </w:r>
          </w:p>
        </w:tc>
        <w:tc>
          <w:tcPr>
            <w:tcW w:w="303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055FDE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spriaznené osoby</w:t>
            </w:r>
          </w:p>
        </w:tc>
        <w:tc>
          <w:tcPr>
            <w:tcW w:w="303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c>
          <w:tcPr>
            <w:tcW w:w="708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661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3039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055FDE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2.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udalostiach, ktoré nastali medzi  d</w:t>
      </w:r>
      <w:r>
        <w:rPr>
          <w:noProof/>
          <w:sz w:val="20"/>
          <w:lang w:val="en-US" w:eastAsia="sk-SK"/>
        </w:rPr>
        <w:t>ň</w:t>
      </w:r>
      <w:r>
        <w:rPr>
          <w:rFonts w:ascii="Arial Narrow CE" w:hAnsi="Arial Narrow CE" w:cs="Arial"/>
          <w:noProof/>
          <w:sz w:val="20"/>
          <w:lang w:val="en-US" w:eastAsia="sk-SK"/>
        </w:rPr>
        <w:t>om, ku ktorému sa zostavuje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tovná závierka a d</w:t>
      </w:r>
      <w:r>
        <w:rPr>
          <w:noProof/>
          <w:sz w:val="20"/>
          <w:lang w:val="en-US" w:eastAsia="sk-SK"/>
        </w:rPr>
        <w:t>ň</w:t>
      </w:r>
      <w:r>
        <w:rPr>
          <w:rFonts w:ascii="Arial Narrow CE" w:hAnsi="Arial Narrow CE" w:cs="Arial"/>
          <w:noProof/>
          <w:sz w:val="20"/>
          <w:lang w:val="en-US" w:eastAsia="sk-SK"/>
        </w:rPr>
        <w:t>om zostavenia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tovnej závierky.</w:t>
      </w:r>
    </w:p>
    <w:tbl>
      <w:tblPr>
        <w:tblStyle w:val="TableGrid"/>
        <w:tblW w:w="0" w:type="auto"/>
        <w:tblLook w:val="04A0"/>
      </w:tblPr>
      <w:tblGrid>
        <w:gridCol w:w="9212"/>
      </w:tblGrid>
      <w:tr w:rsidR="00F26AD1">
        <w:trPr>
          <w:trHeight w:val="837"/>
        </w:trPr>
        <w:tc>
          <w:tcPr>
            <w:tcW w:w="9212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055FDE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3.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opravy chýb minulých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tovných období,  ktoré  majú   taký  podstatný vplyv na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tovnú závierku jedného alebo  viacerých   predchádzajúcich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tovných období, </w:t>
      </w:r>
      <w:r>
        <w:rPr>
          <w:noProof/>
          <w:sz w:val="20"/>
          <w:lang w:val="en-US" w:eastAsia="sk-SK"/>
        </w:rPr>
        <w:t>ž</w:t>
      </w:r>
      <w:r>
        <w:rPr>
          <w:rFonts w:ascii="Arial Narrow CE" w:hAnsi="Arial Narrow CE" w:cs="Arial"/>
          <w:noProof/>
          <w:sz w:val="20"/>
          <w:lang w:val="en-US" w:eastAsia="sk-SK"/>
        </w:rPr>
        <w:t>e by tieto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tovné závierky nepodávali verný a pravdivý obraz  o  predmete 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tovníctva  obchodníka s cennými papiermi; v tomto prípade sa uvádza vplyv týchto zmien na vlastné imanie ku d</w:t>
      </w:r>
      <w:r>
        <w:rPr>
          <w:noProof/>
          <w:sz w:val="20"/>
          <w:lang w:val="en-US" w:eastAsia="sk-SK"/>
        </w:rPr>
        <w:t>ň</w:t>
      </w:r>
      <w:r>
        <w:rPr>
          <w:rFonts w:ascii="Arial Narrow CE" w:hAnsi="Arial Narrow CE" w:cs="Arial"/>
          <w:noProof/>
          <w:sz w:val="20"/>
          <w:lang w:val="en-US" w:eastAsia="sk-SK"/>
        </w:rPr>
        <w:t>u, ku ktorému sa zostavuje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tovná závierka.</w:t>
      </w:r>
    </w:p>
    <w:tbl>
      <w:tblPr>
        <w:tblStyle w:val="TableGrid"/>
        <w:tblW w:w="0" w:type="auto"/>
        <w:tblLook w:val="04A0"/>
      </w:tblPr>
      <w:tblGrid>
        <w:gridCol w:w="9212"/>
      </w:tblGrid>
      <w:tr w:rsidR="00F26AD1">
        <w:trPr>
          <w:trHeight w:val="884"/>
        </w:trPr>
        <w:tc>
          <w:tcPr>
            <w:tcW w:w="9212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055FDE">
      <w:pPr>
        <w:keepNext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4.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návrh na rozdelenie zisku  be</w:t>
      </w:r>
      <w:r>
        <w:rPr>
          <w:noProof/>
          <w:sz w:val="20"/>
          <w:lang w:val="en-US" w:eastAsia="sk-SK"/>
        </w:rPr>
        <w:t>ž</w:t>
      </w:r>
      <w:r>
        <w:rPr>
          <w:rFonts w:ascii="Arial Narrow CE" w:hAnsi="Arial Narrow CE" w:cs="Arial"/>
          <w:noProof/>
          <w:sz w:val="20"/>
          <w:lang w:val="en-US" w:eastAsia="sk-SK"/>
        </w:rPr>
        <w:t>ného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tovného obdobia.</w:t>
      </w:r>
    </w:p>
    <w:tbl>
      <w:tblPr>
        <w:tblStyle w:val="TableGrid"/>
        <w:tblW w:w="0" w:type="auto"/>
        <w:tblLook w:val="04A0"/>
      </w:tblPr>
      <w:tblGrid>
        <w:gridCol w:w="9212"/>
      </w:tblGrid>
      <w:tr w:rsidR="00F26AD1">
        <w:trPr>
          <w:trHeight w:val="931"/>
        </w:trPr>
        <w:tc>
          <w:tcPr>
            <w:tcW w:w="9212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055FDE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5.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priemerný po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et zamestnancov v 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tovnom období, pri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om priemerný po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et zamestnancov sa vypo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íta ako priemer koncových stavov v jednotlivých štvr</w:t>
      </w:r>
      <w:r>
        <w:rPr>
          <w:noProof/>
          <w:sz w:val="20"/>
          <w:lang w:val="en-US" w:eastAsia="sk-SK"/>
        </w:rPr>
        <w:t>ť</w:t>
      </w:r>
      <w:r>
        <w:rPr>
          <w:rFonts w:ascii="Arial Narrow CE" w:hAnsi="Arial Narrow CE" w:cs="Arial"/>
          <w:noProof/>
          <w:sz w:val="20"/>
          <w:lang w:val="en-US" w:eastAsia="sk-SK"/>
        </w:rPr>
        <w:t>rokoch v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tovnom období; po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et 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lenov štatutárnych orgánov, riadiacich orgánov, dozorných orgánov, prípadne iných orgánov.</w:t>
      </w:r>
    </w:p>
    <w:tbl>
      <w:tblPr>
        <w:tblStyle w:val="TableGrid"/>
        <w:tblW w:w="0" w:type="auto"/>
        <w:tblLook w:val="04A0"/>
      </w:tblPr>
      <w:tblGrid>
        <w:gridCol w:w="9212"/>
      </w:tblGrid>
      <w:tr w:rsidR="00F26AD1">
        <w:trPr>
          <w:trHeight w:val="1103"/>
        </w:trPr>
        <w:tc>
          <w:tcPr>
            <w:tcW w:w="9212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055FDE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6.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náklady alebo výnosy, ktoré majú vplyv na splatnú da</w:t>
      </w:r>
      <w:r>
        <w:rPr>
          <w:noProof/>
          <w:sz w:val="20"/>
          <w:lang w:val="en-US" w:eastAsia="sk-SK"/>
        </w:rPr>
        <w:t>ň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z príjmov za prechádzajúce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tovné  obdobie.</w:t>
      </w:r>
    </w:p>
    <w:tbl>
      <w:tblPr>
        <w:tblStyle w:val="TableGrid"/>
        <w:tblW w:w="0" w:type="auto"/>
        <w:tblLook w:val="04A0"/>
      </w:tblPr>
      <w:tblGrid>
        <w:gridCol w:w="9212"/>
      </w:tblGrid>
      <w:tr w:rsidR="00F26AD1">
        <w:trPr>
          <w:trHeight w:val="1129"/>
        </w:trPr>
        <w:tc>
          <w:tcPr>
            <w:tcW w:w="9212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055FDE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7.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zamestnaneckých po</w:t>
      </w:r>
      <w:r>
        <w:rPr>
          <w:noProof/>
          <w:sz w:val="20"/>
          <w:lang w:val="en-US" w:eastAsia="sk-SK"/>
        </w:rPr>
        <w:t>ž</w:t>
      </w:r>
      <w:r>
        <w:rPr>
          <w:rFonts w:ascii="Arial Narrow CE" w:hAnsi="Arial Narrow CE" w:cs="Arial"/>
          <w:noProof/>
          <w:sz w:val="20"/>
          <w:lang w:val="en-US" w:eastAsia="sk-SK"/>
        </w:rPr>
        <w:t>itkoch, na základe ktorých majú zamestnanci nárok na finan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né nástroje vydané obchodníkom s cennými papiermi viazané na vlastné imanie alebo pod</w:t>
      </w:r>
      <w:r>
        <w:rPr>
          <w:noProof/>
          <w:sz w:val="20"/>
          <w:lang w:val="en-US" w:eastAsia="sk-SK"/>
        </w:rPr>
        <w:t>ľ</w:t>
      </w:r>
      <w:r>
        <w:rPr>
          <w:rFonts w:ascii="Arial Narrow CE" w:hAnsi="Arial Narrow CE" w:cs="Arial"/>
          <w:noProof/>
          <w:sz w:val="20"/>
          <w:lang w:val="en-US" w:eastAsia="sk-SK"/>
        </w:rPr>
        <w:t>a  ktorých výška záväzkov obchodníka s cennými papiermi vo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i zamestnancom je závislá na budúcej cene finan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ných nástrojov, napríklad obchodníkom s cennými papiermi vydané akcie alebo opcie na akcie.  </w:t>
      </w:r>
    </w:p>
    <w:tbl>
      <w:tblPr>
        <w:tblStyle w:val="TableGrid"/>
        <w:tblW w:w="0" w:type="auto"/>
        <w:tblLook w:val="04A0"/>
      </w:tblPr>
      <w:tblGrid>
        <w:gridCol w:w="9212"/>
      </w:tblGrid>
      <w:tr w:rsidR="00F26AD1">
        <w:trPr>
          <w:trHeight w:val="1150"/>
        </w:trPr>
        <w:tc>
          <w:tcPr>
            <w:tcW w:w="9212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055FDE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8.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výnos na akciu.</w:t>
      </w:r>
    </w:p>
    <w:tbl>
      <w:tblPr>
        <w:tblStyle w:val="TableGrid"/>
        <w:tblW w:w="0" w:type="auto"/>
        <w:tblLook w:val="04A0"/>
      </w:tblPr>
      <w:tblGrid>
        <w:gridCol w:w="9212"/>
      </w:tblGrid>
      <w:tr w:rsidR="00F26AD1">
        <w:trPr>
          <w:trHeight w:val="1075"/>
        </w:trPr>
        <w:tc>
          <w:tcPr>
            <w:tcW w:w="9212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055FDE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9.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 úverovom riziku, a to:</w:t>
      </w:r>
    </w:p>
    <w:p w:rsidR="00F26AD1" w:rsidRDefault="00055FDE">
      <w:pPr>
        <w:ind w:left="426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a) o pou</w:t>
      </w:r>
      <w:r>
        <w:rPr>
          <w:noProof/>
          <w:sz w:val="20"/>
          <w:lang w:val="en-US" w:eastAsia="sk-SK"/>
        </w:rPr>
        <w:t>ž</w:t>
      </w:r>
      <w:r>
        <w:rPr>
          <w:rFonts w:ascii="Arial Narrow CE" w:hAnsi="Arial Narrow CE" w:cs="Arial"/>
          <w:noProof/>
          <w:sz w:val="20"/>
          <w:lang w:val="en-US" w:eastAsia="sk-SK"/>
        </w:rPr>
        <w:t>itých spôsoboch a postupoch úverového hodnotenia dl</w:t>
      </w:r>
      <w:r>
        <w:rPr>
          <w:noProof/>
          <w:sz w:val="20"/>
          <w:lang w:val="en-US" w:eastAsia="sk-SK"/>
        </w:rPr>
        <w:t>ž</w:t>
      </w:r>
      <w:r>
        <w:rPr>
          <w:rFonts w:ascii="Arial Narrow CE" w:hAnsi="Arial Narrow CE" w:cs="Arial"/>
          <w:noProof/>
          <w:sz w:val="20"/>
          <w:lang w:val="en-US" w:eastAsia="sk-SK"/>
        </w:rPr>
        <w:t>níka vrátane vysvetlenia obsahu jednotlivých hodnotiacich stup</w:t>
      </w:r>
      <w:r>
        <w:rPr>
          <w:noProof/>
          <w:sz w:val="20"/>
          <w:lang w:val="en-US" w:eastAsia="sk-SK"/>
        </w:rPr>
        <w:t>ň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ov, </w:t>
      </w:r>
    </w:p>
    <w:p w:rsidR="00F26AD1" w:rsidRDefault="00055FDE"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popis poh</w:t>
      </w:r>
      <w:r>
        <w:rPr>
          <w:noProof/>
          <w:sz w:val="20"/>
          <w:lang w:val="en-US" w:eastAsia="sk-SK"/>
        </w:rPr>
        <w:t>ľ</w:t>
      </w:r>
      <w:r>
        <w:rPr>
          <w:rFonts w:ascii="Arial Narrow CE" w:hAnsi="Arial Narrow CE" w:cs="Arial"/>
          <w:noProof/>
          <w:sz w:val="20"/>
          <w:lang w:val="en-US" w:eastAsia="sk-SK"/>
        </w:rPr>
        <w:t>adávok, ktorých ocenenie sa upravuje skupinovo,</w:t>
      </w:r>
    </w:p>
    <w:p w:rsidR="00F26AD1" w:rsidRDefault="00055FDE"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c) popis spôsobov a nástrojov zni</w:t>
      </w:r>
      <w:r>
        <w:rPr>
          <w:noProof/>
          <w:sz w:val="20"/>
          <w:lang w:val="en-US" w:eastAsia="sk-SK"/>
        </w:rPr>
        <w:t>ž</w:t>
      </w:r>
      <w:r>
        <w:rPr>
          <w:rFonts w:ascii="Arial Narrow CE" w:hAnsi="Arial Narrow CE" w:cs="Arial"/>
          <w:noProof/>
          <w:sz w:val="20"/>
          <w:lang w:val="en-US" w:eastAsia="sk-SK"/>
        </w:rPr>
        <w:t>ovania úverového rizika,</w:t>
      </w:r>
      <w:r>
        <w:rPr>
          <w:rFonts w:ascii="Arial Narrow CE" w:hAnsi="Arial Narrow CE" w:cs="Arial"/>
          <w:noProof/>
          <w:sz w:val="20"/>
          <w:lang w:val="en-US" w:eastAsia="sk-SK"/>
        </w:rPr>
        <w:tab/>
        <w:t xml:space="preserve">  </w:t>
      </w:r>
    </w:p>
    <w:p w:rsidR="00F26AD1" w:rsidRDefault="00055FDE"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d) popis významných koncentrácií úverového rizika a popis spôsobov a postupov pou</w:t>
      </w:r>
      <w:r>
        <w:rPr>
          <w:noProof/>
          <w:sz w:val="20"/>
          <w:lang w:val="en-US" w:eastAsia="sk-SK"/>
        </w:rPr>
        <w:t>ž</w:t>
      </w:r>
      <w:r>
        <w:rPr>
          <w:rFonts w:ascii="Arial Narrow CE" w:hAnsi="Arial Narrow CE" w:cs="Arial"/>
          <w:noProof/>
          <w:sz w:val="20"/>
          <w:lang w:val="en-US" w:eastAsia="sk-SK"/>
        </w:rPr>
        <w:t>ívaných pre zabezpe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enie obchodníkom s cennými papiermi akceptovanej koncentrácie úverového rizika,        </w:t>
      </w:r>
    </w:p>
    <w:tbl>
      <w:tblPr>
        <w:tblStyle w:val="TableGrid"/>
        <w:tblW w:w="0" w:type="auto"/>
        <w:tblInd w:w="-34" w:type="dxa"/>
        <w:tblLook w:val="04A0"/>
      </w:tblPr>
      <w:tblGrid>
        <w:gridCol w:w="9320"/>
      </w:tblGrid>
      <w:tr w:rsidR="00F26AD1">
        <w:trPr>
          <w:trHeight w:val="992"/>
        </w:trPr>
        <w:tc>
          <w:tcPr>
            <w:tcW w:w="9322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F26AD1" w:rsidRDefault="00F26AD1"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055FDE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10.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trhovom riziku, a to:</w:t>
      </w:r>
    </w:p>
    <w:p w:rsidR="00F26AD1" w:rsidRDefault="00055FDE"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a)  o pou</w:t>
      </w:r>
      <w:r>
        <w:rPr>
          <w:noProof/>
          <w:sz w:val="20"/>
          <w:lang w:val="en-US" w:eastAsia="sk-SK"/>
        </w:rPr>
        <w:t>ž</w:t>
      </w:r>
      <w:r>
        <w:rPr>
          <w:rFonts w:ascii="Arial Narrow CE" w:hAnsi="Arial Narrow CE" w:cs="Arial"/>
          <w:noProof/>
          <w:sz w:val="20"/>
          <w:lang w:val="en-US" w:eastAsia="sk-SK"/>
        </w:rPr>
        <w:t>ívaní nových finan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ných nástrojov,</w:t>
      </w:r>
    </w:p>
    <w:p w:rsidR="00F26AD1" w:rsidRDefault="00055FDE"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 o spôsoboch a postupoch pou</w:t>
      </w:r>
      <w:r>
        <w:rPr>
          <w:noProof/>
          <w:sz w:val="20"/>
          <w:lang w:val="en-US" w:eastAsia="sk-SK"/>
        </w:rPr>
        <w:t>ž</w:t>
      </w:r>
      <w:r>
        <w:rPr>
          <w:rFonts w:ascii="Arial Narrow CE" w:hAnsi="Arial Narrow CE" w:cs="Arial"/>
          <w:noProof/>
          <w:sz w:val="20"/>
          <w:lang w:val="en-US" w:eastAsia="sk-SK"/>
        </w:rPr>
        <w:t>ívaných na meranie, sledovanie a riadenie trhového rizika,</w:t>
      </w:r>
    </w:p>
    <w:p w:rsidR="00F26AD1" w:rsidRDefault="00055FDE"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c) o spôsoboch  zabezpe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enia sa proti nepriaznivému vplyvu zmien trhových úrokových mier,  </w:t>
      </w:r>
    </w:p>
    <w:p w:rsidR="00F26AD1" w:rsidRDefault="00055FDE"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d) o citlivosti majetku a záväzkov na zmeny úrokových mier,</w:t>
      </w:r>
    </w:p>
    <w:p w:rsidR="00F26AD1" w:rsidRDefault="00055FDE"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e) o spôsoboch a postupoch merania úrokového rizika, </w:t>
      </w:r>
    </w:p>
    <w:p w:rsidR="00F26AD1" w:rsidRDefault="00055FDE">
      <w:pPr>
        <w:keepNext/>
        <w:ind w:left="567" w:hanging="142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f) rozpis majetku a záväzkov pod</w:t>
      </w:r>
      <w:r>
        <w:rPr>
          <w:noProof/>
          <w:sz w:val="20"/>
          <w:lang w:val="en-US" w:eastAsia="sk-SK"/>
        </w:rPr>
        <w:t>ľ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a dátumu zmluvnej zmeny úrokovej miery alebo dátumu zostatkovej doby splatnosti v 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lenení  do jedného mesiaca, od jedného mesiaca do troch mesiacov, od troch mesiacov  do jedného roka, od jedného roka  do pä</w:t>
      </w:r>
      <w:r>
        <w:rPr>
          <w:noProof/>
          <w:sz w:val="20"/>
          <w:lang w:val="en-US" w:eastAsia="sk-SK"/>
        </w:rPr>
        <w:t>ť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rokov a nad pä</w:t>
      </w:r>
      <w:r>
        <w:rPr>
          <w:noProof/>
          <w:sz w:val="20"/>
          <w:lang w:val="en-US" w:eastAsia="sk-SK"/>
        </w:rPr>
        <w:t>ť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rokov.</w:t>
      </w:r>
    </w:p>
    <w:tbl>
      <w:tblPr>
        <w:tblStyle w:val="TableGrid"/>
        <w:tblW w:w="0" w:type="auto"/>
        <w:tblInd w:w="-34" w:type="dxa"/>
        <w:tblLook w:val="04A0"/>
      </w:tblPr>
      <w:tblGrid>
        <w:gridCol w:w="9320"/>
      </w:tblGrid>
      <w:tr w:rsidR="00F26AD1">
        <w:trPr>
          <w:trHeight w:val="1223"/>
        </w:trPr>
        <w:tc>
          <w:tcPr>
            <w:tcW w:w="9322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F26AD1" w:rsidRDefault="00F26AD1"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055FDE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11.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ostatných druhoch rizík, a to:</w:t>
      </w:r>
    </w:p>
    <w:p w:rsidR="00F26AD1" w:rsidRDefault="00055FDE"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a) o spôsoboch a postupoch identifikácie rizík, ktorým je obchodník s cennými papiermi vystavený a </w:t>
      </w:r>
    </w:p>
    <w:p w:rsidR="00F26AD1" w:rsidRDefault="00055FDE">
      <w:pPr>
        <w:ind w:firstLine="426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o spôsoboch a postupoch merania, sledovania a riadenia týchto  rizík.</w:t>
      </w:r>
    </w:p>
    <w:tbl>
      <w:tblPr>
        <w:tblStyle w:val="TableGrid"/>
        <w:tblW w:w="0" w:type="auto"/>
        <w:tblLook w:val="04A0"/>
      </w:tblPr>
      <w:tblGrid>
        <w:gridCol w:w="9212"/>
      </w:tblGrid>
      <w:tr w:rsidR="00F26AD1">
        <w:trPr>
          <w:trHeight w:val="1228"/>
        </w:trPr>
        <w:tc>
          <w:tcPr>
            <w:tcW w:w="9212" w:type="dxa"/>
          </w:tcPr>
          <w:p w:rsidR="00F26AD1" w:rsidRDefault="00F26AD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802"/>
        <w:gridCol w:w="2835"/>
        <w:gridCol w:w="2943"/>
      </w:tblGrid>
      <w:tr w:rsidR="00F26AD1">
        <w:tc>
          <w:tcPr>
            <w:tcW w:w="708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íslo riadku</w:t>
            </w:r>
          </w:p>
        </w:tc>
        <w:tc>
          <w:tcPr>
            <w:tcW w:w="280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Náklady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tovnej jednotky vo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 audítorovi za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835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né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  <w:tc>
          <w:tcPr>
            <w:tcW w:w="2943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tovné obdobie</w:t>
            </w:r>
          </w:p>
        </w:tc>
      </w:tr>
      <w:tr w:rsidR="00F26AD1">
        <w:trPr>
          <w:trHeight w:hRule="exact" w:val="227"/>
        </w:trPr>
        <w:tc>
          <w:tcPr>
            <w:tcW w:w="708" w:type="dxa"/>
          </w:tcPr>
          <w:p w:rsidR="00F26AD1" w:rsidRDefault="00F26AD1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Overenie ú</w:t>
            </w:r>
            <w:r>
              <w:rPr>
                <w:noProof/>
                <w:sz w:val="20"/>
                <w:lang w:val="en-US" w:eastAsia="sk-SK"/>
              </w:rPr>
              <w:t>č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tovnej závierky</w:t>
            </w:r>
          </w:p>
        </w:tc>
        <w:tc>
          <w:tcPr>
            <w:tcW w:w="2835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27"/>
        </w:trPr>
        <w:tc>
          <w:tcPr>
            <w:tcW w:w="708" w:type="dxa"/>
          </w:tcPr>
          <w:p w:rsidR="00F26AD1" w:rsidRDefault="00F26AD1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Uis</w:t>
            </w:r>
            <w:r>
              <w:rPr>
                <w:noProof/>
                <w:sz w:val="20"/>
                <w:lang w:val="en-US" w:eastAsia="sk-SK"/>
              </w:rPr>
              <w:t>ť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ovacie audítorské slu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by</w:t>
            </w:r>
          </w:p>
        </w:tc>
        <w:tc>
          <w:tcPr>
            <w:tcW w:w="2835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27"/>
        </w:trPr>
        <w:tc>
          <w:tcPr>
            <w:tcW w:w="708" w:type="dxa"/>
          </w:tcPr>
          <w:p w:rsidR="00F26AD1" w:rsidRDefault="00F26AD1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Súvisiace audítorské slu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by</w:t>
            </w:r>
          </w:p>
        </w:tc>
        <w:tc>
          <w:tcPr>
            <w:tcW w:w="2835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27"/>
        </w:trPr>
        <w:tc>
          <w:tcPr>
            <w:tcW w:w="708" w:type="dxa"/>
          </w:tcPr>
          <w:p w:rsidR="00F26AD1" w:rsidRDefault="00F26AD1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</w:t>
            </w:r>
            <w:r>
              <w:rPr>
                <w:noProof/>
                <w:sz w:val="20"/>
                <w:lang w:val="en-US" w:eastAsia="sk-SK"/>
              </w:rPr>
              <w:t>ň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ové poradenstvo</w:t>
            </w:r>
          </w:p>
        </w:tc>
        <w:tc>
          <w:tcPr>
            <w:tcW w:w="2835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27"/>
        </w:trPr>
        <w:tc>
          <w:tcPr>
            <w:tcW w:w="708" w:type="dxa"/>
          </w:tcPr>
          <w:p w:rsidR="00F26AD1" w:rsidRDefault="00F26AD1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audítorské slu</w:t>
            </w:r>
            <w:r>
              <w:rPr>
                <w:noProof/>
                <w:sz w:val="20"/>
                <w:lang w:val="en-US" w:eastAsia="sk-SK"/>
              </w:rPr>
              <w:t>ž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by</w:t>
            </w:r>
          </w:p>
        </w:tc>
        <w:tc>
          <w:tcPr>
            <w:tcW w:w="2835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27"/>
        </w:trPr>
        <w:tc>
          <w:tcPr>
            <w:tcW w:w="708" w:type="dxa"/>
          </w:tcPr>
          <w:p w:rsidR="00F26AD1" w:rsidRDefault="00F26AD1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F26AD1" w:rsidRDefault="00055FDE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835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F26AD1"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 w:rsidR="00F26AD1" w:rsidRDefault="00055FDE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 xml:space="preserve">H. Prehľad o iných aktívach a iných pasívach (Podsúvaha) </w:t>
      </w:r>
    </w:p>
    <w:tbl>
      <w:tblPr>
        <w:tblW w:w="84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94"/>
        <w:gridCol w:w="3806"/>
        <w:gridCol w:w="1980"/>
        <w:gridCol w:w="1980"/>
      </w:tblGrid>
      <w:tr w:rsidR="00F26AD1">
        <w:trPr>
          <w:trHeight w:val="510"/>
          <w:tblHeader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Ozna-čenie</w:t>
            </w:r>
          </w:p>
        </w:tc>
        <w:tc>
          <w:tcPr>
            <w:tcW w:w="3806" w:type="dxa"/>
          </w:tcPr>
          <w:p w:rsidR="00F26AD1" w:rsidRDefault="00F26AD1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POLOŽKA</w:t>
            </w:r>
          </w:p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1980" w:type="dxa"/>
            <w:vAlign w:val="center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F26AD1">
        <w:trPr>
          <w:trHeight w:val="244"/>
          <w:tblHeader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</w:t>
            </w:r>
          </w:p>
        </w:tc>
        <w:tc>
          <w:tcPr>
            <w:tcW w:w="1980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</w:t>
            </w:r>
          </w:p>
        </w:tc>
        <w:tc>
          <w:tcPr>
            <w:tcW w:w="1980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</w:t>
            </w:r>
          </w:p>
        </w:tc>
      </w:tr>
      <w:tr w:rsidR="00F26AD1">
        <w:trPr>
          <w:trHeight w:val="315"/>
          <w:tblHeader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Iné aktíva</w:t>
            </w:r>
          </w:p>
        </w:tc>
        <w:tc>
          <w:tcPr>
            <w:tcW w:w="1980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1980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</w:tr>
      <w:tr w:rsidR="00F26AD1">
        <w:trPr>
          <w:trHeight w:hRule="exact" w:val="510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na vypožičanie peňažných prostriedkov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zo spotových obchodov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podie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termínovaných obchodov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európskych opcií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amerických opcií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bankových záruk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Pohľadávky z ručenia 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zo záložných práv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510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Cenné papiere nadobudnuté zabezpečovacím prevodom práva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k cudzím veciam a právam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510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odovzdané do úschovy a na uloženie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odovzdané do správy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13.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v evidencii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694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            Iné aktíva spolu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tbl>
      <w:tblPr>
        <w:tblW w:w="84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94"/>
        <w:gridCol w:w="3806"/>
        <w:gridCol w:w="1980"/>
        <w:gridCol w:w="1980"/>
      </w:tblGrid>
      <w:tr w:rsidR="00F26AD1">
        <w:trPr>
          <w:trHeight w:val="510"/>
          <w:tblHeader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Ozna-čenie</w:t>
            </w:r>
          </w:p>
        </w:tc>
        <w:tc>
          <w:tcPr>
            <w:tcW w:w="3806" w:type="dxa"/>
          </w:tcPr>
          <w:p w:rsidR="00F26AD1" w:rsidRDefault="00F26AD1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POLOŽKA</w:t>
            </w:r>
          </w:p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1980" w:type="dxa"/>
            <w:vAlign w:val="center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F26AD1">
        <w:trPr>
          <w:trHeight w:val="244"/>
          <w:tblHeader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</w:t>
            </w:r>
          </w:p>
        </w:tc>
        <w:tc>
          <w:tcPr>
            <w:tcW w:w="1980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</w:t>
            </w:r>
          </w:p>
        </w:tc>
        <w:tc>
          <w:tcPr>
            <w:tcW w:w="1980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</w:t>
            </w:r>
          </w:p>
        </w:tc>
      </w:tr>
      <w:tr w:rsidR="00F26AD1">
        <w:trPr>
          <w:trHeight w:val="315"/>
          <w:tblHeader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Iné pasíva</w:t>
            </w:r>
          </w:p>
        </w:tc>
        <w:tc>
          <w:tcPr>
            <w:tcW w:w="1980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1980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</w:tr>
      <w:tr w:rsidR="00F26AD1">
        <w:trPr>
          <w:trHeight w:hRule="exact" w:val="510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na požičanie peňažných prostriedkov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zo spotových obchodov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podie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termínovaných obchodov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európskych opcií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amerických opcií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bankových záruk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Záväzky z ručenia 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zo záložných práv a zálohov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510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Cenné papiere prevedené zabezpečovacím prevodom práva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iných k veciam a právam fondu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prevzaté do správy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694" w:type="dxa"/>
            <w:vAlign w:val="center"/>
          </w:tcPr>
          <w:p w:rsidR="00F26AD1" w:rsidRDefault="00055FDE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v evidencii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F26AD1">
        <w:trPr>
          <w:trHeight w:hRule="exact" w:val="284"/>
        </w:trPr>
        <w:tc>
          <w:tcPr>
            <w:tcW w:w="694" w:type="dxa"/>
            <w:vAlign w:val="center"/>
          </w:tcPr>
          <w:p w:rsidR="00F26AD1" w:rsidRDefault="00F26AD1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3806" w:type="dxa"/>
          </w:tcPr>
          <w:p w:rsidR="00F26AD1" w:rsidRDefault="00055FDE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            Iné pasíva spolu</w:t>
            </w: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26AD1" w:rsidRDefault="00F26AD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</w:tbl>
    <w:p w:rsidR="00F26AD1" w:rsidRDefault="00F26AD1"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 w:rsidR="00F26AD1" w:rsidRDefault="00055FDE"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Použité skratky:</w:t>
      </w:r>
    </w:p>
    <w:p w:rsidR="00F26AD1" w:rsidRDefault="00055FDE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Dt – strana má da</w:t>
      </w:r>
      <w:r>
        <w:rPr>
          <w:noProof/>
          <w:sz w:val="20"/>
          <w:lang w:val="en-US" w:eastAsia="sk-SK"/>
        </w:rPr>
        <w:t>ť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tu.</w:t>
      </w:r>
    </w:p>
    <w:p w:rsidR="00F26AD1" w:rsidRDefault="00055FDE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. o. –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tovné obdobie.</w:t>
      </w:r>
    </w:p>
    <w:p w:rsidR="00F26AD1" w:rsidRDefault="00055FDE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FN – finan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ný nástroj</w:t>
      </w:r>
    </w:p>
    <w:p w:rsidR="00F26AD1" w:rsidRDefault="00055FDE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h. – hodina vo všetkých gramatických pádoch aj v mno</w:t>
      </w:r>
      <w:r>
        <w:rPr>
          <w:noProof/>
          <w:sz w:val="20"/>
          <w:lang w:val="en-US" w:eastAsia="sk-SK"/>
        </w:rPr>
        <w:t>ž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nom 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ísle</w:t>
      </w:r>
    </w:p>
    <w:p w:rsidR="00F26AD1" w:rsidRDefault="00055FDE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. j. – ú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tovná jednotka</w:t>
      </w:r>
    </w:p>
    <w:p w:rsidR="00F26AD1" w:rsidRDefault="00F26AD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F26AD1" w:rsidRDefault="00055FDE"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Vysvetlivka:</w:t>
      </w:r>
    </w:p>
    <w:p w:rsidR="00F26AD1" w:rsidRDefault="00055FDE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Ur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enie </w:t>
      </w:r>
      <w:r>
        <w:rPr>
          <w:noProof/>
          <w:sz w:val="20"/>
          <w:lang w:val="en-US" w:eastAsia="sk-SK"/>
        </w:rPr>
        <w:t>č</w:t>
      </w:r>
      <w:r>
        <w:rPr>
          <w:rFonts w:ascii="Arial Narrow CE" w:hAnsi="Arial Narrow CE" w:cs="Arial"/>
          <w:noProof/>
          <w:sz w:val="20"/>
          <w:lang w:val="en-US" w:eastAsia="sk-SK"/>
        </w:rPr>
        <w:t>asového obdobia v tabu</w:t>
      </w:r>
      <w:r>
        <w:rPr>
          <w:noProof/>
          <w:sz w:val="20"/>
          <w:lang w:val="en-US" w:eastAsia="sk-SK"/>
        </w:rPr>
        <w:t>ľ</w:t>
      </w:r>
      <w:r>
        <w:rPr>
          <w:rFonts w:ascii="Arial Narrow CE" w:hAnsi="Arial Narrow CE" w:cs="Arial"/>
          <w:noProof/>
          <w:sz w:val="20"/>
          <w:lang w:val="en-US" w:eastAsia="sk-SK"/>
        </w:rPr>
        <w:t>ke, napríklad „do jedného mesiaca“, znamená vrátane posledného d</w:t>
      </w:r>
      <w:r>
        <w:rPr>
          <w:noProof/>
          <w:sz w:val="20"/>
          <w:lang w:val="en-US" w:eastAsia="sk-SK"/>
        </w:rPr>
        <w:t>ň</w:t>
      </w:r>
      <w:r>
        <w:rPr>
          <w:rFonts w:ascii="Arial Narrow CE" w:hAnsi="Arial Narrow CE" w:cs="Arial"/>
          <w:noProof/>
          <w:sz w:val="20"/>
          <w:lang w:val="en-US" w:eastAsia="sk-SK"/>
        </w:rPr>
        <w:t>a obdobia.</w:t>
      </w:r>
    </w:p>
    <w:p w:rsidR="00F26AD1" w:rsidRDefault="00F26AD1">
      <w:pPr>
        <w:rPr>
          <w:rFonts w:ascii="Arial Narrow CE" w:hAnsi="Arial Narrow CE"/>
          <w:noProof/>
          <w:sz w:val="20"/>
          <w:lang w:val="en-US"/>
        </w:rPr>
      </w:pPr>
    </w:p>
    <w:sectPr w:rsidR="00F26AD1" w:rsidSect="00F26AD1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 CE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10C923CE"/>
    <w:multiLevelType w:val="multilevel"/>
    <w:tmpl w:val="1CE26F5A"/>
    <w:styleLink w:val="tl11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2"/>
      <w:numFmt w:val="decimal"/>
      <w:lvlText w:val="(%3)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D262232"/>
    <w:multiLevelType w:val="multilevel"/>
    <w:tmpl w:val="6BAC43BA"/>
    <w:styleLink w:val="tl1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>
    <w:nsid w:val="519509CD"/>
    <w:multiLevelType w:val="hybridMultilevel"/>
    <w:tmpl w:val="3FF6136E"/>
    <w:lvl w:ilvl="0" w:tplc="B8C63C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FB51167"/>
    <w:multiLevelType w:val="hybridMultilevel"/>
    <w:tmpl w:val="82DCB5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GrammaticalErrors/>
  <w:proofState w:spelling="clean" w:grammar="clean"/>
  <w:doNotTrackMoves/>
  <w:defaultTabStop w:val="708"/>
  <w:hyphenationZone w:val="425"/>
  <w:characterSpacingControl w:val="doNotCompress"/>
  <w:compat/>
  <w:rsids>
    <w:rsidRoot w:val="00F26AD1"/>
    <w:rsid w:val="00055FDE"/>
    <w:rsid w:val="00061639"/>
    <w:rsid w:val="00AA0B52"/>
    <w:rsid w:val="00F26AD1"/>
  </w:rsids>
  <m:mathPr>
    <m:mathFont m:val="Arial Narrow C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A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6AD1"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F26AD1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F26AD1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F26AD1"/>
    <w:pPr>
      <w:keepNext/>
      <w:ind w:left="180"/>
      <w:jc w:val="center"/>
      <w:outlineLvl w:val="3"/>
    </w:pPr>
    <w:rPr>
      <w:b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6AD1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26AD1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F26AD1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F26AD1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FooterChar">
    <w:name w:val="Footer Char"/>
    <w:link w:val="Footer"/>
    <w:locked/>
    <w:rsid w:val="00F26AD1"/>
    <w:rPr>
      <w:lang w:val="cs-CZ" w:eastAsia="ja-JP"/>
    </w:rPr>
  </w:style>
  <w:style w:type="paragraph" w:styleId="Footer">
    <w:name w:val="footer"/>
    <w:basedOn w:val="Normal"/>
    <w:link w:val="FooterChar"/>
    <w:rsid w:val="00F26AD1"/>
    <w:pPr>
      <w:tabs>
        <w:tab w:val="center" w:pos="4536"/>
        <w:tab w:val="right" w:pos="9072"/>
      </w:tabs>
    </w:pPr>
    <w:rPr>
      <w:rFonts w:asciiTheme="minorHAnsi" w:eastAsia="Calibri" w:hAnsiTheme="minorHAnsi" w:cstheme="minorBidi"/>
      <w:sz w:val="22"/>
      <w:szCs w:val="22"/>
      <w:lang w:val="cs-CZ"/>
    </w:rPr>
  </w:style>
  <w:style w:type="character" w:customStyle="1" w:styleId="FooterChar1">
    <w:name w:val="Footer Char1"/>
    <w:basedOn w:val="DefaultParagraphFont"/>
    <w:uiPriority w:val="99"/>
    <w:semiHidden/>
    <w:rsid w:val="00F26AD1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FootnoteTextChar">
    <w:name w:val="Footnote Text Char"/>
    <w:link w:val="FootnoteText"/>
    <w:semiHidden/>
    <w:locked/>
    <w:rsid w:val="00F26AD1"/>
    <w:rPr>
      <w:lang w:eastAsia="ja-JP"/>
    </w:rPr>
  </w:style>
  <w:style w:type="character" w:styleId="PageNumber">
    <w:name w:val="page number"/>
    <w:basedOn w:val="DefaultParagraphFont"/>
    <w:uiPriority w:val="99"/>
    <w:rsid w:val="00F26AD1"/>
    <w:rPr>
      <w:rFonts w:cs="Times New Roman"/>
    </w:rPr>
  </w:style>
  <w:style w:type="paragraph" w:styleId="FootnoteText">
    <w:name w:val="footnote text"/>
    <w:basedOn w:val="Normal"/>
    <w:link w:val="FootnoteTextChar"/>
    <w:semiHidden/>
    <w:rsid w:val="00F26AD1"/>
    <w:rPr>
      <w:rFonts w:asciiTheme="minorHAnsi" w:eastAsia="Calibri" w:hAnsiTheme="minorHAnsi" w:cstheme="minorBidi"/>
      <w:sz w:val="22"/>
      <w:szCs w:val="22"/>
    </w:rPr>
  </w:style>
  <w:style w:type="character" w:customStyle="1" w:styleId="FootnoteTextChar1">
    <w:name w:val="Footnote Text Char1"/>
    <w:basedOn w:val="DefaultParagraphFont"/>
    <w:uiPriority w:val="99"/>
    <w:semiHidden/>
    <w:rsid w:val="00F26AD1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BodyTextChar">
    <w:name w:val="Body Text Char"/>
    <w:link w:val="BodyText"/>
    <w:locked/>
    <w:rsid w:val="00F26AD1"/>
    <w:rPr>
      <w:sz w:val="24"/>
      <w:lang w:eastAsia="ja-JP"/>
    </w:rPr>
  </w:style>
  <w:style w:type="character" w:styleId="FootnoteReference">
    <w:name w:val="footnote reference"/>
    <w:basedOn w:val="DefaultParagraphFont"/>
    <w:uiPriority w:val="99"/>
    <w:semiHidden/>
    <w:rsid w:val="00F26AD1"/>
    <w:rPr>
      <w:vertAlign w:val="superscript"/>
    </w:rPr>
  </w:style>
  <w:style w:type="paragraph" w:styleId="BodyText">
    <w:name w:val="Body Text"/>
    <w:basedOn w:val="Normal"/>
    <w:link w:val="BodyTextChar"/>
    <w:rsid w:val="00F26AD1"/>
    <w:pPr>
      <w:jc w:val="both"/>
    </w:pPr>
    <w:rPr>
      <w:rFonts w:asciiTheme="minorHAnsi" w:eastAsia="Calibri" w:hAnsiTheme="minorHAnsi" w:cstheme="minorBidi"/>
      <w:szCs w:val="22"/>
    </w:rPr>
  </w:style>
  <w:style w:type="character" w:customStyle="1" w:styleId="BodyTextChar1">
    <w:name w:val="Body Text Char1"/>
    <w:basedOn w:val="DefaultParagraphFont"/>
    <w:uiPriority w:val="99"/>
    <w:semiHidden/>
    <w:rsid w:val="00F26AD1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BodyText2Char">
    <w:name w:val="Body Text 2 Char"/>
    <w:link w:val="BodyText2"/>
    <w:locked/>
    <w:rsid w:val="00F26AD1"/>
    <w:rPr>
      <w:b/>
      <w:sz w:val="24"/>
      <w:lang w:eastAsia="sk-SK"/>
    </w:rPr>
  </w:style>
  <w:style w:type="paragraph" w:styleId="BodyText2">
    <w:name w:val="Body Text 2"/>
    <w:basedOn w:val="Normal"/>
    <w:link w:val="BodyText2Char"/>
    <w:rsid w:val="00F26AD1"/>
    <w:pPr>
      <w:jc w:val="both"/>
    </w:pPr>
    <w:rPr>
      <w:rFonts w:asciiTheme="minorHAnsi" w:eastAsia="Calibri" w:hAnsiTheme="minorHAnsi" w:cstheme="minorBidi"/>
      <w:b/>
      <w:szCs w:val="22"/>
      <w:lang w:eastAsia="sk-SK"/>
    </w:rPr>
  </w:style>
  <w:style w:type="character" w:customStyle="1" w:styleId="BodyText2Char1">
    <w:name w:val="Body Text 2 Char1"/>
    <w:basedOn w:val="DefaultParagraphFont"/>
    <w:uiPriority w:val="99"/>
    <w:semiHidden/>
    <w:rsid w:val="00F26AD1"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BodyTextIndent">
    <w:name w:val="Body Text Indent"/>
    <w:basedOn w:val="Normal"/>
    <w:link w:val="BodyTextIndentChar"/>
    <w:uiPriority w:val="99"/>
    <w:rsid w:val="00F26AD1"/>
    <w:pPr>
      <w:tabs>
        <w:tab w:val="left" w:pos="720"/>
      </w:tabs>
      <w:ind w:left="720"/>
      <w:jc w:val="both"/>
    </w:pPr>
    <w:rPr>
      <w:szCs w:val="24"/>
      <w:lang w:eastAsia="sk-SK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26AD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">
    <w:name w:val="Základní text"/>
    <w:rsid w:val="00F26AD1"/>
    <w:pPr>
      <w:tabs>
        <w:tab w:val="left" w:pos="720"/>
      </w:tabs>
      <w:spacing w:after="24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ja-JP"/>
    </w:rPr>
  </w:style>
  <w:style w:type="paragraph" w:styleId="BodyTextIndent2">
    <w:name w:val="Body Text Indent 2"/>
    <w:basedOn w:val="Normal"/>
    <w:link w:val="BodyTextIndent2Char"/>
    <w:uiPriority w:val="99"/>
    <w:rsid w:val="00F26AD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26AD1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BodyTextIndent3Char">
    <w:name w:val="Body Text Indent 3 Char"/>
    <w:link w:val="BodyTextIndent3"/>
    <w:locked/>
    <w:rsid w:val="00F26AD1"/>
    <w:rPr>
      <w:sz w:val="24"/>
      <w:lang w:eastAsia="sk-SK"/>
    </w:rPr>
  </w:style>
  <w:style w:type="paragraph" w:styleId="BodyTextIndent3">
    <w:name w:val="Body Text Indent 3"/>
    <w:basedOn w:val="Normal"/>
    <w:link w:val="BodyTextIndent3Char"/>
    <w:rsid w:val="00F26AD1"/>
    <w:pPr>
      <w:ind w:firstLine="708"/>
      <w:jc w:val="both"/>
    </w:pPr>
    <w:rPr>
      <w:rFonts w:asciiTheme="minorHAnsi" w:eastAsia="Calibri" w:hAnsiTheme="minorHAnsi" w:cstheme="minorBidi"/>
      <w:szCs w:val="22"/>
      <w:lang w:eastAsia="sk-SK"/>
    </w:rPr>
  </w:style>
  <w:style w:type="character" w:customStyle="1" w:styleId="BodyTextIndent3Char1">
    <w:name w:val="Body Text Indent 3 Char1"/>
    <w:basedOn w:val="DefaultParagraphFont"/>
    <w:uiPriority w:val="99"/>
    <w:semiHidden/>
    <w:rsid w:val="00F26AD1"/>
    <w:rPr>
      <w:rFonts w:ascii="Times New Roman" w:eastAsia="Times New Roman" w:hAnsi="Times New Roman" w:cs="Times New Roman"/>
      <w:sz w:val="16"/>
      <w:szCs w:val="16"/>
      <w:lang w:eastAsia="ja-JP"/>
    </w:rPr>
  </w:style>
  <w:style w:type="character" w:customStyle="1" w:styleId="TitleChar">
    <w:name w:val="Title Char"/>
    <w:link w:val="Title"/>
    <w:locked/>
    <w:rsid w:val="00F26AD1"/>
    <w:rPr>
      <w:b/>
      <w:sz w:val="24"/>
      <w:lang w:eastAsia="ja-JP"/>
    </w:rPr>
  </w:style>
  <w:style w:type="paragraph" w:styleId="Title">
    <w:name w:val="Title"/>
    <w:basedOn w:val="Normal"/>
    <w:link w:val="TitleChar"/>
    <w:qFormat/>
    <w:rsid w:val="00F26AD1"/>
    <w:pPr>
      <w:jc w:val="center"/>
    </w:pPr>
    <w:rPr>
      <w:rFonts w:asciiTheme="minorHAnsi" w:eastAsia="Calibri" w:hAnsiTheme="minorHAnsi" w:cstheme="minorBidi"/>
      <w:b/>
      <w:szCs w:val="22"/>
    </w:rPr>
  </w:style>
  <w:style w:type="character" w:customStyle="1" w:styleId="TitleChar1">
    <w:name w:val="Title Char1"/>
    <w:basedOn w:val="DefaultParagraphFont"/>
    <w:uiPriority w:val="10"/>
    <w:rsid w:val="00F26A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DocumentMapChar">
    <w:name w:val="Document Map Char"/>
    <w:link w:val="DocumentMap"/>
    <w:semiHidden/>
    <w:locked/>
    <w:rsid w:val="00F26AD1"/>
    <w:rPr>
      <w:rFonts w:ascii="Tahoma" w:hAnsi="Tahoma"/>
      <w:sz w:val="24"/>
      <w:shd w:val="clear" w:color="auto" w:fill="000080"/>
      <w:lang w:eastAsia="sk-SK"/>
    </w:rPr>
  </w:style>
  <w:style w:type="paragraph" w:styleId="NormalIndent">
    <w:name w:val="Normal Indent"/>
    <w:basedOn w:val="Normal"/>
    <w:uiPriority w:val="99"/>
    <w:rsid w:val="00F26AD1"/>
    <w:pPr>
      <w:ind w:left="708"/>
    </w:pPr>
  </w:style>
  <w:style w:type="paragraph" w:styleId="DocumentMap">
    <w:name w:val="Document Map"/>
    <w:basedOn w:val="Normal"/>
    <w:link w:val="DocumentMapChar"/>
    <w:semiHidden/>
    <w:rsid w:val="00F26AD1"/>
    <w:pPr>
      <w:shd w:val="clear" w:color="auto" w:fill="000080"/>
    </w:pPr>
    <w:rPr>
      <w:rFonts w:ascii="Tahoma" w:eastAsia="Calibri" w:hAnsi="Tahoma" w:cstheme="minorBidi"/>
      <w:szCs w:val="22"/>
      <w:lang w:eastAsia="sk-SK"/>
    </w:rPr>
  </w:style>
  <w:style w:type="character" w:customStyle="1" w:styleId="DocumentMapChar1">
    <w:name w:val="Document Map Char1"/>
    <w:basedOn w:val="DefaultParagraphFont"/>
    <w:uiPriority w:val="99"/>
    <w:semiHidden/>
    <w:rsid w:val="00F26AD1"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Style">
    <w:name w:val="Style"/>
    <w:rsid w:val="00F26A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EndnoteText">
    <w:name w:val="endnote text"/>
    <w:basedOn w:val="Normal"/>
    <w:link w:val="EndnoteTextChar"/>
    <w:uiPriority w:val="99"/>
    <w:semiHidden/>
    <w:rsid w:val="00F26AD1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26AD1"/>
    <w:rPr>
      <w:rFonts w:ascii="Times New Roman" w:eastAsia="Times New Roman" w:hAnsi="Times New Roman" w:cs="Times New Roman"/>
      <w:sz w:val="20"/>
      <w:szCs w:val="20"/>
      <w:lang w:eastAsia="ja-JP"/>
    </w:rPr>
  </w:style>
  <w:style w:type="numbering" w:customStyle="1" w:styleId="tl11">
    <w:name w:val="Štýl11"/>
    <w:rsid w:val="00F26AD1"/>
    <w:pPr>
      <w:numPr>
        <w:numId w:val="1"/>
      </w:numPr>
    </w:pPr>
  </w:style>
  <w:style w:type="character" w:styleId="EndnoteReference">
    <w:name w:val="endnote reference"/>
    <w:basedOn w:val="DefaultParagraphFont"/>
    <w:uiPriority w:val="99"/>
    <w:semiHidden/>
    <w:rsid w:val="00F26AD1"/>
    <w:rPr>
      <w:vertAlign w:val="superscript"/>
    </w:rPr>
  </w:style>
  <w:style w:type="paragraph" w:styleId="Header">
    <w:name w:val="header"/>
    <w:basedOn w:val="Normal"/>
    <w:link w:val="HeaderChar"/>
    <w:uiPriority w:val="99"/>
    <w:rsid w:val="00F26AD1"/>
    <w:pPr>
      <w:tabs>
        <w:tab w:val="center" w:pos="4536"/>
        <w:tab w:val="right" w:pos="9072"/>
      </w:tabs>
    </w:pPr>
    <w:rPr>
      <w:lang w:val="cs-CZ"/>
    </w:rPr>
  </w:style>
  <w:style w:type="character" w:customStyle="1" w:styleId="HeaderChar">
    <w:name w:val="Header Char"/>
    <w:basedOn w:val="DefaultParagraphFont"/>
    <w:link w:val="Header"/>
    <w:uiPriority w:val="99"/>
    <w:rsid w:val="00F26AD1"/>
    <w:rPr>
      <w:rFonts w:ascii="Times New Roman" w:eastAsia="Times New Roman" w:hAnsi="Times New Roman" w:cs="Times New Roman"/>
      <w:sz w:val="24"/>
      <w:szCs w:val="20"/>
      <w:lang w:val="cs-CZ" w:eastAsia="ja-JP"/>
    </w:rPr>
  </w:style>
  <w:style w:type="table" w:styleId="TableGrid">
    <w:name w:val="Table Grid"/>
    <w:basedOn w:val="TableNormal"/>
    <w:uiPriority w:val="59"/>
    <w:rsid w:val="00F26A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6AD1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6AD1"/>
    <w:rPr>
      <w:rFonts w:ascii="Tahoma" w:hAnsi="Tahoma" w:cs="Tahoma"/>
      <w:sz w:val="16"/>
      <w:szCs w:val="16"/>
      <w:lang w:eastAsia="sk-S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AD1"/>
    <w:rPr>
      <w:rFonts w:ascii="Tahoma" w:eastAsia="Times New Roman" w:hAnsi="Tahoma" w:cs="Tahoma"/>
      <w:sz w:val="16"/>
      <w:szCs w:val="16"/>
      <w:lang w:eastAsia="sk-SK"/>
    </w:rPr>
  </w:style>
  <w:style w:type="numbering" w:customStyle="1" w:styleId="tl1">
    <w:name w:val="Štýl1"/>
    <w:rsid w:val="00F26AD1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ind w:left="180"/>
      <w:jc w:val="center"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2Char">
    <w:name w:val="Nadpis 2 Char"/>
    <w:basedOn w:val="Predvolenpsmoodseku"/>
    <w:link w:val="Nadpis2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3Char">
    <w:name w:val="Nadpis 3 Char"/>
    <w:basedOn w:val="Predvolenpsmoodseku"/>
    <w:link w:val="Nadpis3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4Char">
    <w:name w:val="Nadpis 4 Char"/>
    <w:basedOn w:val="Predvolenpsmoodseku"/>
    <w:link w:val="Nadpis4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PtaChar">
    <w:name w:val="Päta Char"/>
    <w:link w:val="Pta"/>
    <w:locked/>
    <w:rPr>
      <w:lang w:val="cs-CZ" w:eastAsia="ja-JP"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rFonts w:asciiTheme="minorHAnsi" w:eastAsia="Calibri" w:hAnsiTheme="minorHAnsi" w:cstheme="minorBidi"/>
      <w:sz w:val="22"/>
      <w:szCs w:val="22"/>
      <w:lang w:val="cs-CZ"/>
    </w:rPr>
  </w:style>
  <w:style w:type="character" w:customStyle="1" w:styleId="FooterChar1">
    <w:name w:val="Footer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TextpoznmkypodiarouChar">
    <w:name w:val="Text poznámky pod čiarou Char"/>
    <w:link w:val="Textpoznmkypodiarou"/>
    <w:semiHidden/>
    <w:locked/>
    <w:rPr>
      <w:lang w:eastAsia="ja-JP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poznmkypodiarou">
    <w:name w:val="footnote text"/>
    <w:basedOn w:val="Normlny"/>
    <w:link w:val="TextpoznmkypodiarouChar"/>
    <w:semiHidden/>
    <w:rPr>
      <w:rFonts w:asciiTheme="minorHAnsi" w:eastAsia="Calibri" w:hAnsiTheme="minorHAnsi" w:cstheme="minorBidi"/>
      <w:sz w:val="22"/>
      <w:szCs w:val="22"/>
    </w:rPr>
  </w:style>
  <w:style w:type="character" w:customStyle="1" w:styleId="FootnoteTextChar1">
    <w:name w:val="Footnote Text Char1"/>
    <w:basedOn w:val="Predvolenpsmoodseku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ZkladntextChar">
    <w:name w:val="Základný text Char"/>
    <w:link w:val="Zkladntext"/>
    <w:locked/>
    <w:rPr>
      <w:sz w:val="24"/>
      <w:lang w:eastAsia="ja-JP"/>
    </w:rPr>
  </w:style>
  <w:style w:type="character" w:styleId="Odkaznapoznmkupodiarou">
    <w:name w:val="footnote reference"/>
    <w:basedOn w:val="Predvolenpsmoodseku"/>
    <w:uiPriority w:val="99"/>
    <w:semiHidden/>
    <w:rPr>
      <w:vertAlign w:val="superscript"/>
    </w:rPr>
  </w:style>
  <w:style w:type="paragraph" w:styleId="Zkladntext">
    <w:name w:val="Body Text"/>
    <w:basedOn w:val="Normlny"/>
    <w:link w:val="ZkladntextChar"/>
    <w:pPr>
      <w:jc w:val="both"/>
    </w:pPr>
    <w:rPr>
      <w:rFonts w:asciiTheme="minorHAnsi" w:eastAsia="Calibri" w:hAnsiTheme="minorHAnsi" w:cstheme="minorBidi"/>
      <w:szCs w:val="22"/>
    </w:rPr>
  </w:style>
  <w:style w:type="character" w:customStyle="1" w:styleId="BodyTextChar1">
    <w:name w:val="Body Text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kladntext2Char">
    <w:name w:val="Základný text 2 Char"/>
    <w:link w:val="Zkladntext2"/>
    <w:locked/>
    <w:rPr>
      <w:b/>
      <w:sz w:val="24"/>
      <w:lang w:eastAsia="sk-SK"/>
    </w:rPr>
  </w:style>
  <w:style w:type="paragraph" w:styleId="Zkladntext2">
    <w:name w:val="Body Text 2"/>
    <w:basedOn w:val="Normlny"/>
    <w:link w:val="Zkladntext2Char"/>
    <w:pPr>
      <w:jc w:val="both"/>
    </w:pPr>
    <w:rPr>
      <w:rFonts w:asciiTheme="minorHAnsi" w:eastAsia="Calibri" w:hAnsiTheme="minorHAnsi" w:cstheme="minorBidi"/>
      <w:b/>
      <w:szCs w:val="22"/>
      <w:lang w:eastAsia="sk-SK"/>
    </w:rPr>
  </w:style>
  <w:style w:type="character" w:customStyle="1" w:styleId="BodyText2Char1">
    <w:name w:val="Body Text 2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Zarkazkladnhotextu">
    <w:name w:val="Body Text Indent"/>
    <w:basedOn w:val="Normlny"/>
    <w:link w:val="ZarkazkladnhotextuChar"/>
    <w:uiPriority w:val="99"/>
    <w:pPr>
      <w:tabs>
        <w:tab w:val="left" w:pos="720"/>
      </w:tabs>
      <w:ind w:left="720"/>
      <w:jc w:val="both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0">
    <w:name w:val="Základní text"/>
    <w:pPr>
      <w:tabs>
        <w:tab w:val="left" w:pos="720"/>
      </w:tabs>
      <w:spacing w:after="24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ja-JP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arkazkladnhotextu3Char">
    <w:name w:val="Zarážka základného textu 3 Char"/>
    <w:link w:val="Zarkazkladnhotextu3"/>
    <w:locked/>
    <w:rPr>
      <w:sz w:val="24"/>
      <w:lang w:eastAsia="sk-SK"/>
    </w:rPr>
  </w:style>
  <w:style w:type="paragraph" w:styleId="Zarkazkladnhotextu3">
    <w:name w:val="Body Text Indent 3"/>
    <w:basedOn w:val="Normlny"/>
    <w:link w:val="Zarkazkladnhotextu3Char"/>
    <w:pPr>
      <w:ind w:firstLine="708"/>
      <w:jc w:val="both"/>
    </w:pPr>
    <w:rPr>
      <w:rFonts w:asciiTheme="minorHAnsi" w:eastAsia="Calibri" w:hAnsiTheme="minorHAnsi" w:cstheme="minorBidi"/>
      <w:szCs w:val="22"/>
      <w:lang w:eastAsia="sk-SK"/>
    </w:rPr>
  </w:style>
  <w:style w:type="character" w:customStyle="1" w:styleId="BodyTextIndent3Char1">
    <w:name w:val="Body Text Indent 3 Char1"/>
    <w:basedOn w:val="Predvolenpsmoodseku"/>
    <w:uiPriority w:val="99"/>
    <w:semiHidden/>
    <w:rPr>
      <w:rFonts w:ascii="Times New Roman" w:eastAsia="Times New Roman" w:hAnsi="Times New Roman" w:cs="Times New Roman"/>
      <w:sz w:val="16"/>
      <w:szCs w:val="16"/>
      <w:lang w:eastAsia="ja-JP"/>
    </w:rPr>
  </w:style>
  <w:style w:type="character" w:customStyle="1" w:styleId="NzovChar">
    <w:name w:val="Názov Char"/>
    <w:link w:val="Nzov"/>
    <w:locked/>
    <w:rPr>
      <w:b/>
      <w:sz w:val="24"/>
      <w:lang w:eastAsia="ja-JP"/>
    </w:rPr>
  </w:style>
  <w:style w:type="paragraph" w:styleId="Nzov">
    <w:name w:val="Title"/>
    <w:basedOn w:val="Normlny"/>
    <w:link w:val="NzovChar"/>
    <w:qFormat/>
    <w:pPr>
      <w:jc w:val="center"/>
    </w:pPr>
    <w:rPr>
      <w:rFonts w:asciiTheme="minorHAnsi" w:eastAsia="Calibri" w:hAnsiTheme="minorHAnsi" w:cstheme="minorBidi"/>
      <w:b/>
      <w:szCs w:val="22"/>
    </w:rPr>
  </w:style>
  <w:style w:type="character" w:customStyle="1" w:styleId="TitleChar1">
    <w:name w:val="Title Char1"/>
    <w:basedOn w:val="Predvolenpsmoodsek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ruktradokumentuChar">
    <w:name w:val="Štruktúra dokumentu Char"/>
    <w:link w:val="truktradokumentu"/>
    <w:semiHidden/>
    <w:locked/>
    <w:rPr>
      <w:rFonts w:ascii="Tahoma" w:hAnsi="Tahoma"/>
      <w:sz w:val="24"/>
      <w:shd w:val="clear" w:color="auto" w:fill="000080"/>
      <w:lang w:eastAsia="sk-SK"/>
    </w:rPr>
  </w:style>
  <w:style w:type="paragraph" w:styleId="Normlnysozarkami">
    <w:name w:val="Normal Indent"/>
    <w:basedOn w:val="Normlny"/>
    <w:uiPriority w:val="99"/>
    <w:pPr>
      <w:ind w:left="708"/>
    </w:pPr>
  </w:style>
  <w:style w:type="paragraph" w:styleId="truktradokumentu">
    <w:name w:val="Document Map"/>
    <w:basedOn w:val="Normlny"/>
    <w:link w:val="truktradokumentuChar"/>
    <w:semiHidden/>
    <w:pPr>
      <w:shd w:val="clear" w:color="auto" w:fill="000080"/>
    </w:pPr>
    <w:rPr>
      <w:rFonts w:ascii="Tahoma" w:eastAsia="Calibri" w:hAnsi="Tahoma" w:cstheme="minorBidi"/>
      <w:szCs w:val="22"/>
      <w:lang w:eastAsia="sk-SK"/>
    </w:rPr>
  </w:style>
  <w:style w:type="character" w:customStyle="1" w:styleId="DocumentMapChar1">
    <w:name w:val="Document Map Char1"/>
    <w:basedOn w:val="Predvolenpsmoodseku"/>
    <w:uiPriority w:val="99"/>
    <w:semiHidden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Style">
    <w:name w:val="Styl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numbering" w:customStyle="1" w:styleId="tl11">
    <w:name w:val="Štýl11"/>
    <w:pPr>
      <w:numPr>
        <w:numId w:val="1"/>
      </w:numPr>
    </w:pPr>
  </w:style>
  <w:style w:type="character" w:styleId="Odkaznavysvetlivku">
    <w:name w:val="endnote reference"/>
    <w:basedOn w:val="Predvolenpsmoodseku"/>
    <w:uiPriority w:val="99"/>
    <w:semiHidden/>
    <w:rPr>
      <w:vertAlign w:val="superscript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Times New Roman"/>
      <w:sz w:val="24"/>
      <w:szCs w:val="20"/>
      <w:lang w:val="cs-CZ" w:eastAsia="ja-JP"/>
    </w:rPr>
  </w:style>
  <w:style w:type="table" w:styleId="Mriekatabuky">
    <w:name w:val="Table Grid"/>
    <w:basedOn w:val="Normlnatabuka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numbering" w:customStyle="1" w:styleId="tl1">
    <w:name w:val="Štýl1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8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73089-EB6F-4403-88E9-FB81130A8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4581</Words>
  <Characters>26117</Characters>
  <Application>Microsoft Word 12.0.0</Application>
  <DocSecurity>0</DocSecurity>
  <Lines>217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Katarína Paliderová</cp:lastModifiedBy>
  <cp:revision>2</cp:revision>
  <cp:lastPrinted>2014-04-14T12:41:00Z</cp:lastPrinted>
  <dcterms:created xsi:type="dcterms:W3CDTF">2016-06-30T21:08:00Z</dcterms:created>
  <dcterms:modified xsi:type="dcterms:W3CDTF">2016-06-30T21:08:00Z</dcterms:modified>
</cp:coreProperties>
</file>