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/>
      </w:pPr>
      <w:r>
        <w:rPr/>
      </w:r>
    </w:p>
    <w:p>
      <w:pPr>
        <w:pStyle w:val="style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</w:r>
    </w:p>
    <w:p>
      <w:pPr>
        <w:pStyle w:val="style0"/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>Výročná správa neziskovej organizácie KUBKO</w:t>
      </w:r>
      <w:r>
        <w:rPr/>
        <w:t xml:space="preserve"> ,</w:t>
      </w:r>
      <w:r>
        <w:rPr>
          <w:rFonts w:ascii="Calibri" w:hAnsi="Calibri"/>
          <w:b/>
          <w:sz w:val="36"/>
          <w:szCs w:val="36"/>
        </w:rPr>
        <w:t xml:space="preserve"> n.o. za rok 2015</w:t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center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rPr/>
      </w:pPr>
      <w:r>
        <w:rPr>
          <w:rFonts w:ascii="Calibri" w:hAnsi="Calibri"/>
          <w:sz w:val="32"/>
          <w:szCs w:val="32"/>
        </w:rPr>
        <w:t>V </w:t>
      </w:r>
      <w:r>
        <w:rPr/>
        <w:t>Pohronskej Polhore</w:t>
      </w:r>
      <w:r>
        <w:rPr>
          <w:rFonts w:ascii="Calibri" w:hAnsi="Calibri"/>
          <w:sz w:val="32"/>
          <w:szCs w:val="32"/>
        </w:rPr>
        <w:t xml:space="preserve">, </w:t>
      </w:r>
      <w:r>
        <w:rPr/>
        <w:t>31/03/2016</w:t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b/>
          <w:sz w:val="32"/>
          <w:szCs w:val="32"/>
          <w:u w:val="single"/>
        </w:rPr>
      </w:pPr>
      <w:r>
        <w:rPr>
          <w:rFonts w:ascii="Calibri" w:hAnsi="Calibri"/>
          <w:b/>
          <w:sz w:val="32"/>
          <w:szCs w:val="32"/>
          <w:u w:val="single"/>
        </w:rPr>
        <w:t>OBSAH:</w:t>
      </w:r>
    </w:p>
    <w:p>
      <w:pPr>
        <w:pStyle w:val="style0"/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</w:r>
    </w:p>
    <w:p>
      <w:pPr>
        <w:sectPr>
          <w:headerReference r:id="rId2" w:type="default"/>
          <w:footerReference r:id="rId3" w:type="default"/>
          <w:type w:val="nextPage"/>
          <w:pgSz w:h="16838" w:w="11906"/>
          <w:pgMar w:bottom="1417" w:footer="708" w:gutter="0" w:header="708" w:left="1417" w:right="1417" w:top="1417"/>
          <w:pgNumType w:fmt="decimal"/>
          <w:formProt w:val="false"/>
          <w:textDirection w:val="lrTb"/>
          <w:docGrid w:charSpace="0" w:linePitch="360" w:type="default"/>
        </w:sectPr>
      </w:pPr>
    </w:p>
    <w:p>
      <w:pPr>
        <w:pStyle w:val="style32"/>
        <w:tabs>
          <w:tab w:leader="dot" w:pos="9072" w:val="right"/>
        </w:tabs>
        <w:rPr>
          <w:rStyle w:val="style22"/>
        </w:rPr>
      </w:pPr>
      <w:r>
        <w:fldChar w:fldCharType="begin"/>
      </w:r>
      <w:r>
        <w:instrText> TOC </w:instrText>
      </w:r>
      <w:r>
        <w:fldChar w:fldCharType="separate"/>
      </w:r>
      <w:hyperlink w:anchor="__RefHeading__284_827352341">
        <w:r>
          <w:rPr>
            <w:rStyle w:val="style22"/>
          </w:rPr>
          <w:t>1. ÚVOD</w:t>
          <w:tab/>
          <w:t>4</w:t>
        </w:r>
      </w:hyperlink>
    </w:p>
    <w:p>
      <w:pPr>
        <w:pStyle w:val="style32"/>
        <w:tabs>
          <w:tab w:leader="dot" w:pos="9072" w:val="right"/>
        </w:tabs>
        <w:rPr>
          <w:rStyle w:val="style22"/>
        </w:rPr>
      </w:pPr>
      <w:hyperlink w:anchor="__RefHeading__286_827352341">
        <w:r>
          <w:rPr>
            <w:rStyle w:val="style22"/>
          </w:rPr>
          <w:t>2. Prehľad činností uskutočnených organizáciou za rok 2015</w:t>
          <w:tab/>
          <w:t>5</w:t>
        </w:r>
      </w:hyperlink>
    </w:p>
    <w:p>
      <w:pPr>
        <w:pStyle w:val="style32"/>
        <w:tabs>
          <w:tab w:leader="dot" w:pos="9072" w:val="right"/>
        </w:tabs>
        <w:rPr>
          <w:rStyle w:val="style22"/>
        </w:rPr>
      </w:pPr>
      <w:hyperlink w:anchor="__RefHeading__288_827352341">
        <w:r>
          <w:rPr>
            <w:rStyle w:val="style22"/>
          </w:rPr>
          <w:t>3. Ročná účtovná závierka a zhodnotenie základných údajov v nej obsiahnutých</w:t>
          <w:tab/>
          <w:t>5</w:t>
        </w:r>
      </w:hyperlink>
    </w:p>
    <w:p>
      <w:pPr>
        <w:pStyle w:val="style32"/>
        <w:tabs>
          <w:tab w:leader="dot" w:pos="9072" w:val="right"/>
        </w:tabs>
        <w:rPr>
          <w:rStyle w:val="style22"/>
        </w:rPr>
      </w:pPr>
      <w:hyperlink w:anchor="__RefHeading__290_827352341">
        <w:r>
          <w:rPr>
            <w:rStyle w:val="style22"/>
          </w:rPr>
          <w:t>4. Výrok audítora k ročnej účtovnej závierke.</w:t>
          <w:tab/>
          <w:t>5</w:t>
        </w:r>
      </w:hyperlink>
    </w:p>
    <w:p>
      <w:pPr>
        <w:pStyle w:val="style32"/>
        <w:tabs>
          <w:tab w:leader="dot" w:pos="9072" w:val="right"/>
        </w:tabs>
        <w:rPr>
          <w:rStyle w:val="style22"/>
        </w:rPr>
      </w:pPr>
      <w:hyperlink w:anchor="__RefHeading__292_827352341">
        <w:r>
          <w:rPr>
            <w:rStyle w:val="style22"/>
          </w:rPr>
          <w:t>5. Prehľad o peňažných príjmoch a výdavkov</w:t>
          <w:tab/>
          <w:t>6</w:t>
        </w:r>
      </w:hyperlink>
    </w:p>
    <w:p>
      <w:pPr>
        <w:pStyle w:val="style32"/>
        <w:tabs>
          <w:tab w:leader="dot" w:pos="9072" w:val="right"/>
        </w:tabs>
        <w:rPr>
          <w:rStyle w:val="style22"/>
        </w:rPr>
      </w:pPr>
      <w:hyperlink w:anchor="__RefHeading__294_827352341">
        <w:r>
          <w:rPr>
            <w:rStyle w:val="style22"/>
          </w:rPr>
          <w:t>6. Stav a pohyb majetku a záväzkov organizácie</w:t>
          <w:tab/>
          <w:t>6</w:t>
        </w:r>
      </w:hyperlink>
    </w:p>
    <w:p>
      <w:pPr>
        <w:pStyle w:val="style32"/>
        <w:tabs>
          <w:tab w:leader="dot" w:pos="9072" w:val="right"/>
        </w:tabs>
        <w:rPr>
          <w:rStyle w:val="style22"/>
        </w:rPr>
      </w:pPr>
      <w:hyperlink w:anchor="__RefHeading__296_827352341">
        <w:r>
          <w:rPr>
            <w:rStyle w:val="style22"/>
          </w:rPr>
          <w:t>7. Zmeny a nové zloženie organizácie</w:t>
          <w:tab/>
          <w:t>7</w:t>
        </w:r>
      </w:hyperlink>
    </w:p>
    <w:p>
      <w:pPr>
        <w:pStyle w:val="style31"/>
        <w:tabs>
          <w:tab w:leader="dot" w:pos="9072" w:val="right"/>
        </w:tabs>
        <w:rPr>
          <w:rStyle w:val="style22"/>
        </w:rPr>
      </w:pPr>
      <w:hyperlink w:anchor="__RefHeading__298_827352341">
        <w:r>
          <w:rPr>
            <w:rStyle w:val="style22"/>
          </w:rPr>
          <w:t>Ing. Monika Vraniaková (meno a priezvisko)</w:t>
          <w:tab/>
          <w:t>7</w:t>
        </w:r>
      </w:hyperlink>
    </w:p>
    <w:p>
      <w:pPr>
        <w:pStyle w:val="style31"/>
        <w:tabs>
          <w:tab w:leader="dot" w:pos="9072" w:val="right"/>
        </w:tabs>
        <w:rPr>
          <w:rStyle w:val="style22"/>
        </w:rPr>
      </w:pPr>
      <w:hyperlink w:anchor="__RefHeading__300_827352341">
        <w:r>
          <w:rPr>
            <w:rStyle w:val="style22"/>
          </w:rPr>
          <w:t>Riaditeľ n.o.</w:t>
          <w:tab/>
          <w:t>7</w:t>
        </w:r>
      </w:hyperlink>
      <w:r>
        <w:fldChar w:fldCharType="end"/>
      </w:r>
    </w:p>
    <w:p>
      <w:pPr>
        <w:sectPr>
          <w:type w:val="continuous"/>
          <w:pgSz w:h="16838" w:w="11906"/>
          <w:pgMar w:bottom="1417" w:footer="708" w:gutter="0" w:header="708" w:left="1417" w:right="1417" w:top="1417"/>
          <w:formProt/>
          <w:textDirection w:val="lrTb"/>
          <w:docGrid w:charSpace="0" w:linePitch="360" w:type="default"/>
        </w:sectPr>
      </w:pPr>
    </w:p>
    <w:p>
      <w:pPr>
        <w:pStyle w:val="style0"/>
        <w:jc w:val="both"/>
        <w:rPr/>
      </w:pPr>
      <w:hyperlink w:anchor="_Toc276040636">
        <w:r>
          <w:rPr/>
        </w:r>
      </w:hyperlink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1"/>
        <w:rPr>
          <w:rFonts w:ascii="Calibri" w:hAnsi="Calibri"/>
          <w:b/>
          <w:caps/>
          <w:sz w:val="32"/>
          <w:szCs w:val="32"/>
        </w:rPr>
      </w:pPr>
      <w:bookmarkStart w:id="0" w:name="__RefHeading__284_827352341"/>
      <w:bookmarkStart w:id="1" w:name="_Toc276040636"/>
      <w:bookmarkStart w:id="2" w:name="_Toc276040532"/>
      <w:bookmarkEnd w:id="0"/>
      <w:r>
        <w:rPr>
          <w:rFonts w:ascii="Calibri" w:hAnsi="Calibri"/>
          <w:b/>
          <w:caps/>
          <w:sz w:val="32"/>
          <w:szCs w:val="32"/>
        </w:rPr>
        <w:t xml:space="preserve">1.  </w:t>
      </w:r>
      <w:bookmarkStart w:id="3" w:name="_Toc276040533"/>
      <w:bookmarkEnd w:id="1"/>
      <w:bookmarkEnd w:id="2"/>
      <w:bookmarkEnd w:id="3"/>
      <w:r>
        <w:rPr>
          <w:rFonts w:ascii="Calibri" w:hAnsi="Calibri"/>
          <w:b/>
          <w:caps/>
          <w:sz w:val="32"/>
          <w:szCs w:val="32"/>
        </w:rPr>
        <w:t>ÚVOD</w:t>
      </w:r>
    </w:p>
    <w:p>
      <w:pPr>
        <w:pStyle w:val="style0"/>
        <w:ind w:hanging="0" w:left="360" w:right="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Nezisková organizácia KUBKO  n.o. so sídlom: Pod Poľanou 540/30, Pohronská Polhora, IČO: 50037081 vznikla dňa 04/11/2015 na základe rozhodnutia OU-BB-OVVS1-2015/028614-002 úradu v Banskej Bystrici podľa ustanovenia § 9 ods. 1 zákona č. 213/1997 Z . z. o neziskových organizáciách poskytujúcich všeobecne prospešné služby v platnom znení (ďalej len „</w:t>
      </w:r>
      <w:r>
        <w:rPr>
          <w:rFonts w:ascii="Calibri" w:hAnsi="Calibri"/>
          <w:b/>
          <w:sz w:val="22"/>
          <w:szCs w:val="22"/>
        </w:rPr>
        <w:t>Zákon</w:t>
      </w:r>
      <w:r>
        <w:rPr>
          <w:rFonts w:ascii="Calibri" w:hAnsi="Calibri"/>
          <w:sz w:val="22"/>
          <w:szCs w:val="22"/>
        </w:rPr>
        <w:t>“).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KUBKO, n. o poskytuje nasledovné všeobecne prospešné služby:</w:t>
      </w:r>
    </w:p>
    <w:p>
      <w:pPr>
        <w:pStyle w:val="style0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Poskytovanie sociálnej pomoci a humanitárnej starostlivosti,</w:t>
      </w:r>
    </w:p>
    <w:p>
      <w:pPr>
        <w:pStyle w:val="style0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Poskytovanie zdravotnej starostlivosti,</w:t>
      </w:r>
    </w:p>
    <w:p>
      <w:pPr>
        <w:pStyle w:val="style0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Vzdelávanie, výchova a rozvoj telesnej kultúry.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33"/>
        <w:rPr/>
      </w:pPr>
      <w:r>
        <w:rPr/>
        <w:t xml:space="preserve">Hlavným cieľom KUBKO, n.o. je najmä: primerané </w:t>
      </w:r>
      <w:r>
        <w:rPr>
          <w:color w:val="00000A"/>
        </w:rPr>
        <w:t>a</w:t>
      </w:r>
      <w:r>
        <w:rPr/>
        <w:t xml:space="preserve"> odborné vzdelávanie rodičom zdravotne postihnutých detí, súvisiace sociálne a zdravotné služby, s následným vybudovaním a prevádzkovaním denného pobytového centra pre zdravotne postihnuté deti </w:t>
      </w:r>
    </w:p>
    <w:p>
      <w:pPr>
        <w:pStyle w:val="style33"/>
        <w:rPr/>
      </w:pPr>
      <w:r>
        <w:rPr/>
        <w:t>a mládež s možnosťou využitia aktívnych a inovatívnych regeneračných a rehabilitačných služieb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sú:</w:t>
      </w:r>
    </w:p>
    <w:p>
      <w:pPr>
        <w:pStyle w:val="style0"/>
        <w:rPr>
          <w:sz w:val="22"/>
          <w:szCs w:val="22"/>
        </w:rPr>
      </w:pPr>
      <w:r>
        <w:rPr>
          <w:sz w:val="22"/>
          <w:szCs w:val="22"/>
        </w:rPr>
        <w:t>a) správna rada</w:t>
      </w:r>
    </w:p>
    <w:p>
      <w:pPr>
        <w:pStyle w:val="style0"/>
        <w:rPr>
          <w:sz w:val="22"/>
          <w:szCs w:val="22"/>
        </w:rPr>
      </w:pPr>
      <w:r>
        <w:rPr>
          <w:sz w:val="22"/>
          <w:szCs w:val="22"/>
        </w:rPr>
        <w:t>b) riaditeľ</w:t>
      </w:r>
    </w:p>
    <w:p>
      <w:pPr>
        <w:pStyle w:val="style0"/>
        <w:rPr>
          <w:sz w:val="22"/>
          <w:szCs w:val="22"/>
        </w:rPr>
      </w:pPr>
      <w:r>
        <w:rPr>
          <w:sz w:val="22"/>
          <w:szCs w:val="22"/>
        </w:rPr>
        <w:t>c) revízor</w:t>
      </w:r>
    </w:p>
    <w:p>
      <w:pPr>
        <w:pStyle w:val="style0"/>
        <w:ind w:hanging="0" w:left="360" w:right="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1"/>
        <w:rPr>
          <w:rFonts w:ascii="Calibri" w:hAnsi="Calibri"/>
          <w:b/>
          <w:bCs/>
          <w:caps/>
          <w:sz w:val="32"/>
        </w:rPr>
      </w:pPr>
      <w:bookmarkStart w:id="4" w:name="__RefHeading__286_827352341"/>
      <w:bookmarkStart w:id="5" w:name="_Toc276040637"/>
      <w:bookmarkStart w:id="6" w:name="_Toc276040534"/>
      <w:bookmarkEnd w:id="4"/>
      <w:r>
        <w:rPr>
          <w:rFonts w:ascii="Calibri" w:hAnsi="Calibri"/>
          <w:b/>
          <w:bCs/>
          <w:caps/>
          <w:sz w:val="32"/>
        </w:rPr>
        <w:t>2. Prehľad činností uskutočnených organizáciou za rok 20</w:t>
      </w:r>
      <w:bookmarkEnd w:id="5"/>
      <w:bookmarkEnd w:id="6"/>
      <w:r>
        <w:rPr>
          <w:rFonts w:ascii="Calibri" w:hAnsi="Calibri"/>
          <w:b/>
          <w:bCs/>
          <w:caps/>
          <w:sz w:val="32"/>
        </w:rPr>
        <w:t>15</w:t>
      </w:r>
    </w:p>
    <w:p>
      <w:pPr>
        <w:pStyle w:val="style0"/>
        <w:ind w:hanging="0" w:left="360" w:right="0"/>
        <w:jc w:val="both"/>
        <w:rPr>
          <w:rFonts w:ascii="Calibri" w:hAnsi="Calibri"/>
          <w:caps/>
          <w:sz w:val="32"/>
          <w:szCs w:val="32"/>
        </w:rPr>
      </w:pPr>
      <w:r>
        <w:rPr>
          <w:rFonts w:ascii="Calibri" w:hAnsi="Calibri"/>
          <w:caps/>
          <w:sz w:val="32"/>
          <w:szCs w:val="32"/>
        </w:rPr>
      </w:r>
    </w:p>
    <w:p>
      <w:pPr>
        <w:pStyle w:val="style0"/>
        <w:ind w:hanging="0" w:left="360" w:right="0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Počas roka 2015 KUBKO, n.o. nerealizovala žiadnu činnosť </w:t>
      </w:r>
      <w:r>
        <w:rPr>
          <w:rFonts w:ascii="Calibri" w:hAnsi="Calibri"/>
          <w:i/>
          <w:sz w:val="22"/>
          <w:szCs w:val="22"/>
        </w:rPr>
        <w:t>nakoľko bola založená len 04.11.2015.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1"/>
        <w:rPr>
          <w:rFonts w:ascii="Calibri" w:hAnsi="Calibri"/>
          <w:b/>
          <w:bCs/>
          <w:caps/>
          <w:sz w:val="32"/>
        </w:rPr>
      </w:pPr>
      <w:bookmarkStart w:id="7" w:name="__RefHeading__288_827352341"/>
      <w:bookmarkStart w:id="8" w:name="_Toc276040638"/>
      <w:bookmarkEnd w:id="7"/>
      <w:bookmarkEnd w:id="8"/>
      <w:r>
        <w:rPr>
          <w:rFonts w:ascii="Calibri" w:hAnsi="Calibri"/>
          <w:b/>
          <w:bCs/>
          <w:caps/>
          <w:sz w:val="32"/>
        </w:rPr>
        <w:t>3. Ročná účtovná závierka a zhodnotenie základných údajov v nej obsiahnutých</w:t>
      </w:r>
    </w:p>
    <w:p>
      <w:pPr>
        <w:pStyle w:val="style0"/>
        <w:jc w:val="both"/>
        <w:rPr>
          <w:rFonts w:ascii="Calibri" w:hAnsi="Calibri"/>
          <w:caps/>
          <w:sz w:val="32"/>
          <w:szCs w:val="32"/>
        </w:rPr>
      </w:pPr>
      <w:r>
        <w:rPr>
          <w:rFonts w:ascii="Calibri" w:hAnsi="Calibri"/>
          <w:caps/>
          <w:sz w:val="32"/>
          <w:szCs w:val="3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súlade s § 4 ods. 2 zákona č. 431/2002 Z. z. o účtovníctve v platnom znení  KUBKO, n.o. účtuje v sústave jednoduchého účtovníctva. 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Účtovná závierka je výsledným produktom účtovnej uzávierky. Príprava a zostavenie účtovnej závierky sa skladá z 3 etáp :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2 etapa: uzatvorenie účtovných kníh t.j. účtovná uzávierka 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3 etapa: zostavenie účtovných výkazov t.j. účtovná závierka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Účtovná uzávierka predstavuje sústavu  výstupných informácií z bežného účtovníctva. Na základe účtovnej závierky KUBKO, n. o. zostavuje Výkaz o majetku a záväzkoch a Výkaz o príjmoch a výdavkoch. Tieto výkazy tvoria účtovnú závierku v jednoduchom účtovníctve a sú súčasťou daňového priznania dani z príjmov.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1"/>
        <w:rPr>
          <w:rFonts w:ascii="Calibri" w:hAnsi="Calibri"/>
          <w:b/>
          <w:bCs/>
          <w:caps/>
          <w:sz w:val="32"/>
        </w:rPr>
      </w:pPr>
      <w:bookmarkStart w:id="9" w:name="__RefHeading__290_827352341"/>
      <w:bookmarkStart w:id="10" w:name="_Toc276040639"/>
      <w:bookmarkEnd w:id="9"/>
      <w:r>
        <w:rPr>
          <w:rFonts w:ascii="Calibri" w:hAnsi="Calibri"/>
          <w:b/>
          <w:bCs/>
          <w:caps/>
          <w:sz w:val="32"/>
        </w:rPr>
        <w:t>4. Výrok audítora k ročnej účtovnej závierke</w:t>
      </w:r>
      <w:bookmarkEnd w:id="10"/>
      <w:r>
        <w:rPr>
          <w:rFonts w:ascii="Calibri" w:hAnsi="Calibri"/>
          <w:b/>
          <w:bCs/>
          <w:caps/>
          <w:sz w:val="32"/>
        </w:rPr>
        <w:t>.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Vzhľadom na skutočnosť, že dotácie zo štátneho rozpočtu, z rozpočtu štátneho fondu a z rozpočtu obce neprekročili v roku 2015 sumu 33 193 eur a príjmy KUBKO, n.o. za rok 2015 neboli vyššie ako 165 969 eur, audit v súlade s § 33 ods. 3 Zákona vykonaný nebol.-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  <w:lang w:val="en-US"/>
        </w:rPr>
      </w:pPr>
      <w:r>
        <w:rPr>
          <w:rFonts w:ascii="Calibri" w:hAnsi="Calibri"/>
          <w:sz w:val="22"/>
          <w:szCs w:val="22"/>
          <w:lang w:val="en-US"/>
        </w:rPr>
      </w:r>
    </w:p>
    <w:p>
      <w:pPr>
        <w:pStyle w:val="style1"/>
        <w:rPr>
          <w:rFonts w:ascii="Calibri" w:hAnsi="Calibri"/>
          <w:b/>
          <w:bCs/>
          <w:caps/>
          <w:sz w:val="32"/>
        </w:rPr>
      </w:pPr>
      <w:bookmarkStart w:id="11" w:name="__RefHeading__292_827352341"/>
      <w:bookmarkStart w:id="12" w:name="_Toc276040640"/>
      <w:bookmarkEnd w:id="11"/>
      <w:bookmarkEnd w:id="12"/>
      <w:r>
        <w:rPr>
          <w:rFonts w:ascii="Calibri" w:hAnsi="Calibri"/>
          <w:b/>
          <w:bCs/>
          <w:caps/>
          <w:sz w:val="32"/>
        </w:rPr>
        <w:t>5. Prehľad o peňažných príjmoch a výdavkov</w:t>
      </w:r>
    </w:p>
    <w:p>
      <w:pPr>
        <w:pStyle w:val="style0"/>
        <w:jc w:val="both"/>
        <w:rPr>
          <w:rFonts w:ascii="Calibri" w:hAnsi="Calibri"/>
          <w:caps/>
          <w:sz w:val="32"/>
          <w:szCs w:val="32"/>
        </w:rPr>
      </w:pPr>
      <w:r>
        <w:rPr>
          <w:rFonts w:ascii="Calibri" w:hAnsi="Calibri"/>
          <w:caps/>
          <w:sz w:val="32"/>
          <w:szCs w:val="32"/>
        </w:rPr>
      </w:r>
    </w:p>
    <w:tbl>
      <w:tblPr>
        <w:tblW w:type="dxa" w:w="9072"/>
        <w:jc w:val="left"/>
        <w:tblInd w:type="dxa" w:w="468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1903"/>
        <w:gridCol w:w="2388"/>
        <w:gridCol w:w="2389"/>
        <w:gridCol w:w="2391"/>
      </w:tblGrid>
      <w:tr>
        <w:trPr>
          <w:trHeight w:hRule="atLeast" w:val="450"/>
          <w:cantSplit w:val="false"/>
        </w:trPr>
        <w:tc>
          <w:tcPr>
            <w:tcW w:type="dxa" w:w="19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type="dxa" w:w="238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type="dxa" w:w="238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type="dxa" w:w="2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31.12.2015</w:t>
            </w:r>
          </w:p>
        </w:tc>
      </w:tr>
      <w:tr>
        <w:trPr>
          <w:trHeight w:hRule="atLeast" w:val="350"/>
          <w:cantSplit w:val="false"/>
        </w:trPr>
        <w:tc>
          <w:tcPr>
            <w:tcW w:type="dxa" w:w="19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type="dxa" w:w="238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type="dxa" w:w="238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type="dxa" w:w="2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</w:tbl>
    <w:p>
      <w:pPr>
        <w:pStyle w:val="style0"/>
        <w:ind w:hanging="0" w:left="360" w:right="0"/>
        <w:jc w:val="both"/>
        <w:rPr>
          <w:rFonts w:ascii="Calibri" w:hAnsi="Calibri"/>
          <w:caps/>
          <w:sz w:val="32"/>
          <w:szCs w:val="32"/>
        </w:rPr>
      </w:pPr>
      <w:r>
        <w:rPr>
          <w:rFonts w:ascii="Calibri" w:hAnsi="Calibri"/>
          <w:caps/>
          <w:sz w:val="32"/>
          <w:szCs w:val="32"/>
        </w:rPr>
      </w:r>
    </w:p>
    <w:p>
      <w:pPr>
        <w:pStyle w:val="style1"/>
        <w:rPr>
          <w:rFonts w:ascii="Calibri" w:hAnsi="Calibri"/>
          <w:b/>
          <w:bCs/>
          <w:caps/>
          <w:sz w:val="32"/>
        </w:rPr>
      </w:pPr>
      <w:bookmarkStart w:id="13" w:name="__RefHeading__294_827352341"/>
      <w:bookmarkStart w:id="14" w:name="_Toc276040641"/>
      <w:bookmarkEnd w:id="13"/>
      <w:bookmarkEnd w:id="14"/>
      <w:r>
        <w:rPr>
          <w:rFonts w:ascii="Calibri" w:hAnsi="Calibri"/>
          <w:b/>
          <w:bCs/>
          <w:caps/>
          <w:sz w:val="32"/>
        </w:rPr>
        <w:t>6. Stav a pohyb majetku a záväzkov organizácie</w:t>
      </w:r>
    </w:p>
    <w:p>
      <w:pPr>
        <w:pStyle w:val="style0"/>
        <w:ind w:hanging="0" w:left="360" w:right="0"/>
        <w:jc w:val="both"/>
        <w:rPr>
          <w:rFonts w:ascii="Calibri" w:hAnsi="Calibri"/>
          <w:caps/>
          <w:sz w:val="32"/>
          <w:szCs w:val="32"/>
        </w:rPr>
      </w:pPr>
      <w:r>
        <w:rPr>
          <w:rFonts w:ascii="Calibri" w:hAnsi="Calibri"/>
          <w:caps/>
          <w:sz w:val="32"/>
          <w:szCs w:val="3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Stav aktív a pasív k 31.12.2015 predstavuje sumu 0 EUR. Z toho majetok vo výške  0 EUR pozostáva z:</w:t>
      </w:r>
    </w:p>
    <w:p>
      <w:pPr>
        <w:pStyle w:val="style0"/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dlhodobého majetku: 0 EUR</w:t>
      </w:r>
    </w:p>
    <w:p>
      <w:pPr>
        <w:pStyle w:val="style0"/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krátkodobého majetku:  0 EUR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31.12.2015 predstavoval (i):</w:t>
      </w:r>
    </w:p>
    <w:p>
      <w:pPr>
        <w:pStyle w:val="style0"/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finančný majetok čiastku 0 EUR;</w:t>
      </w:r>
    </w:p>
    <w:p>
      <w:pPr>
        <w:pStyle w:val="style0"/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obežný majetok čiastku 0 EUR;</w:t>
      </w:r>
    </w:p>
    <w:p>
      <w:pPr>
        <w:pStyle w:val="style0"/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vlastné zdroje krytia majetku čiastku 0 EUR;</w:t>
      </w:r>
    </w:p>
    <w:p>
      <w:pPr>
        <w:pStyle w:val="style0"/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cudzie zdroje krytia majetku čiastku 0 EUR;</w:t>
      </w:r>
    </w:p>
    <w:p>
      <w:pPr>
        <w:pStyle w:val="style0"/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hmotnému majetku čiastku 0 EUR;</w:t>
      </w:r>
    </w:p>
    <w:p>
      <w:pPr>
        <w:pStyle w:val="style0"/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nehmotnému majetku čiastku 0 EUR</w:t>
      </w:r>
    </w:p>
    <w:p>
      <w:pPr>
        <w:pStyle w:val="style0"/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 záväzky čiastku 0  EUR;</w:t>
      </w:r>
    </w:p>
    <w:p>
      <w:pPr>
        <w:pStyle w:val="style0"/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krátkodobé záväzky čiastku 0 EUR.</w:t>
      </w:r>
    </w:p>
    <w:p>
      <w:pPr>
        <w:pStyle w:val="style0"/>
        <w:ind w:hanging="0" w:left="360" w:right="0"/>
        <w:jc w:val="both"/>
        <w:rPr>
          <w:rFonts w:ascii="Calibri" w:hAnsi="Calibri"/>
          <w:caps/>
          <w:sz w:val="32"/>
          <w:szCs w:val="32"/>
        </w:rPr>
      </w:pPr>
      <w:r>
        <w:rPr>
          <w:rFonts w:ascii="Calibri" w:hAnsi="Calibri"/>
          <w:caps/>
          <w:sz w:val="32"/>
          <w:szCs w:val="32"/>
        </w:rPr>
      </w:r>
    </w:p>
    <w:p>
      <w:pPr>
        <w:pStyle w:val="style1"/>
        <w:rPr>
          <w:rFonts w:ascii="Calibri" w:hAnsi="Calibri"/>
          <w:b/>
          <w:bCs/>
          <w:caps/>
          <w:sz w:val="32"/>
        </w:rPr>
      </w:pPr>
      <w:bookmarkStart w:id="15" w:name="__RefHeading__296_827352341"/>
      <w:bookmarkStart w:id="16" w:name="_Toc276040642"/>
      <w:bookmarkEnd w:id="15"/>
      <w:bookmarkEnd w:id="16"/>
      <w:r>
        <w:rPr>
          <w:rFonts w:ascii="Calibri" w:hAnsi="Calibri"/>
          <w:b/>
          <w:bCs/>
          <w:caps/>
          <w:sz w:val="32"/>
        </w:rPr>
        <w:t>7. Zmeny a nové zloženie organizácie</w:t>
      </w:r>
    </w:p>
    <w:p>
      <w:pPr>
        <w:pStyle w:val="style0"/>
        <w:jc w:val="both"/>
        <w:rPr>
          <w:rFonts w:ascii="Calibri" w:hAnsi="Calibri"/>
          <w:b/>
          <w:caps/>
          <w:sz w:val="32"/>
          <w:szCs w:val="32"/>
          <w:u w:val="single"/>
        </w:rPr>
      </w:pPr>
      <w:r>
        <w:rPr>
          <w:rFonts w:ascii="Calibri" w:hAnsi="Calibri"/>
          <w:b/>
          <w:caps/>
          <w:sz w:val="32"/>
          <w:szCs w:val="32"/>
          <w:u w:val="single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Správna rada KUBKO,  n.o. sa neuzniesla na žiadnych zmenách v štatúte ani zložení orgánov neziskovej organizácie.</w:t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style0"/>
        <w:ind w:hanging="0" w:left="360" w:right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tbl>
      <w:tblPr>
        <w:tblW w:type="dxa" w:w="9072"/>
        <w:jc w:val="left"/>
        <w:tblInd w:type="dxa" w:w="6629"/>
        <w:tblBorders>
          <w:top w:val="nil"/>
          <w:left w:val="nil"/>
          <w:bottom w:color="00000A" w:space="0" w:sz="4" w:val="single"/>
          <w:insideH w:color="00000A" w:space="0" w:sz="4" w:val="single"/>
          <w:right w:val="nil"/>
          <w:insideV w:val="nil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9072"/>
      </w:tblGrid>
      <w:tr>
        <w:trPr>
          <w:cantSplit w:val="false"/>
        </w:trPr>
        <w:tc>
          <w:tcPr>
            <w:tcW w:type="dxa" w:w="9072"/>
            <w:tcBorders>
              <w:top w:val="nil"/>
              <w:left w:val="nil"/>
              <w:bottom w:color="00000A" w:space="0" w:sz="4" w:val="single"/>
              <w:right w:val="nil"/>
            </w:tcBorders>
            <w:shd w:fill="auto" w:val="clear"/>
          </w:tcPr>
          <w:p>
            <w:pPr>
              <w:pStyle w:val="style2"/>
              <w:spacing w:after="60" w:before="240"/>
              <w:contextualSpacing w:val="false"/>
              <w:rPr>
                <w:rFonts w:ascii="Calibri" w:hAnsi="Calibri"/>
                <w:i w:val="false"/>
                <w:sz w:val="22"/>
                <w:szCs w:val="22"/>
              </w:rPr>
            </w:pPr>
            <w:r>
              <w:rPr>
                <w:rFonts w:ascii="Calibri" w:hAnsi="Calibri"/>
                <w:i w:val="false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9072"/>
            <w:tcBorders>
              <w:top w:color="00000A" w:space="0" w:sz="4" w:val="single"/>
              <w:left w:val="nil"/>
              <w:bottom w:val="nil"/>
              <w:right w:val="nil"/>
            </w:tcBorders>
            <w:shd w:fill="auto" w:val="clear"/>
          </w:tcPr>
          <w:p>
            <w:pPr>
              <w:pStyle w:val="style2"/>
              <w:spacing w:after="0" w:before="0"/>
              <w:contextualSpacing w:val="false"/>
              <w:jc w:val="center"/>
              <w:rPr>
                <w:rFonts w:ascii="Calibri" w:hAnsi="Calibri"/>
                <w:b w:val="false"/>
                <w:sz w:val="22"/>
                <w:szCs w:val="22"/>
              </w:rPr>
            </w:pPr>
            <w:bookmarkStart w:id="17" w:name="__RefHeading__298_827352341"/>
            <w:bookmarkStart w:id="18" w:name="_Toc276040643"/>
            <w:bookmarkStart w:id="19" w:name="_Toc276040535"/>
            <w:bookmarkEnd w:id="17"/>
            <w:bookmarkEnd w:id="18"/>
            <w:bookmarkEnd w:id="19"/>
            <w:r>
              <w:rPr>
                <w:rFonts w:ascii="Calibri" w:hAnsi="Calibri"/>
                <w:b w:val="false"/>
                <w:sz w:val="22"/>
                <w:szCs w:val="22"/>
              </w:rPr>
              <w:t>Ing. Monika Vraniaková (meno a priezvisko)</w:t>
            </w:r>
          </w:p>
          <w:p>
            <w:pPr>
              <w:pStyle w:val="style2"/>
              <w:spacing w:after="0" w:before="0"/>
              <w:contextualSpacing w:val="false"/>
              <w:jc w:val="center"/>
              <w:rPr>
                <w:rFonts w:ascii="Calibri" w:hAnsi="Calibri"/>
                <w:sz w:val="22"/>
                <w:szCs w:val="22"/>
              </w:rPr>
            </w:pPr>
            <w:bookmarkStart w:id="20" w:name="__RefHeading__300_827352341"/>
            <w:bookmarkStart w:id="21" w:name="_Toc276040644"/>
            <w:bookmarkStart w:id="22" w:name="_Toc276040536"/>
            <w:bookmarkEnd w:id="20"/>
            <w:r>
              <w:rPr>
                <w:rFonts w:ascii="Calibri" w:hAnsi="Calibri"/>
                <w:sz w:val="22"/>
                <w:szCs w:val="22"/>
              </w:rPr>
              <w:t>Riaditeľ n.o.</w:t>
            </w:r>
            <w:bookmarkEnd w:id="21"/>
            <w:bookmarkEnd w:id="22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>
      <w:pPr>
        <w:pStyle w:val="style0"/>
        <w:ind w:hanging="0" w:left="360" w:right="0"/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</w:r>
    </w:p>
    <w:p>
      <w:pPr>
        <w:pStyle w:val="style32"/>
        <w:rPr/>
      </w:pPr>
      <w:r>
        <w:rPr/>
      </w:r>
    </w:p>
    <w:sectPr>
      <w:type w:val="continuous"/>
      <w:pgSz w:h="16838" w:w="11906"/>
      <w:pgMar w:bottom="1417" w:footer="708" w:gutter="0" w:header="708" w:left="1417" w:right="1417" w:top="1417"/>
      <w:pgNumType w:fmt="decimal"/>
      <w:formProt w:val="false"/>
      <w:textDirection w:val="lrTb"/>
      <w:docGrid w:charSpace="0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Arial">
    <w:charset w:val="ee"/>
    <w:family w:val="swiss"/>
    <w:pitch w:val="variable"/>
  </w:font>
  <w:font w:name="Calibri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r>
      <w:rPr>
        <w:rStyle w:val="style19"/>
      </w:rPr>
      <w:fldChar w:fldCharType="begin"/>
    </w:r>
    <w:r>
      <w:instrText> PAGE </w:instrText>
    </w:r>
    <w:r>
      <w:fldChar w:fldCharType="separate"/>
    </w:r>
    <w:r>
      <w:t>4</w:t>
    </w:r>
    <w:r>
      <w:fldChar w:fldCharType="end"/>
    </w:r>
    <w:pStyle w:val="style29"/>
    <w:top w:val="nil"/>
    <w:left w:val="nil"/>
    <w:bottom w:val="nil"/>
    <w:insideH w:val="nil"/>
    <w:right w:val="nil"/>
    <w:insideV w:val="nil"/>
    <w:pPr>
      <w:rPr>
        <w:rStyle w:val="style19"/>
      </w:rPr>
    </w:pPr>
    <w:r>
      <w:pict>
        <v:rect fillcolor="#FFFFFF" style="position:absolute;width:6.05pt;height:13.8pt;margin-top:0.05pt;margin-left:223.8pt">
          <v:textbox inset="0pt,0pt,0pt,0pt">
            <w:txbxContent>
              <w:p>
                <w:r>
                  <w:rPr>
                    <w:rStyle w:val="style19"/>
                  </w:rPr>
                  <w:fldChar w:fldCharType="begin"/>
                </w:r>
                <w:r>
                  <w:instrText> PAGE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  <w:pStyle w:val="style29"/>
                <w:top w:val="nil"/>
                <w:left w:val="nil"/>
                <w:bottom w:val="nil"/>
                <w:insideH w:val="nil"/>
                <w:right w:val="nil"/>
                <w:insideV w:val="nil"/>
                <w:pPr>
                  <w:rPr>
                    <w:rStyle w:val="style19"/>
                  </w:rPr>
                </w:pPr>
              </w:p>
            </w:txbxContent>
          </v:textbox>
          <w10:wrap side="largest" type="square"/>
        </v:rect>
      </w:pict>
    </w:r>
  </w:p>
  <w:p>
    <w:pPr>
      <w:pStyle w:val="style29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0"/>
      <w:rPr>
        <w:rFonts w:ascii="Calibri" w:hAnsi="Calibri"/>
        <w:b/>
        <w:sz w:val="22"/>
        <w:szCs w:val="22"/>
      </w:rPr>
    </w:pPr>
    <w:r>
      <w:rPr>
        <w:rFonts w:ascii="Calibri" w:hAnsi="Calibri"/>
        <w:b/>
        <w:sz w:val="22"/>
        <w:szCs w:val="22"/>
      </w:rPr>
      <w:t>KUBKO, n.  o.,  so sídlom: Pod Poľanou 540/30, 979 56 Pohronská Polhora, IČO: 50037081</w:t>
    </w:r>
  </w:p>
  <w:p>
    <w:pPr>
      <w:pStyle w:val="style28"/>
      <w:rPr/>
    </w:pPr>
    <w:r>
      <w:rPr/>
    </w:r>
  </w:p>
</w:hdr>
</file>

<file path=word/numbering.xml><?xml version="1.0" encoding="utf-8"?>
<w:numbering xmlns:o="urn:schemas-microsoft-com:office:office" xmlns:r="http://schemas.openxmlformats.org/officeDocument/2006/relationships" xmlns:v="urn:schemas-microsoft-com:vml" xmlns:w="http://schemas.openxmlformats.org/wordprocessingml/2006/main">
  <w:abstractNum w:abstractNumId="1">
    <w:lvl w:ilvl="0">
      <w:start w:val="1"/>
      <w:numFmt w:val="lowerLetter"/>
      <w:lvlText w:val="%1)"/>
      <w:lvlJc w:val="left"/>
      <w:pPr>
        <w:tabs>
          <w:tab w:pos="720" w:val="num"/>
        </w:tabs>
        <w:ind w:hanging="360" w:left="720"/>
      </w:pPr>
    </w:lvl>
    <w:lvl w:ilvl="1">
      <w:start w:val="1"/>
      <w:numFmt w:val="lowerLetter"/>
      <w:lvlText w:val="%2."/>
      <w:lvlJc w:val="left"/>
      <w:pPr>
        <w:tabs>
          <w:tab w:pos="1440" w:val="num"/>
        </w:tabs>
        <w:ind w:hanging="360" w:left="1440"/>
      </w:pPr>
    </w:lvl>
    <w:lvl w:ilvl="2">
      <w:start w:val="1"/>
      <w:numFmt w:val="lowerRoman"/>
      <w:lvlText w:val="%3."/>
      <w:lvlJc w:val="right"/>
      <w:pPr>
        <w:tabs>
          <w:tab w:pos="2160" w:val="num"/>
        </w:tabs>
        <w:ind w:hanging="180" w:left="2160"/>
      </w:pPr>
    </w:lvl>
    <w:lvl w:ilvl="3">
      <w:start w:val="1"/>
      <w:numFmt w:val="decimal"/>
      <w:lvlText w:val="%4."/>
      <w:lvlJc w:val="left"/>
      <w:pPr>
        <w:tabs>
          <w:tab w:pos="2880" w:val="num"/>
        </w:tabs>
        <w:ind w:hanging="360" w:left="2880"/>
      </w:pPr>
    </w:lvl>
    <w:lvl w:ilvl="4">
      <w:start w:val="1"/>
      <w:numFmt w:val="lowerLetter"/>
      <w:lvlText w:val="%5."/>
      <w:lvlJc w:val="left"/>
      <w:pPr>
        <w:tabs>
          <w:tab w:pos="3600" w:val="num"/>
        </w:tabs>
        <w:ind w:hanging="360" w:left="3600"/>
      </w:pPr>
    </w:lvl>
    <w:lvl w:ilvl="5">
      <w:start w:val="1"/>
      <w:numFmt w:val="lowerRoman"/>
      <w:lvlText w:val="%6."/>
      <w:lvlJc w:val="right"/>
      <w:pPr>
        <w:tabs>
          <w:tab w:pos="4320" w:val="num"/>
        </w:tabs>
        <w:ind w:hanging="180" w:left="4320"/>
      </w:pPr>
    </w:lvl>
    <w:lvl w:ilvl="6">
      <w:start w:val="1"/>
      <w:numFmt w:val="decimal"/>
      <w:lvlText w:val="%7."/>
      <w:lvlJc w:val="left"/>
      <w:pPr>
        <w:tabs>
          <w:tab w:pos="5040" w:val="num"/>
        </w:tabs>
        <w:ind w:hanging="360" w:left="5040"/>
      </w:pPr>
    </w:lvl>
    <w:lvl w:ilvl="7">
      <w:start w:val="1"/>
      <w:numFmt w:val="lowerLetter"/>
      <w:lvlText w:val="%8."/>
      <w:lvlJc w:val="left"/>
      <w:pPr>
        <w:tabs>
          <w:tab w:pos="5760" w:val="num"/>
        </w:tabs>
        <w:ind w:hanging="360" w:left="5760"/>
      </w:pPr>
    </w:lvl>
    <w:lvl w:ilvl="8">
      <w:start w:val="1"/>
      <w:numFmt w:val="lowerRoman"/>
      <w:lvlText w:val="%9."/>
      <w:lvlJc w:val="right"/>
      <w:pPr>
        <w:tabs>
          <w:tab w:pos="6480" w:val="num"/>
        </w:tabs>
        <w:ind w:hanging="180" w:left="6480"/>
      </w:pPr>
    </w:lvl>
  </w:abstractNum>
  <w:abstractNum w:abstractNumId="2">
    <w:lvl w:ilvl="0">
      <w:start w:val="1"/>
      <w:numFmt w:val="lowerLetter"/>
      <w:lvlText w:val="%1)"/>
      <w:lvlJc w:val="left"/>
      <w:pPr>
        <w:tabs>
          <w:tab w:pos="720" w:val="num"/>
        </w:tabs>
        <w:ind w:hanging="360" w:left="720"/>
      </w:pPr>
    </w:lvl>
    <w:lvl w:ilvl="1">
      <w:start w:val="1"/>
      <w:numFmt w:val="lowerLetter"/>
      <w:lvlText w:val="%2."/>
      <w:lvlJc w:val="left"/>
      <w:pPr>
        <w:tabs>
          <w:tab w:pos="1440" w:val="num"/>
        </w:tabs>
        <w:ind w:hanging="360" w:left="1440"/>
      </w:pPr>
    </w:lvl>
    <w:lvl w:ilvl="2">
      <w:start w:val="1"/>
      <w:numFmt w:val="lowerRoman"/>
      <w:lvlText w:val="%3."/>
      <w:lvlJc w:val="right"/>
      <w:pPr>
        <w:tabs>
          <w:tab w:pos="2160" w:val="num"/>
        </w:tabs>
        <w:ind w:hanging="180" w:left="2160"/>
      </w:pPr>
    </w:lvl>
    <w:lvl w:ilvl="3">
      <w:start w:val="1"/>
      <w:numFmt w:val="decimal"/>
      <w:lvlText w:val="%4."/>
      <w:lvlJc w:val="left"/>
      <w:pPr>
        <w:tabs>
          <w:tab w:pos="2880" w:val="num"/>
        </w:tabs>
        <w:ind w:hanging="360" w:left="2880"/>
      </w:pPr>
    </w:lvl>
    <w:lvl w:ilvl="4">
      <w:start w:val="1"/>
      <w:numFmt w:val="lowerLetter"/>
      <w:lvlText w:val="%5."/>
      <w:lvlJc w:val="left"/>
      <w:pPr>
        <w:tabs>
          <w:tab w:pos="3600" w:val="num"/>
        </w:tabs>
        <w:ind w:hanging="360" w:left="3600"/>
      </w:pPr>
    </w:lvl>
    <w:lvl w:ilvl="5">
      <w:start w:val="1"/>
      <w:numFmt w:val="lowerRoman"/>
      <w:lvlText w:val="%6."/>
      <w:lvlJc w:val="right"/>
      <w:pPr>
        <w:tabs>
          <w:tab w:pos="4320" w:val="num"/>
        </w:tabs>
        <w:ind w:hanging="180" w:left="4320"/>
      </w:pPr>
    </w:lvl>
    <w:lvl w:ilvl="6">
      <w:start w:val="1"/>
      <w:numFmt w:val="decimal"/>
      <w:lvlText w:val="%7."/>
      <w:lvlJc w:val="left"/>
      <w:pPr>
        <w:tabs>
          <w:tab w:pos="5040" w:val="num"/>
        </w:tabs>
        <w:ind w:hanging="360" w:left="5040"/>
      </w:pPr>
    </w:lvl>
    <w:lvl w:ilvl="7">
      <w:start w:val="1"/>
      <w:numFmt w:val="lowerLetter"/>
      <w:lvlText w:val="%8."/>
      <w:lvlJc w:val="left"/>
      <w:pPr>
        <w:tabs>
          <w:tab w:pos="5760" w:val="num"/>
        </w:tabs>
        <w:ind w:hanging="360" w:left="5760"/>
      </w:pPr>
    </w:lvl>
    <w:lvl w:ilvl="8">
      <w:start w:val="1"/>
      <w:numFmt w:val="lowerRoman"/>
      <w:lvlText w:val="%9."/>
      <w:lvlJc w:val="right"/>
      <w:pPr>
        <w:tabs>
          <w:tab w:pos="6480" w:val="num"/>
        </w:tabs>
        <w:ind w:hanging="180" w:left="648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pos="720" w:val="num"/>
        </w:tabs>
        <w:ind w:hanging="360" w:left="720"/>
      </w:pPr>
    </w:lvl>
    <w:lvl w:ilvl="1">
      <w:start w:val="1"/>
      <w:numFmt w:val="lowerLetter"/>
      <w:lvlText w:val="%2."/>
      <w:lvlJc w:val="left"/>
      <w:pPr>
        <w:tabs>
          <w:tab w:pos="1440" w:val="num"/>
        </w:tabs>
        <w:ind w:hanging="360" w:left="1440"/>
      </w:pPr>
    </w:lvl>
    <w:lvl w:ilvl="2">
      <w:start w:val="1"/>
      <w:numFmt w:val="lowerRoman"/>
      <w:lvlText w:val="%3."/>
      <w:lvlJc w:val="right"/>
      <w:pPr>
        <w:tabs>
          <w:tab w:pos="2160" w:val="num"/>
        </w:tabs>
        <w:ind w:hanging="180" w:left="2160"/>
      </w:pPr>
    </w:lvl>
    <w:lvl w:ilvl="3">
      <w:start w:val="1"/>
      <w:numFmt w:val="decimal"/>
      <w:lvlText w:val="%4."/>
      <w:lvlJc w:val="left"/>
      <w:pPr>
        <w:tabs>
          <w:tab w:pos="2880" w:val="num"/>
        </w:tabs>
        <w:ind w:hanging="360" w:left="2880"/>
      </w:pPr>
    </w:lvl>
    <w:lvl w:ilvl="4">
      <w:start w:val="1"/>
      <w:numFmt w:val="lowerLetter"/>
      <w:lvlText w:val="%5."/>
      <w:lvlJc w:val="left"/>
      <w:pPr>
        <w:tabs>
          <w:tab w:pos="3600" w:val="num"/>
        </w:tabs>
        <w:ind w:hanging="360" w:left="3600"/>
      </w:pPr>
    </w:lvl>
    <w:lvl w:ilvl="5">
      <w:start w:val="1"/>
      <w:numFmt w:val="lowerRoman"/>
      <w:lvlText w:val="%6."/>
      <w:lvlJc w:val="right"/>
      <w:pPr>
        <w:tabs>
          <w:tab w:pos="4320" w:val="num"/>
        </w:tabs>
        <w:ind w:hanging="180" w:left="4320"/>
      </w:pPr>
    </w:lvl>
    <w:lvl w:ilvl="6">
      <w:start w:val="1"/>
      <w:numFmt w:val="decimal"/>
      <w:lvlText w:val="%7."/>
      <w:lvlJc w:val="left"/>
      <w:pPr>
        <w:tabs>
          <w:tab w:pos="5040" w:val="num"/>
        </w:tabs>
        <w:ind w:hanging="360" w:left="5040"/>
      </w:pPr>
    </w:lvl>
    <w:lvl w:ilvl="7">
      <w:start w:val="1"/>
      <w:numFmt w:val="lowerLetter"/>
      <w:lvlText w:val="%8."/>
      <w:lvlJc w:val="left"/>
      <w:pPr>
        <w:tabs>
          <w:tab w:pos="5760" w:val="num"/>
        </w:tabs>
        <w:ind w:hanging="360" w:left="5760"/>
      </w:pPr>
    </w:lvl>
    <w:lvl w:ilvl="8">
      <w:start w:val="1"/>
      <w:numFmt w:val="lowerRoman"/>
      <w:lvlText w:val="%9."/>
      <w:lvlJc w:val="right"/>
      <w:pPr>
        <w:tabs>
          <w:tab w:pos="6480" w:val="num"/>
        </w:tabs>
        <w:ind w:hanging="180" w:left="64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19"/>
  <w:defaultTabStop w:val="708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suppressAutoHyphens w:val="true"/>
    </w:pPr>
    <w:rPr>
      <w:rFonts w:ascii="Times New Roman" w:cs="Times New Roman" w:eastAsia="Times New Roman" w:hAnsi="Times New Roman"/>
      <w:color w:val="auto"/>
      <w:sz w:val="24"/>
      <w:szCs w:val="24"/>
      <w:lang w:bidi="ar-SA" w:eastAsia="sk-SK" w:val="sk-SK"/>
    </w:rPr>
  </w:style>
  <w:style w:styleId="style1" w:type="paragraph">
    <w:name w:val="Nadpis 1"/>
    <w:basedOn w:val="style0"/>
    <w:next w:val="style1"/>
    <w:pPr>
      <w:keepNext/>
      <w:jc w:val="both"/>
    </w:pPr>
    <w:rPr>
      <w:szCs w:val="20"/>
      <w:u w:val="single"/>
    </w:rPr>
  </w:style>
  <w:style w:styleId="style2" w:type="paragraph">
    <w:name w:val="Nadpis 2"/>
    <w:basedOn w:val="style0"/>
    <w:next w:val="style2"/>
    <w:pPr>
      <w:keepNext/>
      <w:spacing w:after="60" w:before="240"/>
      <w:contextualSpacing w:val="false"/>
    </w:pPr>
    <w:rPr>
      <w:rFonts w:ascii="Arial" w:cs="Arial" w:hAnsi="Arial"/>
      <w:b/>
      <w:bCs/>
      <w:i/>
      <w:iCs/>
      <w:sz w:val="28"/>
      <w:szCs w:val="28"/>
    </w:rPr>
  </w:style>
  <w:style w:styleId="style15" w:type="character">
    <w:name w:val="Default Paragraph Font"/>
    <w:next w:val="style15"/>
    <w:rPr/>
  </w:style>
  <w:style w:styleId="style16" w:type="character">
    <w:name w:val="Nadpis 1 Char"/>
    <w:basedOn w:val="style15"/>
    <w:next w:val="style16"/>
    <w:rPr>
      <w:sz w:val="24"/>
      <w:u w:val="single"/>
      <w:lang w:bidi="ar-SA" w:eastAsia="sk-SK" w:val="sk-SK"/>
    </w:rPr>
  </w:style>
  <w:style w:styleId="style17" w:type="character">
    <w:name w:val="Text poznámky pod čiarou Char"/>
    <w:basedOn w:val="style15"/>
    <w:next w:val="style17"/>
    <w:rPr>
      <w:lang w:bidi="ar-SA" w:eastAsia="sk-SK" w:val="cs-CZ"/>
    </w:rPr>
  </w:style>
  <w:style w:styleId="style18" w:type="character">
    <w:name w:val="footnote reference"/>
    <w:basedOn w:val="style15"/>
    <w:next w:val="style18"/>
    <w:rPr>
      <w:vertAlign w:val="superscript"/>
    </w:rPr>
  </w:style>
  <w:style w:styleId="style19" w:type="character">
    <w:name w:val="page number"/>
    <w:basedOn w:val="style15"/>
    <w:next w:val="style19"/>
    <w:rPr/>
  </w:style>
  <w:style w:styleId="style20" w:type="character">
    <w:name w:val="Internetový odkaz"/>
    <w:basedOn w:val="style15"/>
    <w:next w:val="style20"/>
    <w:rPr>
      <w:color w:val="0000FF"/>
      <w:u w:val="single"/>
      <w:lang w:bidi="zxx-" w:eastAsia="zxx-" w:val="zxx-"/>
    </w:rPr>
  </w:style>
  <w:style w:styleId="style21" w:type="character">
    <w:name w:val="Nadpis 2 Char"/>
    <w:basedOn w:val="style15"/>
    <w:next w:val="style21"/>
    <w:rPr>
      <w:rFonts w:ascii="Arial" w:cs="Arial" w:hAnsi="Arial"/>
      <w:b/>
      <w:bCs/>
      <w:i/>
      <w:iCs/>
      <w:sz w:val="28"/>
      <w:szCs w:val="28"/>
    </w:rPr>
  </w:style>
  <w:style w:styleId="style22" w:type="character">
    <w:name w:val="Odkaz na obsah"/>
    <w:next w:val="style22"/>
    <w:rPr/>
  </w:style>
  <w:style w:styleId="style23" w:type="paragraph">
    <w:name w:val="Nadpis"/>
    <w:basedOn w:val="style0"/>
    <w:next w:val="style24"/>
    <w:pPr>
      <w:keepNext/>
      <w:spacing w:after="120" w:before="240"/>
      <w:contextualSpacing w:val="false"/>
    </w:pPr>
    <w:rPr>
      <w:rFonts w:ascii="Arial" w:cs="Mangal" w:eastAsia="Lucida Sans Unicode" w:hAnsi="Arial"/>
      <w:sz w:val="28"/>
      <w:szCs w:val="28"/>
    </w:rPr>
  </w:style>
  <w:style w:styleId="style24" w:type="paragraph">
    <w:name w:val="Telo textu"/>
    <w:basedOn w:val="style0"/>
    <w:next w:val="style24"/>
    <w:pPr>
      <w:spacing w:after="120" w:before="0"/>
      <w:contextualSpacing w:val="false"/>
    </w:pPr>
    <w:rPr/>
  </w:style>
  <w:style w:styleId="style25" w:type="paragraph">
    <w:name w:val="Zoznam"/>
    <w:basedOn w:val="style24"/>
    <w:next w:val="style25"/>
    <w:pPr/>
    <w:rPr>
      <w:rFonts w:cs="Mangal"/>
    </w:rPr>
  </w:style>
  <w:style w:styleId="style26" w:type="paragraph">
    <w:name w:val="Popis"/>
    <w:basedOn w:val="style0"/>
    <w:next w:val="style26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7" w:type="paragraph">
    <w:name w:val="Index"/>
    <w:basedOn w:val="style0"/>
    <w:next w:val="style27"/>
    <w:pPr>
      <w:suppressLineNumbers/>
    </w:pPr>
    <w:rPr>
      <w:rFonts w:cs="Mangal"/>
    </w:rPr>
  </w:style>
  <w:style w:styleId="style28" w:type="paragraph">
    <w:name w:val="Hlavička"/>
    <w:basedOn w:val="style0"/>
    <w:next w:val="style28"/>
    <w:pPr>
      <w:tabs>
        <w:tab w:leader="none" w:pos="4536" w:val="center"/>
        <w:tab w:leader="none" w:pos="9072" w:val="right"/>
      </w:tabs>
    </w:pPr>
    <w:rPr/>
  </w:style>
  <w:style w:styleId="style29" w:type="paragraph">
    <w:name w:val="Päta"/>
    <w:basedOn w:val="style0"/>
    <w:next w:val="style29"/>
    <w:pPr>
      <w:tabs>
        <w:tab w:leader="none" w:pos="4536" w:val="center"/>
        <w:tab w:leader="none" w:pos="9072" w:val="right"/>
      </w:tabs>
    </w:pPr>
    <w:rPr/>
  </w:style>
  <w:style w:styleId="style30" w:type="paragraph">
    <w:name w:val="footnote text"/>
    <w:basedOn w:val="style0"/>
    <w:next w:val="style30"/>
    <w:pPr/>
    <w:rPr>
      <w:sz w:val="20"/>
      <w:szCs w:val="20"/>
      <w:lang w:val="cs-CZ"/>
    </w:rPr>
  </w:style>
  <w:style w:styleId="style31" w:type="paragraph">
    <w:name w:val="Obsah 2"/>
    <w:basedOn w:val="style0"/>
    <w:next w:val="style31"/>
    <w:pPr>
      <w:ind w:hanging="0" w:left="240" w:right="0"/>
    </w:pPr>
    <w:rPr/>
  </w:style>
  <w:style w:styleId="style32" w:type="paragraph">
    <w:name w:val="Obsah 1"/>
    <w:basedOn w:val="style0"/>
    <w:next w:val="style32"/>
    <w:pPr/>
    <w:rPr/>
  </w:style>
  <w:style w:styleId="style33" w:type="paragraph">
    <w:name w:val="No Spacing"/>
    <w:next w:val="style33"/>
    <w:pPr>
      <w:widowControl/>
      <w:suppressAutoHyphens w:val="true"/>
    </w:pPr>
    <w:rPr>
      <w:rFonts w:ascii="Calibri" w:cs="Times New Roman" w:eastAsia="Calibri" w:hAnsi="Calibri"/>
      <w:color w:val="000000"/>
      <w:sz w:val="22"/>
      <w:szCs w:val="22"/>
      <w:lang w:bidi="ar-SA" w:eastAsia="en-US" w:val="sk-SK"/>
    </w:rPr>
  </w:style>
  <w:style w:styleId="style34" w:type="paragraph">
    <w:name w:val="Obsah rámca"/>
    <w:basedOn w:val="style0"/>
    <w:next w:val="style34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2016-07-13T11:02:00Z</dcterms:created>
  <dc:creator>Uzivatel</dc:creator>
  <cp:lastModifiedBy>Marek</cp:lastModifiedBy>
  <cp:lastPrinted>2016-07-13T11:13:00Z</cp:lastPrinted>
  <dcterms:modified xsi:type="dcterms:W3CDTF">2016-07-13T11:14:00Z</dcterms:modified>
  <cp:revision>4</cp:revision>
  <dc:title>Výročná správa neziskovej organizácie</dc:title>
</cp:coreProperties>
</file>