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39E4" w:rsidRDefault="008239E4">
      <w:bookmarkStart w:id="0" w:name="_GoBack"/>
      <w:bookmarkEnd w:id="0"/>
    </w:p>
    <w:p w:rsidR="005E294E" w:rsidRDefault="005E294E"/>
    <w:p w:rsidR="005E294E" w:rsidRDefault="005E294E"/>
    <w:p w:rsidR="005E294E" w:rsidRDefault="005E294E" w:rsidP="005E294E">
      <w:pPr>
        <w:jc w:val="center"/>
        <w:rPr>
          <w:rFonts w:ascii="Calibri" w:hAnsi="Calibri"/>
          <w:b/>
          <w:sz w:val="44"/>
        </w:rPr>
      </w:pPr>
    </w:p>
    <w:p w:rsidR="005E294E" w:rsidRDefault="005E294E" w:rsidP="005E294E">
      <w:pPr>
        <w:jc w:val="center"/>
        <w:rPr>
          <w:rFonts w:ascii="Calibri" w:hAnsi="Calibri"/>
          <w:b/>
          <w:sz w:val="44"/>
        </w:rPr>
      </w:pPr>
    </w:p>
    <w:p w:rsidR="005E294E" w:rsidRDefault="005E294E" w:rsidP="005E294E">
      <w:pPr>
        <w:jc w:val="center"/>
        <w:rPr>
          <w:rFonts w:ascii="Calibri" w:hAnsi="Calibri"/>
          <w:b/>
          <w:sz w:val="44"/>
        </w:rPr>
      </w:pPr>
    </w:p>
    <w:p w:rsidR="0097577F" w:rsidRDefault="0097577F" w:rsidP="005E294E">
      <w:pPr>
        <w:jc w:val="center"/>
        <w:rPr>
          <w:rFonts w:ascii="Calibri" w:hAnsi="Calibri"/>
          <w:b/>
          <w:sz w:val="44"/>
        </w:rPr>
      </w:pPr>
    </w:p>
    <w:p w:rsidR="0097577F" w:rsidRDefault="0097577F" w:rsidP="005E294E">
      <w:pPr>
        <w:jc w:val="center"/>
        <w:rPr>
          <w:rFonts w:ascii="Calibri" w:hAnsi="Calibri"/>
          <w:b/>
          <w:sz w:val="44"/>
        </w:rPr>
      </w:pPr>
    </w:p>
    <w:p w:rsidR="005E294E" w:rsidRPr="00872A3A" w:rsidRDefault="005E294E" w:rsidP="005E294E">
      <w:pPr>
        <w:jc w:val="center"/>
        <w:rPr>
          <w:rFonts w:ascii="Calibri" w:hAnsi="Calibri"/>
          <w:b/>
          <w:sz w:val="44"/>
        </w:rPr>
      </w:pPr>
    </w:p>
    <w:p w:rsidR="005E294E" w:rsidRDefault="005E294E" w:rsidP="005E294E">
      <w:pPr>
        <w:jc w:val="center"/>
        <w:rPr>
          <w:rFonts w:ascii="Calibri" w:hAnsi="Calibri"/>
          <w:b/>
          <w:sz w:val="44"/>
        </w:rPr>
      </w:pPr>
    </w:p>
    <w:p w:rsidR="005E294E" w:rsidRDefault="005E294E" w:rsidP="005E294E">
      <w:pPr>
        <w:jc w:val="center"/>
        <w:rPr>
          <w:rFonts w:ascii="Calibri" w:hAnsi="Calibri"/>
          <w:b/>
          <w:sz w:val="44"/>
        </w:rPr>
      </w:pPr>
    </w:p>
    <w:p w:rsidR="005E294E" w:rsidRPr="003F0126" w:rsidRDefault="005E294E" w:rsidP="005E294E">
      <w:pPr>
        <w:jc w:val="center"/>
        <w:rPr>
          <w:rFonts w:ascii="Calibri" w:hAnsi="Calibri"/>
          <w:b/>
          <w:sz w:val="44"/>
        </w:rPr>
      </w:pPr>
      <w:r>
        <w:rPr>
          <w:rFonts w:ascii="Calibri" w:hAnsi="Calibri"/>
          <w:b/>
          <w:sz w:val="44"/>
        </w:rPr>
        <w:t>Výročná s</w:t>
      </w:r>
      <w:r w:rsidRPr="00872A3A">
        <w:rPr>
          <w:rFonts w:ascii="Calibri" w:hAnsi="Calibri"/>
          <w:b/>
          <w:sz w:val="44"/>
        </w:rPr>
        <w:t xml:space="preserve">práva spoločnosti za </w:t>
      </w:r>
      <w:r w:rsidRPr="003F0126">
        <w:rPr>
          <w:rFonts w:ascii="Calibri" w:hAnsi="Calibri"/>
          <w:b/>
          <w:sz w:val="44"/>
        </w:rPr>
        <w:t>rok 2015</w:t>
      </w:r>
    </w:p>
    <w:p w:rsidR="005E294E" w:rsidRDefault="005E294E" w:rsidP="005E294E">
      <w:pPr>
        <w:jc w:val="center"/>
        <w:rPr>
          <w:rFonts w:ascii="Calibri" w:hAnsi="Calibri"/>
          <w:b/>
          <w:caps/>
          <w:sz w:val="44"/>
        </w:rPr>
      </w:pPr>
    </w:p>
    <w:p w:rsidR="005E294E" w:rsidRDefault="005E294E" w:rsidP="005E294E">
      <w:pPr>
        <w:jc w:val="center"/>
        <w:rPr>
          <w:rFonts w:ascii="Calibri" w:hAnsi="Calibri"/>
          <w:b/>
          <w:sz w:val="44"/>
        </w:rPr>
      </w:pPr>
      <w:r w:rsidRPr="00872A3A">
        <w:rPr>
          <w:rFonts w:ascii="Calibri" w:hAnsi="Calibri"/>
          <w:b/>
          <w:caps/>
          <w:sz w:val="44"/>
        </w:rPr>
        <w:t>Thermo/solar</w:t>
      </w:r>
      <w:r w:rsidRPr="00872A3A">
        <w:rPr>
          <w:rFonts w:ascii="Calibri" w:hAnsi="Calibri"/>
          <w:b/>
          <w:sz w:val="44"/>
        </w:rPr>
        <w:t xml:space="preserve">  Žiar s.r.o.  </w:t>
      </w:r>
    </w:p>
    <w:p w:rsidR="005E294E" w:rsidRDefault="005E294E" w:rsidP="005E294E">
      <w:pPr>
        <w:jc w:val="center"/>
        <w:rPr>
          <w:rFonts w:ascii="Calibri" w:hAnsi="Calibri"/>
          <w:b/>
          <w:sz w:val="44"/>
        </w:rPr>
      </w:pPr>
    </w:p>
    <w:p w:rsidR="005E294E" w:rsidRDefault="005E294E" w:rsidP="005E294E">
      <w:pPr>
        <w:jc w:val="center"/>
        <w:rPr>
          <w:rFonts w:ascii="Calibri" w:hAnsi="Calibri"/>
          <w:b/>
          <w:sz w:val="44"/>
        </w:rPr>
      </w:pPr>
    </w:p>
    <w:p w:rsidR="005E294E" w:rsidRPr="00872A3A" w:rsidRDefault="005E294E" w:rsidP="005E294E">
      <w:pPr>
        <w:jc w:val="center"/>
        <w:rPr>
          <w:rFonts w:ascii="Calibri" w:hAnsi="Calibri"/>
          <w:b/>
          <w:sz w:val="44"/>
        </w:rPr>
      </w:pPr>
    </w:p>
    <w:p w:rsidR="005E294E" w:rsidRPr="00872A3A" w:rsidRDefault="005E294E" w:rsidP="005E294E">
      <w:pPr>
        <w:jc w:val="both"/>
        <w:rPr>
          <w:rFonts w:ascii="Calibri" w:hAnsi="Calibri"/>
          <w:b/>
          <w:sz w:val="32"/>
        </w:rPr>
      </w:pPr>
      <w:r>
        <w:rPr>
          <w:rFonts w:ascii="Calibri" w:hAnsi="Calibri"/>
          <w:b/>
          <w:noProof/>
          <w:sz w:val="32"/>
          <w:lang w:eastAsia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1717040</wp:posOffset>
            </wp:positionH>
            <wp:positionV relativeFrom="paragraph">
              <wp:posOffset>222250</wp:posOffset>
            </wp:positionV>
            <wp:extent cx="2407920" cy="1376680"/>
            <wp:effectExtent l="19050" t="0" r="0" b="0"/>
            <wp:wrapNone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7920" cy="1376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E294E" w:rsidRPr="00872A3A" w:rsidRDefault="005E294E" w:rsidP="005E294E">
      <w:pPr>
        <w:jc w:val="both"/>
        <w:rPr>
          <w:rFonts w:ascii="Calibri" w:hAnsi="Calibri"/>
          <w:b/>
          <w:sz w:val="32"/>
        </w:rPr>
      </w:pPr>
    </w:p>
    <w:p w:rsidR="005E294E" w:rsidRPr="00872A3A" w:rsidRDefault="005E294E" w:rsidP="005E294E">
      <w:pPr>
        <w:jc w:val="both"/>
        <w:rPr>
          <w:rFonts w:ascii="Calibri" w:hAnsi="Calibri"/>
          <w:b/>
          <w:sz w:val="32"/>
        </w:rPr>
      </w:pPr>
    </w:p>
    <w:p w:rsidR="005E294E" w:rsidRPr="00872A3A" w:rsidRDefault="005E294E" w:rsidP="005E294E">
      <w:pPr>
        <w:jc w:val="center"/>
        <w:rPr>
          <w:rFonts w:ascii="Calibri" w:hAnsi="Calibri"/>
          <w:b/>
          <w:sz w:val="32"/>
        </w:rPr>
      </w:pPr>
    </w:p>
    <w:p w:rsidR="005E294E" w:rsidRPr="00872A3A" w:rsidRDefault="005E294E" w:rsidP="005E294E">
      <w:pPr>
        <w:rPr>
          <w:rFonts w:ascii="Calibri" w:hAnsi="Calibri"/>
          <w:b/>
          <w:sz w:val="24"/>
          <w:szCs w:val="24"/>
        </w:rPr>
      </w:pPr>
    </w:p>
    <w:p w:rsidR="005E294E" w:rsidRPr="00872A3A" w:rsidRDefault="005E294E" w:rsidP="005E294E">
      <w:pPr>
        <w:rPr>
          <w:rFonts w:ascii="Calibri" w:hAnsi="Calibri"/>
          <w:b/>
          <w:sz w:val="24"/>
          <w:szCs w:val="24"/>
        </w:rPr>
      </w:pPr>
    </w:p>
    <w:p w:rsidR="005E294E" w:rsidRPr="00872A3A" w:rsidRDefault="005E294E" w:rsidP="005E294E">
      <w:pPr>
        <w:rPr>
          <w:rFonts w:ascii="Calibri" w:hAnsi="Calibri"/>
          <w:b/>
          <w:sz w:val="24"/>
          <w:szCs w:val="24"/>
        </w:rPr>
      </w:pPr>
    </w:p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Pr="00872A3A" w:rsidRDefault="005E294E" w:rsidP="005E294E">
      <w:pPr>
        <w:rPr>
          <w:rFonts w:ascii="Calibri" w:hAnsi="Calibri"/>
          <w:b/>
          <w:sz w:val="28"/>
          <w:szCs w:val="28"/>
        </w:rPr>
      </w:pPr>
      <w:r w:rsidRPr="00872A3A">
        <w:rPr>
          <w:rFonts w:ascii="Calibri" w:hAnsi="Calibri"/>
          <w:b/>
          <w:sz w:val="28"/>
          <w:szCs w:val="28"/>
        </w:rPr>
        <w:lastRenderedPageBreak/>
        <w:t xml:space="preserve"> </w:t>
      </w:r>
    </w:p>
    <w:p w:rsidR="005E294E" w:rsidRPr="00872A3A" w:rsidRDefault="005E294E" w:rsidP="005E294E">
      <w:pPr>
        <w:rPr>
          <w:rFonts w:ascii="Calibri" w:hAnsi="Calibri"/>
          <w:sz w:val="16"/>
          <w:szCs w:val="16"/>
        </w:rPr>
      </w:pPr>
    </w:p>
    <w:p w:rsidR="005E294E" w:rsidRPr="00872A3A" w:rsidRDefault="005E294E" w:rsidP="005E294E">
      <w:pPr>
        <w:rPr>
          <w:rFonts w:ascii="Calibri" w:hAnsi="Calibri"/>
        </w:rPr>
      </w:pPr>
    </w:p>
    <w:p w:rsidR="005E294E" w:rsidRPr="00084273" w:rsidRDefault="005E294E" w:rsidP="005E294E">
      <w:pPr>
        <w:spacing w:line="288" w:lineRule="auto"/>
        <w:ind w:firstLine="170"/>
        <w:jc w:val="both"/>
        <w:rPr>
          <w:rFonts w:ascii="Calibri" w:hAnsi="Calibri"/>
          <w:sz w:val="16"/>
          <w:szCs w:val="16"/>
        </w:rPr>
      </w:pPr>
      <w:r w:rsidRPr="00872A3A">
        <w:rPr>
          <w:rFonts w:ascii="Calibri" w:hAnsi="Calibri"/>
          <w:sz w:val="24"/>
          <w:szCs w:val="24"/>
        </w:rPr>
        <w:t xml:space="preserve">Prepad predaja termických slnečných kolektorov ale aj všetkých ostatných obnoviteľných zdrojov energií (OZE) pokračoval v Európe aj v r. </w:t>
      </w:r>
      <w:r w:rsidRPr="003F0126">
        <w:rPr>
          <w:rFonts w:ascii="Calibri" w:hAnsi="Calibri"/>
          <w:sz w:val="24"/>
          <w:szCs w:val="24"/>
        </w:rPr>
        <w:t>2015.</w:t>
      </w:r>
      <w:r w:rsidRPr="00872A3A">
        <w:rPr>
          <w:rFonts w:ascii="Calibri" w:hAnsi="Calibri"/>
          <w:sz w:val="24"/>
          <w:szCs w:val="24"/>
        </w:rPr>
        <w:t xml:space="preserve"> Za hlavné príčiny tohto stavu sa pokladajú: </w:t>
      </w:r>
      <w:r w:rsidRPr="00872A3A">
        <w:rPr>
          <w:rFonts w:ascii="Calibri" w:hAnsi="Calibri"/>
          <w:sz w:val="24"/>
          <w:szCs w:val="24"/>
        </w:rPr>
        <w:br/>
      </w:r>
    </w:p>
    <w:p w:rsidR="005E294E" w:rsidRPr="00084273" w:rsidRDefault="005E294E" w:rsidP="005E294E">
      <w:pPr>
        <w:numPr>
          <w:ilvl w:val="0"/>
          <w:numId w:val="1"/>
        </w:numPr>
        <w:suppressAutoHyphens w:val="0"/>
        <w:overflowPunct/>
        <w:autoSpaceDE/>
        <w:spacing w:after="60"/>
        <w:jc w:val="both"/>
        <w:textAlignment w:val="auto"/>
        <w:rPr>
          <w:rFonts w:ascii="Calibri" w:hAnsi="Calibri"/>
          <w:sz w:val="16"/>
          <w:szCs w:val="16"/>
        </w:rPr>
      </w:pPr>
      <w:r w:rsidRPr="00872A3A">
        <w:rPr>
          <w:rFonts w:ascii="Calibri" w:hAnsi="Calibri"/>
          <w:sz w:val="24"/>
          <w:szCs w:val="24"/>
        </w:rPr>
        <w:t>finančná kríza, pokles modernizácie vykurovacích systémov, obmedzovanie dotácií na podporu intenzívnejšieho zavádzania  OZE a zvyšovania  energetickej efektívnosti,</w:t>
      </w:r>
      <w:r w:rsidRPr="00872A3A">
        <w:rPr>
          <w:rFonts w:ascii="Calibri" w:hAnsi="Calibri"/>
          <w:sz w:val="24"/>
          <w:szCs w:val="24"/>
        </w:rPr>
        <w:br/>
      </w:r>
    </w:p>
    <w:p w:rsidR="005E294E" w:rsidRPr="00872A3A" w:rsidRDefault="005E294E" w:rsidP="005E294E">
      <w:pPr>
        <w:numPr>
          <w:ilvl w:val="0"/>
          <w:numId w:val="1"/>
        </w:numPr>
        <w:suppressAutoHyphens w:val="0"/>
        <w:overflowPunct/>
        <w:autoSpaceDE/>
        <w:textAlignment w:val="auto"/>
        <w:rPr>
          <w:rFonts w:ascii="Calibri" w:hAnsi="Calibri"/>
          <w:sz w:val="24"/>
          <w:szCs w:val="24"/>
        </w:rPr>
      </w:pPr>
      <w:r w:rsidRPr="00872A3A">
        <w:rPr>
          <w:rFonts w:ascii="Calibri" w:hAnsi="Calibri"/>
          <w:sz w:val="24"/>
          <w:szCs w:val="24"/>
        </w:rPr>
        <w:t>pokles cien fosílnych palív.</w:t>
      </w:r>
    </w:p>
    <w:p w:rsidR="005E294E" w:rsidRPr="00084273" w:rsidRDefault="005E294E" w:rsidP="005E294E">
      <w:pPr>
        <w:spacing w:line="288" w:lineRule="auto"/>
        <w:rPr>
          <w:rFonts w:ascii="Calibri" w:hAnsi="Calibri"/>
          <w:sz w:val="16"/>
          <w:szCs w:val="16"/>
        </w:rPr>
      </w:pPr>
    </w:p>
    <w:p w:rsidR="005E294E" w:rsidRPr="00084273" w:rsidRDefault="005E294E" w:rsidP="005E294E">
      <w:pPr>
        <w:spacing w:line="288" w:lineRule="auto"/>
        <w:rPr>
          <w:rFonts w:ascii="Calibri" w:hAnsi="Calibri"/>
          <w:sz w:val="16"/>
          <w:szCs w:val="16"/>
        </w:rPr>
      </w:pPr>
      <w:r w:rsidRPr="003F0126">
        <w:rPr>
          <w:rFonts w:ascii="Calibri" w:hAnsi="Calibri"/>
          <w:sz w:val="24"/>
          <w:szCs w:val="24"/>
        </w:rPr>
        <w:t xml:space="preserve">Tento stav je v príkrom rozpore s vývojom vo svete, kde podiel OZE na spotrebe primárnych energetických zdrojov dynamicky rástol. </w:t>
      </w:r>
      <w:r w:rsidRPr="003F0126">
        <w:rPr>
          <w:rFonts w:ascii="Calibri" w:hAnsi="Calibri"/>
          <w:sz w:val="24"/>
          <w:szCs w:val="24"/>
        </w:rPr>
        <w:br/>
      </w:r>
    </w:p>
    <w:p w:rsidR="005E294E" w:rsidRPr="003F0126" w:rsidRDefault="005E294E" w:rsidP="005E294E">
      <w:pPr>
        <w:spacing w:line="288" w:lineRule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 xml:space="preserve">Na tento nepriaznivý vývoj  reagovala EU vytýčením cieľov dosiahnuť do r. 2030: </w:t>
      </w:r>
    </w:p>
    <w:p w:rsidR="005E294E" w:rsidRPr="003F0126" w:rsidRDefault="005E294E" w:rsidP="005E294E">
      <w:pPr>
        <w:numPr>
          <w:ilvl w:val="0"/>
          <w:numId w:val="2"/>
        </w:numPr>
        <w:suppressAutoHyphens w:val="0"/>
        <w:overflowPunct/>
        <w:autoSpaceDE/>
        <w:spacing w:after="60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Zníženie emisií o 40 % voči roku 1990</w:t>
      </w:r>
    </w:p>
    <w:p w:rsidR="005E294E" w:rsidRPr="003F0126" w:rsidRDefault="005E294E" w:rsidP="005E294E">
      <w:pPr>
        <w:numPr>
          <w:ilvl w:val="0"/>
          <w:numId w:val="2"/>
        </w:numPr>
        <w:suppressAutoHyphens w:val="0"/>
        <w:overflowPunct/>
        <w:autoSpaceDE/>
        <w:spacing w:after="60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Zvýšenie podielu OZE na spotrebe primárnych energetických zdrojov na 27 %</w:t>
      </w:r>
    </w:p>
    <w:p w:rsidR="005E294E" w:rsidRPr="003F0126" w:rsidRDefault="005E294E" w:rsidP="005E294E">
      <w:pPr>
        <w:numPr>
          <w:ilvl w:val="0"/>
          <w:numId w:val="2"/>
        </w:numPr>
        <w:suppressAutoHyphens w:val="0"/>
        <w:overflowPunct/>
        <w:autoSpaceDE/>
        <w:spacing w:after="60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Indikatívny cieľ – zvýšenie energetickej efektívnosti o 30 %</w:t>
      </w:r>
    </w:p>
    <w:p w:rsidR="005E294E" w:rsidRPr="00872A3A" w:rsidRDefault="005E294E" w:rsidP="005E294E">
      <w:pPr>
        <w:ind w:left="360"/>
        <w:rPr>
          <w:rFonts w:ascii="Calibri" w:hAnsi="Calibri"/>
          <w:sz w:val="16"/>
          <w:szCs w:val="16"/>
        </w:rPr>
      </w:pPr>
    </w:p>
    <w:p w:rsidR="005E294E" w:rsidRPr="003F0126" w:rsidRDefault="005E294E" w:rsidP="005E294E">
      <w:pPr>
        <w:spacing w:line="288" w:lineRule="auto"/>
        <w:ind w:firstLine="170"/>
        <w:jc w:val="both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 xml:space="preserve">Situácia v Európe sa podpísala aj na ďalšom prepade predaja v našej spoločnosti o takmer 9 % oproti predchádzajúcemu  roku. Tento prepad trvá prakticky  už 7. rok a oproti rekordnému roku 2008 je to už pokles o cca. 72 %. </w:t>
      </w:r>
    </w:p>
    <w:p w:rsidR="005E294E" w:rsidRPr="00084273" w:rsidRDefault="005E294E" w:rsidP="005E294E">
      <w:pPr>
        <w:spacing w:line="288" w:lineRule="auto"/>
        <w:ind w:firstLine="170"/>
        <w:jc w:val="both"/>
        <w:rPr>
          <w:rFonts w:ascii="Calibri" w:hAnsi="Calibri"/>
          <w:sz w:val="16"/>
          <w:szCs w:val="16"/>
        </w:rPr>
      </w:pPr>
    </w:p>
    <w:p w:rsidR="005E294E" w:rsidRPr="003F0126" w:rsidRDefault="005E294E" w:rsidP="005E294E">
      <w:pPr>
        <w:spacing w:line="288" w:lineRule="auto"/>
        <w:ind w:firstLine="170"/>
        <w:jc w:val="both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 xml:space="preserve">K miernemu  poklesu predaja vlani došlo na Slovensku  (-6 %) a v Nemecku (-3 %), k výraznejšiemu ale v ostatných dôležitých exportných krajinách hlavne Poľsku  (-44 %), v Čechách  (-11 %). Objem predaja bol stabilizovaný v Maďarsku (+2 %), výrazne sa zvýšil v Rumunsku (+63 %), Slovinsku (+29 %), na Ukrajine (+479 %), je to však z veľmi nízkej východiskovej úrovne. Taktiež sa podarilo v malom objeme obchodov vrátiť na trhy v Rusku, Estónsku a Moldavsku.    </w:t>
      </w:r>
    </w:p>
    <w:p w:rsidR="005E294E" w:rsidRPr="00084273" w:rsidRDefault="005E294E" w:rsidP="005E294E">
      <w:pPr>
        <w:spacing w:line="288" w:lineRule="auto"/>
        <w:ind w:firstLine="170"/>
        <w:jc w:val="both"/>
        <w:rPr>
          <w:rFonts w:ascii="Calibri" w:hAnsi="Calibri"/>
          <w:sz w:val="16"/>
          <w:szCs w:val="16"/>
        </w:rPr>
      </w:pPr>
    </w:p>
    <w:p w:rsidR="005E294E" w:rsidRPr="003F0126" w:rsidRDefault="005E294E" w:rsidP="005E294E">
      <w:pPr>
        <w:spacing w:before="60" w:line="288" w:lineRule="auto"/>
        <w:ind w:firstLine="284"/>
        <w:jc w:val="both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 xml:space="preserve">Veľmi nepríjemné bolo, že pokles predaja bol viazaný predovšetkým na slnečné kolektory.  Tepelné čerpadlá, o ktoré sme rozšírili svoju ponuku v roku 2014 zaznamenali v roku 2015 nárast predaja o 236 %. Napriek tomu bolo predaných iba 47 jednotiek TČ Duo. </w:t>
      </w:r>
      <w:r w:rsidRPr="003F0126">
        <w:rPr>
          <w:rFonts w:ascii="Calibri" w:hAnsi="Calibri"/>
          <w:sz w:val="24"/>
          <w:szCs w:val="24"/>
        </w:rPr>
        <w:br/>
        <w:t>Od 1.4.2015  vstúpil do platnosti v Nemecku nový dotačný program, v dôsledku ktorého  sa dotácie na náš Duo systém  zvýšili, v závislosti  od typu, na 70 až 80 % z  cenníkovej ceny materiálu.  Tento dotačný program mal priamy vplyv na zvýšenie predaja tepelných čerpadiel DUO – ca. 2/3 objemu predaja sa uskutočnilo v druhom polroku 2015.</w:t>
      </w:r>
    </w:p>
    <w:p w:rsidR="005E294E" w:rsidRPr="00084273" w:rsidRDefault="005E294E" w:rsidP="005E294E">
      <w:pPr>
        <w:spacing w:line="288" w:lineRule="auto"/>
        <w:ind w:firstLine="360"/>
        <w:jc w:val="both"/>
        <w:rPr>
          <w:rFonts w:ascii="Calibri" w:hAnsi="Calibri"/>
          <w:color w:val="00B0F0"/>
          <w:sz w:val="16"/>
          <w:szCs w:val="16"/>
        </w:rPr>
      </w:pPr>
    </w:p>
    <w:p w:rsidR="005E294E" w:rsidRPr="003F0126" w:rsidRDefault="005E294E" w:rsidP="005E294E">
      <w:pPr>
        <w:spacing w:line="288" w:lineRule="auto"/>
        <w:ind w:firstLine="284"/>
        <w:jc w:val="both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 xml:space="preserve">Zatiaľ sa  však napĺňajú naše očakávania v predaji Duo systémov iba čiastočne, pretože pri v súčasnosti platnej výške dotácie v Nemecku existuje potenciál na predaj niekoľkých stoviek kusov ročne. Odpadol totiž zásadný hendikep z minulosti – dotácia už nie je podmienená vybudovaním tzv. zemného kolektora. </w:t>
      </w:r>
    </w:p>
    <w:p w:rsidR="005E294E" w:rsidRPr="003F0126" w:rsidRDefault="005E294E" w:rsidP="005E294E">
      <w:pPr>
        <w:spacing w:line="288" w:lineRule="auto"/>
        <w:ind w:firstLine="360"/>
        <w:jc w:val="both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lastRenderedPageBreak/>
        <w:t xml:space="preserve">Z ďalších aktivít spoločnosti, ktoré prispeli alebo by mali v krátkej dobe prispieť k výraznému zlepšeniu finančnej situácie spoločnosti sú: </w:t>
      </w:r>
    </w:p>
    <w:p w:rsidR="005E294E" w:rsidRPr="00084273" w:rsidRDefault="005E294E" w:rsidP="005E294E">
      <w:pPr>
        <w:spacing w:line="288" w:lineRule="auto"/>
        <w:ind w:firstLine="360"/>
        <w:jc w:val="both"/>
        <w:rPr>
          <w:rFonts w:ascii="Calibri" w:hAnsi="Calibri"/>
          <w:sz w:val="16"/>
          <w:szCs w:val="16"/>
        </w:rPr>
      </w:pPr>
    </w:p>
    <w:p w:rsidR="005E294E" w:rsidRPr="003F0126" w:rsidRDefault="005E294E" w:rsidP="005E294E">
      <w:pPr>
        <w:numPr>
          <w:ilvl w:val="0"/>
          <w:numId w:val="3"/>
        </w:numPr>
        <w:suppressAutoHyphens w:val="0"/>
        <w:overflowPunct/>
        <w:autoSpaceDE/>
        <w:spacing w:line="288" w:lineRule="auto"/>
        <w:jc w:val="both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 xml:space="preserve">Pripravované dotácie v SR na malé obnoviteľné zdroje v domácnostiach, spustené až v decembri 2015. Ich oneskorený štart spôsobil, že na obrat spoločnosti v roku 2015 mali takmer nulový vplyv. </w:t>
      </w:r>
    </w:p>
    <w:p w:rsidR="005E294E" w:rsidRPr="003F0126" w:rsidRDefault="005E294E" w:rsidP="005E294E">
      <w:pPr>
        <w:spacing w:line="288" w:lineRule="auto"/>
        <w:ind w:left="357"/>
        <w:jc w:val="both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V rámci tohto podporného programu inštaluje výrobky našej spoločnosti takmer 100 subjektov, ktoré majú oficiálny štatút Zhotoviteľa t.j. technické a kvalifikačné predpoklady a uzavretú zmluvu s agentúrou SIEA na prácu v dotačnom programe.</w:t>
      </w:r>
    </w:p>
    <w:p w:rsidR="005E294E" w:rsidRPr="00084273" w:rsidRDefault="005E294E" w:rsidP="005E294E">
      <w:pPr>
        <w:spacing w:line="288" w:lineRule="auto"/>
        <w:ind w:left="357"/>
        <w:jc w:val="both"/>
        <w:rPr>
          <w:rFonts w:ascii="Calibri" w:hAnsi="Calibri"/>
          <w:sz w:val="16"/>
          <w:szCs w:val="16"/>
        </w:rPr>
      </w:pPr>
    </w:p>
    <w:p w:rsidR="005E294E" w:rsidRPr="003F0126" w:rsidRDefault="005E294E" w:rsidP="005E294E">
      <w:pPr>
        <w:numPr>
          <w:ilvl w:val="0"/>
          <w:numId w:val="3"/>
        </w:numPr>
        <w:suppressAutoHyphens w:val="0"/>
        <w:overflowPunct/>
        <w:autoSpaceDE/>
        <w:spacing w:after="120" w:line="288" w:lineRule="auto"/>
        <w:jc w:val="both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Zmena  spôsobu predaja. Od prevažne veľkoobchodov  (distributérov) rastúcu časť objemu odbytu chceme zrealizovať  priamym predajom koncovému zákazníkovi a to predovšetkým v Nemecku s cieľom efektívnejšie využiť existujúce dotačné programy a výrazne zvýšiť naše obchodné marže. Taktiež priebežne rozširujeme sieť našich montážnych partnerov v Čechách i na Slovensku.</w:t>
      </w:r>
    </w:p>
    <w:p w:rsidR="005E294E" w:rsidRPr="003F0126" w:rsidRDefault="005E294E" w:rsidP="005E294E">
      <w:pPr>
        <w:numPr>
          <w:ilvl w:val="0"/>
          <w:numId w:val="3"/>
        </w:numPr>
        <w:suppressAutoHyphens w:val="0"/>
        <w:overflowPunct/>
        <w:autoSpaceDE/>
        <w:spacing w:after="120" w:line="288" w:lineRule="auto"/>
        <w:jc w:val="both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Optimalizácia dodávateľských zmlúv, zlepšenie obchodných a platobných podmienok u dodávateľov, diverzifikácia dodávateľov a pravidelný prieskum cenových hladín nakupovaných tovarov a služieb.</w:t>
      </w:r>
    </w:p>
    <w:p w:rsidR="005E294E" w:rsidRPr="003F0126" w:rsidRDefault="005E294E" w:rsidP="005E294E">
      <w:pPr>
        <w:numPr>
          <w:ilvl w:val="0"/>
          <w:numId w:val="3"/>
        </w:numPr>
        <w:suppressAutoHyphens w:val="0"/>
        <w:overflowPunct/>
        <w:autoSpaceDE/>
        <w:spacing w:after="120" w:line="288" w:lineRule="auto"/>
        <w:jc w:val="both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Ďalšia optimalizácia na strane výdavkov s cieľom, až do trvalého zlepšenia ekonomickej kondície spoločnosti, rozumne investovať iba do aktivít s čo najvyššou a najkratšou návratnosťou.</w:t>
      </w:r>
    </w:p>
    <w:p w:rsidR="005E294E" w:rsidRPr="003F0126" w:rsidRDefault="005E294E" w:rsidP="005E294E">
      <w:pPr>
        <w:numPr>
          <w:ilvl w:val="0"/>
          <w:numId w:val="3"/>
        </w:numPr>
        <w:suppressAutoHyphens w:val="0"/>
        <w:overflowPunct/>
        <w:autoSpaceDE/>
        <w:spacing w:after="120" w:line="288" w:lineRule="auto"/>
        <w:jc w:val="both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Zvýšenie produktivity práce a redizajn výrobných procesov tak, aby bolo možné s existujúcim stavom zamestnancov  a minimálnou výškou zásob zabezpečiť vybavenie všetkých získaných zákaziek.</w:t>
      </w:r>
    </w:p>
    <w:p w:rsidR="005E294E" w:rsidRPr="003F0126" w:rsidRDefault="005E294E" w:rsidP="005E294E">
      <w:pPr>
        <w:numPr>
          <w:ilvl w:val="0"/>
          <w:numId w:val="3"/>
        </w:numPr>
        <w:suppressAutoHyphens w:val="0"/>
        <w:overflowPunct/>
        <w:autoSpaceDE/>
        <w:spacing w:after="120" w:line="288" w:lineRule="auto"/>
        <w:jc w:val="both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Intenzívne zlepšenie marketingových aktivít nielen na Slovensku (projekt Solárne Slovensko), v Českej republike (projekt Solárne Česko), ale aj na iných malých, ale perspektívnych trhoch, napr. v Rumunsku v rámci pripravovaného dotačného programu „Green House“.</w:t>
      </w:r>
    </w:p>
    <w:p w:rsidR="005E294E" w:rsidRPr="003F0126" w:rsidRDefault="005E294E" w:rsidP="005E294E">
      <w:pPr>
        <w:numPr>
          <w:ilvl w:val="0"/>
          <w:numId w:val="3"/>
        </w:numPr>
        <w:suppressAutoHyphens w:val="0"/>
        <w:overflowPunct/>
        <w:autoSpaceDE/>
        <w:spacing w:line="288" w:lineRule="auto"/>
        <w:jc w:val="both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Aktívne vyhľadávanie nových, koncernových zákazníkov predovšetkým na Slovensku a v Nemecku. V roku 2015 bol z našej strany úspešne naštartovaný  spoločný projekt so ZSE Energia a.s. Bratislava, dcérskou spoločnosťou E.ON, pod názvom Helios, v ktorom je naša spoločnosť jediným dodávateľom nielen slnečných termických, ale v súčasnosti aj fotovoltických systémov v rámci slovenského podporného programu Zelená domácnostiam. Projekt bude prebiehať do roku 2020. Počas roku 2016 by mali do portfólia zákazníkov pribudnúť minimálne dvaja ďalší obdobní partneri.</w:t>
      </w:r>
    </w:p>
    <w:p w:rsidR="005E294E" w:rsidRPr="00084273" w:rsidRDefault="005E294E" w:rsidP="005E294E">
      <w:pPr>
        <w:suppressAutoHyphens w:val="0"/>
        <w:overflowPunct/>
        <w:autoSpaceDE/>
        <w:spacing w:line="288" w:lineRule="auto"/>
        <w:ind w:left="397"/>
        <w:textAlignment w:val="auto"/>
        <w:rPr>
          <w:rFonts w:ascii="Calibri" w:hAnsi="Calibri"/>
          <w:color w:val="00B0F0"/>
          <w:sz w:val="16"/>
          <w:szCs w:val="16"/>
        </w:rPr>
      </w:pPr>
    </w:p>
    <w:p w:rsidR="005E294E" w:rsidRPr="00872A3A" w:rsidRDefault="005E294E" w:rsidP="005E294E">
      <w:pPr>
        <w:numPr>
          <w:ilvl w:val="0"/>
          <w:numId w:val="3"/>
        </w:numPr>
        <w:suppressAutoHyphens w:val="0"/>
        <w:overflowPunct/>
        <w:autoSpaceDE/>
        <w:spacing w:line="288" w:lineRule="auto"/>
        <w:jc w:val="both"/>
        <w:textAlignment w:val="auto"/>
        <w:rPr>
          <w:rFonts w:ascii="Calibri" w:hAnsi="Calibri"/>
          <w:sz w:val="24"/>
          <w:szCs w:val="24"/>
        </w:rPr>
      </w:pPr>
      <w:r w:rsidRPr="00872A3A">
        <w:rPr>
          <w:rFonts w:ascii="Calibri" w:hAnsi="Calibri"/>
          <w:sz w:val="24"/>
          <w:szCs w:val="24"/>
        </w:rPr>
        <w:t xml:space="preserve">Účasť spoločnosti na veľkých výberových konaniach v Poľsku, Škótsku, Čile, Srbsku  a ďalších krajinách, pričom vysoké šance uspieť máme hlavne v Poľsku, Škótsku a Srbsku. </w:t>
      </w:r>
    </w:p>
    <w:p w:rsidR="005E294E" w:rsidRPr="00872A3A" w:rsidRDefault="005E294E" w:rsidP="005E294E">
      <w:pPr>
        <w:pStyle w:val="Odsekzoznamu"/>
        <w:rPr>
          <w:rFonts w:ascii="Calibri" w:hAnsi="Calibri"/>
          <w:sz w:val="24"/>
          <w:szCs w:val="24"/>
        </w:rPr>
      </w:pPr>
    </w:p>
    <w:p w:rsidR="005E294E" w:rsidRPr="003F0126" w:rsidRDefault="005E294E" w:rsidP="005E294E">
      <w:pPr>
        <w:numPr>
          <w:ilvl w:val="0"/>
          <w:numId w:val="3"/>
        </w:numPr>
        <w:suppressAutoHyphens w:val="0"/>
        <w:overflowPunct/>
        <w:autoSpaceDE/>
        <w:spacing w:line="288" w:lineRule="auto"/>
        <w:jc w:val="both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Ďalšia diverzifikácia  výroby, predovšetkým v oblastiach priamo nesúvisiacich s obnoviteľnými zdrojmi – strojné obrábanie, výroba na zákazku, málosériová výroba. Cieľom tejto diverzifikácie je maximálne využitie zamestnancov a strojového vybavenia spoločnosti s minimálnymi nárokmi na nové investície do vybavenia, predovšetkým počas zimných mesiacov.</w:t>
      </w:r>
    </w:p>
    <w:p w:rsidR="005E294E" w:rsidRPr="00084273" w:rsidRDefault="005E294E" w:rsidP="005E294E">
      <w:pPr>
        <w:suppressAutoHyphens w:val="0"/>
        <w:overflowPunct/>
        <w:autoSpaceDE/>
        <w:spacing w:line="288" w:lineRule="auto"/>
        <w:jc w:val="both"/>
        <w:textAlignment w:val="auto"/>
        <w:rPr>
          <w:rFonts w:ascii="Calibri" w:hAnsi="Calibri"/>
          <w:sz w:val="16"/>
          <w:szCs w:val="16"/>
        </w:rPr>
      </w:pPr>
    </w:p>
    <w:p w:rsidR="005E294E" w:rsidRPr="003F0126" w:rsidRDefault="005E294E" w:rsidP="005E294E">
      <w:pPr>
        <w:numPr>
          <w:ilvl w:val="0"/>
          <w:numId w:val="3"/>
        </w:numPr>
        <w:suppressAutoHyphens w:val="0"/>
        <w:overflowPunct/>
        <w:autoSpaceDE/>
        <w:spacing w:after="240" w:line="288" w:lineRule="auto"/>
        <w:jc w:val="both"/>
        <w:textAlignment w:val="auto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 xml:space="preserve">Postupujúca konsolidácia európskeho trhu termických slnečných kolektorov, znižovanie počtu konkurentov. Podľa </w:t>
      </w:r>
      <w:hyperlink r:id="rId7" w:history="1">
        <w:r w:rsidRPr="003F0126">
          <w:rPr>
            <w:rStyle w:val="Hypertextovprepojenie"/>
            <w:rFonts w:ascii="Calibri" w:hAnsi="Calibri"/>
            <w:sz w:val="24"/>
            <w:szCs w:val="24"/>
          </w:rPr>
          <w:t>www.solarthermalworld.org</w:t>
        </w:r>
      </w:hyperlink>
      <w:r w:rsidRPr="003F0126">
        <w:rPr>
          <w:rFonts w:ascii="Calibri" w:hAnsi="Calibri"/>
          <w:sz w:val="24"/>
          <w:szCs w:val="24"/>
        </w:rPr>
        <w:t xml:space="preserve">   je  spoločnosť  THERMO/SOLAR  posledným významným nezávislým výrobcom termických kolektorov v Európe. Ostatní, pokiaľ ešte existujú,  sú už  súčasťou nadnárodných koncernov. </w:t>
      </w:r>
    </w:p>
    <w:p w:rsidR="005E294E" w:rsidRPr="003F0126" w:rsidRDefault="005E294E" w:rsidP="005E294E">
      <w:pPr>
        <w:spacing w:after="240" w:line="288" w:lineRule="auto"/>
        <w:jc w:val="both"/>
        <w:rPr>
          <w:rFonts w:ascii="Calibri" w:hAnsi="Calibri"/>
          <w:sz w:val="24"/>
          <w:szCs w:val="24"/>
        </w:rPr>
      </w:pPr>
      <w:r w:rsidRPr="003F0126">
        <w:rPr>
          <w:rFonts w:ascii="Calibri" w:hAnsi="Calibri"/>
          <w:sz w:val="24"/>
          <w:szCs w:val="24"/>
        </w:rPr>
        <w:t>Sme presvedčení, že realizácia hore uvedených aktivít  bude zaistí našej spoločnosti už v roku 2016 pozitívny hospodársky výsledok, lepšie ju pripraví na budúce roky a pomôže výrazne znížiť úverovú zaťaženosť spoločnosti</w:t>
      </w:r>
      <w:r>
        <w:rPr>
          <w:rFonts w:ascii="Calibri" w:hAnsi="Calibri"/>
          <w:sz w:val="24"/>
          <w:szCs w:val="24"/>
        </w:rPr>
        <w:t>.</w:t>
      </w:r>
    </w:p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Default="005E294E"/>
    <w:p w:rsidR="005E294E" w:rsidRPr="005E294E" w:rsidRDefault="005E294E" w:rsidP="005E294E">
      <w:pPr>
        <w:rPr>
          <w:rFonts w:ascii="Calibri" w:hAnsi="Calibri"/>
          <w:sz w:val="24"/>
          <w:szCs w:val="24"/>
        </w:rPr>
      </w:pPr>
      <w:r w:rsidRPr="005E294E">
        <w:rPr>
          <w:rFonts w:ascii="Calibri" w:hAnsi="Calibri"/>
          <w:sz w:val="24"/>
          <w:szCs w:val="24"/>
        </w:rPr>
        <w:t xml:space="preserve">Ing. </w:t>
      </w:r>
      <w:r w:rsidRPr="005E294E">
        <w:rPr>
          <w:rFonts w:asciiTheme="minorHAnsi" w:hAnsiTheme="minorHAnsi"/>
          <w:sz w:val="24"/>
          <w:szCs w:val="24"/>
        </w:rPr>
        <w:t>Alfréd Gottas</w:t>
      </w:r>
      <w:r w:rsidRPr="005E294E">
        <w:rPr>
          <w:rFonts w:ascii="Calibri" w:hAnsi="Calibri"/>
          <w:sz w:val="24"/>
          <w:szCs w:val="24"/>
        </w:rPr>
        <w:t xml:space="preserve">        </w:t>
      </w:r>
      <w:r w:rsidRPr="005E294E">
        <w:rPr>
          <w:rFonts w:ascii="Calibri" w:hAnsi="Calibri"/>
          <w:sz w:val="24"/>
          <w:szCs w:val="24"/>
        </w:rPr>
        <w:tab/>
      </w:r>
      <w:r w:rsidRPr="005E294E">
        <w:rPr>
          <w:rFonts w:ascii="Calibri" w:hAnsi="Calibri"/>
          <w:sz w:val="24"/>
          <w:szCs w:val="24"/>
        </w:rPr>
        <w:tab/>
      </w:r>
      <w:r w:rsidRPr="005E294E">
        <w:rPr>
          <w:rFonts w:ascii="Calibri" w:hAnsi="Calibri"/>
          <w:sz w:val="24"/>
          <w:szCs w:val="24"/>
        </w:rPr>
        <w:tab/>
        <w:t>.........................................................</w:t>
      </w:r>
    </w:p>
    <w:p w:rsidR="005E294E" w:rsidRPr="005E294E" w:rsidRDefault="005E294E" w:rsidP="005E294E">
      <w:pPr>
        <w:rPr>
          <w:rFonts w:ascii="Calibri" w:hAnsi="Calibri"/>
          <w:sz w:val="24"/>
          <w:szCs w:val="24"/>
        </w:rPr>
      </w:pPr>
      <w:r w:rsidRPr="005E294E">
        <w:rPr>
          <w:rFonts w:ascii="Calibri" w:hAnsi="Calibri"/>
          <w:sz w:val="24"/>
          <w:szCs w:val="24"/>
        </w:rPr>
        <w:t>konateľ spoločnosti</w:t>
      </w:r>
    </w:p>
    <w:p w:rsidR="005E294E" w:rsidRPr="005E294E" w:rsidRDefault="005E294E">
      <w:pPr>
        <w:rPr>
          <w:rFonts w:asciiTheme="minorHAnsi" w:hAnsiTheme="minorHAnsi"/>
          <w:sz w:val="24"/>
          <w:szCs w:val="24"/>
        </w:rPr>
      </w:pPr>
    </w:p>
    <w:sectPr w:rsidR="005E294E" w:rsidRPr="005E294E" w:rsidSect="008239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C5523D"/>
    <w:multiLevelType w:val="hybridMultilevel"/>
    <w:tmpl w:val="A746D440"/>
    <w:lvl w:ilvl="0" w:tplc="9510262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C637B01"/>
    <w:multiLevelType w:val="hybridMultilevel"/>
    <w:tmpl w:val="2AFECDD0"/>
    <w:lvl w:ilvl="0" w:tplc="9A14753A">
      <w:numFmt w:val="bullet"/>
      <w:lvlText w:val="-"/>
      <w:lvlJc w:val="left"/>
      <w:pPr>
        <w:tabs>
          <w:tab w:val="num" w:pos="567"/>
        </w:tabs>
        <w:ind w:left="567" w:hanging="397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9074BDC"/>
    <w:multiLevelType w:val="hybridMultilevel"/>
    <w:tmpl w:val="DB420526"/>
    <w:lvl w:ilvl="0" w:tplc="EC7C0CA4">
      <w:numFmt w:val="bullet"/>
      <w:lvlText w:val="-"/>
      <w:lvlJc w:val="left"/>
      <w:pPr>
        <w:tabs>
          <w:tab w:val="num" w:pos="567"/>
        </w:tabs>
        <w:ind w:left="567" w:hanging="397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94E"/>
    <w:rsid w:val="005E294E"/>
    <w:rsid w:val="008239E4"/>
    <w:rsid w:val="0097577F"/>
    <w:rsid w:val="00A87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294E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5E294E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E294E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294E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5E294E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E294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solarthermalworld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899</Words>
  <Characters>5126</Characters>
  <Application>Microsoft Office Word</Application>
  <DocSecurity>4</DocSecurity>
  <Lines>42</Lines>
  <Paragraphs>12</Paragraphs>
  <ScaleCrop>false</ScaleCrop>
  <Company>Hewlett-Packard Company</Company>
  <LinksUpToDate>false</LinksUpToDate>
  <CharactersWithSpaces>6013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pachnikova</dc:creator>
  <cp:lastModifiedBy>Alexandra Kollárová</cp:lastModifiedBy>
  <cp:revision>2</cp:revision>
  <dcterms:created xsi:type="dcterms:W3CDTF">2016-10-04T08:31:00Z</dcterms:created>
  <dcterms:modified xsi:type="dcterms:W3CDTF">2016-10-04T08:31:00Z</dcterms:modified>
</cp:coreProperties>
</file>