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Default Extension="wmf" ContentType="image/x-wmf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</w:r>
      <w:r>
        <w:object w:dxaOrig="1680" w:dyaOrig="2004">
          <v:rect xmlns:o="urn:schemas-microsoft-com:office:office" xmlns:v="urn:schemas-microsoft-com:vml" id="rectole0000000000" style="width:84.000000pt;height:100.2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  <w:t xml:space="preserve">čná správa</w:t>
      </w: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  <w:t xml:space="preserve">Obce Prihradzany</w:t>
      </w: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  <w:t xml:space="preserve">za rok 2015</w:t>
      </w: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 xml:space="preserve">Milan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Čipka, starosta obce</w:t>
      </w: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Obsah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: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1. Identifika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čné údaje obce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2. Organiza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čná štruktúra obce a identifikácia vedúcich predstaviteľov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3. Základná charakteristika obce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3.1 Geografické údaje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3.2 Demografické údaje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3.3 Ekonomické údaje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3.4 Symboly obce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3.5 História obce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3.6 Pamiatky a pamätihodnosti</w:t>
        <w:tab/>
        <w:tab/>
        <w:tab/>
        <w:tab/>
        <w:tab/>
        <w:tab/>
        <w:tab/>
        <w:tab/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4. Plnenie funkcií obce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5. Informácia o vývoji obce z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ľadu rozpočtovníctva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5.1  Plnenie príjmov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čerpanie výdavkov za rok 2015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5.2  Prebytok / schodok 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čtového hospodárenia za rok 2015</w:t>
        <w:tab/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5.3 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čet na rok 2016 - 2018</w:t>
        <w:tab/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6. Informácia o vývoji obce z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ľadu účtovníctva</w:t>
        <w:tab/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6.1 Majetok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6.2 Zdroje krytia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6.3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ľadávky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6.4 Záväzky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7. Hospodársky výsledok za rok 2015 – vývoj nákladov a výnosov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8. Ostatné dôležité informácie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8.1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čné usporiadanie voči štátnemu rozpočtu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8.2.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čné usporiadanie voči rozpočtom iných obcí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8.3 Udalosti osobitného významu po skon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čení</w:t>
        <w:tab/>
        <w:t xml:space="preserve">účtovného obdobia</w:t>
      </w:r>
    </w:p>
    <w:p>
      <w:pPr>
        <w:suppressAutoHyphens w:val="true"/>
        <w:spacing w:before="0" w:after="13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8.4 Významné riziká a neistoty, ktorým 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čtovná jednotka vystavená</w:t>
        <w:tab/>
        <w:tab/>
        <w:tab/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1. 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čné údaje obce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Názov:</w:t>
        <w:tab/>
        <w:tab/>
        <w:tab/>
        <w:t xml:space="preserve">Obec Prihradzany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Sídlo:</w:t>
        <w:tab/>
        <w:tab/>
        <w:tab/>
        <w:tab/>
        <w:t xml:space="preserve">Prihradzany 7, 049 14 Licince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ČO:</w:t>
        <w:tab/>
        <w:tab/>
        <w:tab/>
        <w:tab/>
        <w:t xml:space="preserve">00328651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Štatutárny orgán obce:</w:t>
        <w:tab/>
        <w:t xml:space="preserve">starosta obce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Telefón:</w:t>
        <w:tab/>
        <w:tab/>
        <w:tab/>
        <w:t xml:space="preserve">058/44 82509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E-mail:</w:t>
        <w:tab/>
        <w:tab/>
        <w:tab/>
        <w:t xml:space="preserve">obecprihradzany@gmail.com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2. 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čná štruktúra obce a identifikácia vedúcich predstaviteľov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Starosta obce:</w:t>
        <w:tab/>
        <w:tab/>
        <w:t xml:space="preserve">Milan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Čipka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Zástupca starostu obce:</w:t>
        <w:tab/>
        <w:t xml:space="preserve">Stanislav Furman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Hlavný kontrolór obce:</w:t>
        <w:tab/>
        <w:t xml:space="preserve">Helena Tomšíková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Obecné zastupite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ľstvo:</w:t>
        <w:tab/>
        <w:t xml:space="preserve">Stanislav Furman, Tibor Balážik, Marta Balážiková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Obecný úrad:</w:t>
        <w:tab/>
        <w:tab/>
        <w:t xml:space="preserve">Prihradzany 7, 049 14 Licince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3. Základná charakteristika obce</w:t>
      </w:r>
    </w:p>
    <w:p>
      <w:pPr>
        <w:suppressAutoHyphens w:val="true"/>
        <w:spacing w:before="0" w:after="255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Obec je samostatný územný samosprávny a správny celok  Slovenskej republiky.  Obec je právnickou osobou, ktorá samostatne hospodári s vlastným majetkom a s vlastnými príjmami. Základnou  úlohou obce pri výkone samosprávy je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ť o všestranný rozvoj jej územia a o potreby jej obyvateľov.</w:t>
      </w:r>
    </w:p>
    <w:p>
      <w:pPr>
        <w:suppressAutoHyphens w:val="true"/>
        <w:spacing w:before="0" w:after="255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3.1Geografické údaje: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 xml:space="preserve">Obec leží v severnej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časti Slovenského krasu, v kotline okolo Prihradzanského potoka pravobrežného prítoku Muráňa.  Obec sa nachádza v okrese Revúca.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Susedné mestá a obce:</w:t>
        <w:tab/>
        <w:tab/>
        <w:t xml:space="preserve">na severe</w:t>
        <w:tab/>
        <w:t xml:space="preserve">- obec Gemerské Teplice,      </w:t>
        <w:tab/>
        <w:tab/>
        <w:tab/>
        <w:tab/>
        <w:tab/>
        <w:tab/>
        <w:tab/>
        <w:t xml:space="preserve">na  juhu  </w:t>
        <w:tab/>
        <w:t xml:space="preserve">- obec Držkovce,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 xml:space="preserve">na východe</w:t>
        <w:tab/>
        <w:t xml:space="preserve">- obec Šivetice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 xml:space="preserve">na západe </w:t>
        <w:tab/>
        <w:t xml:space="preserve">- obec Kame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ňany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Zemepisné súradnice obce:</w:t>
        <w:tab/>
        <w:t xml:space="preserve">48°35'02"S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20°14'20"V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Nadmorská výška:</w:t>
        <w:tab/>
        <w:tab/>
        <w:tab/>
        <w:t xml:space="preserve">271 m n. m.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Celková rozloha obce:</w:t>
        <w:tab/>
        <w:tab/>
        <w:t xml:space="preserve">4,5 km² (455 ha)</w:t>
      </w:r>
    </w:p>
    <w:p>
      <w:pPr>
        <w:numPr>
          <w:ilvl w:val="0"/>
          <w:numId w:val="15"/>
        </w:num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ľnohospodárska pôda</w:t>
        <w:tab/>
        <w:t xml:space="preserve">2,52 km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² (252 ha)</w:t>
      </w:r>
    </w:p>
    <w:p>
      <w:pPr>
        <w:numPr>
          <w:ilvl w:val="0"/>
          <w:numId w:val="15"/>
        </w:num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vodné plochy</w:t>
        <w:tab/>
        <w:tab/>
        <w:tab/>
        <w:t xml:space="preserve">0,02 km² (2 ha)</w:t>
      </w:r>
    </w:p>
    <w:p>
      <w:pPr>
        <w:numPr>
          <w:ilvl w:val="0"/>
          <w:numId w:val="15"/>
        </w:num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lesné pozemky</w:t>
        <w:tab/>
        <w:tab/>
        <w:tab/>
        <w:t xml:space="preserve">1,68 km² (168 ha)</w:t>
      </w:r>
    </w:p>
    <w:p>
      <w:pPr>
        <w:numPr>
          <w:ilvl w:val="0"/>
          <w:numId w:val="15"/>
        </w:num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zastavané plochy</w:t>
        <w:tab/>
        <w:tab/>
        <w:t xml:space="preserve">0,13 km² (13 ha)</w:t>
      </w:r>
    </w:p>
    <w:p>
      <w:pPr>
        <w:numPr>
          <w:ilvl w:val="0"/>
          <w:numId w:val="15"/>
        </w:num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ostatné plochy</w:t>
        <w:tab/>
        <w:tab/>
        <w:tab/>
        <w:t xml:space="preserve">0,20 km² (20 ha)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142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 xml:space="preserve">Okrajová južná a severná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časť je zalesnená dubovým lesom, zvyšok je odlesnený.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3.2 Demografické údaje: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Hustota 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ľov:</w:t>
        <w:tab/>
        <w:t xml:space="preserve">16 obyv. / km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²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čet obyvateľov:</w:t>
        <w:tab/>
        <w:tab/>
        <w:t xml:space="preserve">83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Národnostná štruktúra:</w:t>
        <w:tab/>
        <w:t xml:space="preserve">slovenská</w:t>
      </w:r>
    </w:p>
    <w:p>
      <w:pPr>
        <w:suppressAutoHyphens w:val="true"/>
        <w:spacing w:before="0" w:after="142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Štruktúra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ľstva podľa náboženského významu:</w:t>
      </w:r>
    </w:p>
    <w:p>
      <w:pPr>
        <w:numPr>
          <w:ilvl w:val="0"/>
          <w:numId w:val="19"/>
        </w:numPr>
        <w:suppressAutoHyphens w:val="true"/>
        <w:spacing w:before="0" w:after="142" w:line="276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Rímsko-katolícka</w:t>
      </w:r>
    </w:p>
    <w:p>
      <w:pPr>
        <w:numPr>
          <w:ilvl w:val="0"/>
          <w:numId w:val="19"/>
        </w:numPr>
        <w:suppressAutoHyphens w:val="true"/>
        <w:spacing w:before="0" w:after="142" w:line="276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Grécko-katolícka</w:t>
      </w:r>
    </w:p>
    <w:p>
      <w:pPr>
        <w:numPr>
          <w:ilvl w:val="0"/>
          <w:numId w:val="19"/>
        </w:numPr>
        <w:suppressAutoHyphens w:val="true"/>
        <w:spacing w:before="0" w:after="142" w:line="276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Evanjelická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3.3 Ekonomické údaje: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Nezamestnanos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ť v obci:</w:t>
        <w:tab/>
        <w:tab/>
        <w:t xml:space="preserve">      13 %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Nezamestnanos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ť v okrese:</w:t>
        <w:tab/>
        <w:t xml:space="preserve">nad 20 %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3.4 Symboly obce: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Erb,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čať a vlajka predstavujú najvýznamnejšie obecné symboly,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Erb obce:</w:t>
      </w:r>
    </w:p>
    <w:p>
      <w:pPr>
        <w:suppressAutoHyphens w:val="true"/>
        <w:spacing w:before="0" w:after="198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object w:dxaOrig="1214" w:dyaOrig="1377">
          <v:rect xmlns:o="urn:schemas-microsoft-com:office:office" xmlns:v="urn:schemas-microsoft-com:vml" id="rectole0000000001" style="width:60.700000pt;height:68.850000pt" o:preferrelative="t" o:ole="">
            <o:lock v:ext="edit"/>
            <v:imagedata xmlns:r="http://schemas.openxmlformats.org/officeDocument/2006/relationships" r:id="docRId3" o:title=""/>
          </v:rect>
          <o:OLEObject xmlns:r="http://schemas.openxmlformats.org/officeDocument/2006/relationships" xmlns:o="urn:schemas-microsoft-com:office:office" Type="Embed" ProgID="StaticMetafile" DrawAspect="Content" ObjectID="0000000001" ShapeID="rectole0000000001" r:id="docRId2"/>
        </w:objec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červenom</w:t>
        <w:tab/>
        <w:t xml:space="preserve">štíte vpravo zo zelenej, zlatom šikmo mrežovanej pažite vyrastajúci výhonok, vedľa strieborné bordúry radlíc – lemeša a skloneného čeriesla – vpravo dolu pri lemeši tri strieborné zrná.</w:t>
        <w:tab/>
        <w:tab/>
        <w:tab/>
        <w:tab/>
        <w:tab/>
      </w:r>
    </w:p>
    <w:p>
      <w:pPr>
        <w:suppressAutoHyphens w:val="true"/>
        <w:spacing w:before="0" w:after="147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Vlajka obce: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object w:dxaOrig="1356" w:dyaOrig="1154">
          <v:rect xmlns:o="urn:schemas-microsoft-com:office:office" xmlns:v="urn:schemas-microsoft-com:vml" id="rectole0000000002" style="width:67.800000pt;height:57.700000pt" o:preferrelative="t" o:ole="">
            <o:lock v:ext="edit"/>
            <v:imagedata xmlns:r="http://schemas.openxmlformats.org/officeDocument/2006/relationships" r:id="docRId5" o:title=""/>
          </v:rect>
          <o:OLEObject xmlns:r="http://schemas.openxmlformats.org/officeDocument/2006/relationships" xmlns:o="urn:schemas-microsoft-com:office:office" Type="Embed" ProgID="StaticMetafile" DrawAspect="Content" ObjectID="0000000002" ShapeID="rectole0000000002" r:id="docRId4"/>
        </w:objec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Pozostáva zo siedmich pozd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ĺžnych pruhov vo farbách červený,  žltý, červený, biely, zelený, žltý, zelený. Vlajka má pomer strán   2 : 3  a ukončená je tromi cípmi, t.j. dvomi zástrihmi, siahajúcimi do tretiny jej listu.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3.5 História obce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Prihradzany sú doložené od roku 1262 ako Prelaz, v roku 1272 ako Preloz, v roku 1435 ako Perlaz, v roku 1558 ako Perlak vel Pryraseen, v roku 1573 ako Perlasz alis Pryhrade, v roku 1590 ako Prechrachjn, v roku 1773 ako Prichraczane, v roku 1808 ako Prihradzany. V rokoch 1938 – 1945 boli Prihradzany pripojené k 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ďarsku. Maďarský názov bol Perlász, Kisperlász.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Prihradzany boli v roku 1275 ešte osadou, ale koncom 13. storo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čia sa stali už obcou. Patrili Jelšavskému, od 16. storočia Muránskemu panstvu. Obyvatelia si vypomáhali sezónnymi prácami a remeslami (hrnčiarstvo, výroba fajok), včelárstvom, voštinárstvom a furmančením, neskôr tesárstvom a zhotovovaním výrobkov z dreva.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 roku 1773 tu žilo 26 sedliakov a 3 želiari, v roku 1828 mala obec 37 domov a 251 obyvate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ľov.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3.6 Pamiatky a pamätihodnosti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 xml:space="preserve">Románska rotunda sv. Anny</w:t>
        <w:tab/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Rotunda bola postavená niekedy v prvej polovici 13. storo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čia ako pútnická kaplnka. Predpokladá sa, že spolu so zaniknutým hradom pod kopcom Muteň tvorili obrannú sústavu. Krátko po postavení bola sčasti zbúraná. Opravy sa dočkala až v 18.storočí. Bola barokovo upravená a bol vytvorený nový vstup na západnej strane. Slúžila ako cintorínska kaplnka a konali sa v nej aj púte. V roku 2013 bola nanovo zastrešená.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  <w:tab/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4. Plnenie funkcií obce (prenesené kompetencie)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Prenesený výkon štátnej správy na úseku:</w:t>
        <w:tab/>
        <w:t xml:space="preserve">- stavebného poriadku</w:t>
        <w:tab/>
        <w:tab/>
        <w:tab/>
        <w:tab/>
        <w:tab/>
        <w:tab/>
        <w:tab/>
        <w:tab/>
        <w:tab/>
        <w:tab/>
        <w:t xml:space="preserve">- ochrany prírody a krajiny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 strede obce je Kultúrny dom, ktorý bol postavený v pä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ťdesiatych až šesťdesiatych rokoch minulého storočia.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5. Informácia o vývoji obce z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ľadu rozpočtovníctva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Základným nástrojom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čného hospodárenia obce bol rozpočet obce na rok 2015. Obec v roku 2015 zostavila rozpočet podľa ustanovenia § 10 odsek 7) zákona č.583/2004 Z.z. o rozpočtových pravidlách územnej samosprávy a o zmene a doplnení niektorých zákonov v znení neskorších predpisov.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Rozpočet obce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na rok 2015 bol zostavený ako vyrovnaný</w:t>
      </w:r>
    </w:p>
    <w:p>
      <w:pPr>
        <w:suppressAutoHyphens w:val="true"/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5.1 Plnenie príjmov 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čerpanie výdavkov za rok 2015</w:t>
      </w:r>
    </w:p>
    <w:tbl>
      <w:tblPr/>
      <w:tblGrid>
        <w:gridCol w:w="2835"/>
        <w:gridCol w:w="1531"/>
        <w:gridCol w:w="1531"/>
        <w:gridCol w:w="1588"/>
        <w:gridCol w:w="1590"/>
      </w:tblGrid>
      <w:tr>
        <w:trPr>
          <w:trHeight w:val="6" w:hRule="auto"/>
          <w:jc w:val="left"/>
          <w:cantSplit w:val="1"/>
        </w:trPr>
        <w:tc>
          <w:tcPr>
            <w:tcW w:w="28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</w:t>
            </w:r>
          </w:p>
        </w:tc>
        <w:tc>
          <w:tcPr>
            <w:tcW w:w="153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po zmenách</w:t>
            </w:r>
          </w:p>
        </w:tc>
        <w:tc>
          <w:tcPr>
            <w:tcW w:w="15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Skuto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čné plnenie príjmov/ výdavkov k 31.12.2015</w:t>
            </w:r>
          </w:p>
        </w:tc>
        <w:tc>
          <w:tcPr>
            <w:tcW w:w="15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auto" w:fill="cc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% plnenia príjmov /</w:t>
            </w:r>
          </w:p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%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čerpania výdavkov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Príjmy celkom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13 900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14 900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18 903,95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126,87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z toho: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príjmy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13 900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14 900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18 903,95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FFFFFF" w:val="clear"/>
              </w:rPr>
              <w:t xml:space="preserve">126,87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Kapitálové príjmy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čné príjmy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Výdavky celkom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13 900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14 900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16 289,94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cccc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109,33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 toho: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výdavky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13 900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14 900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16 289,94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109,33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Kapitálové výdavky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čné výdavky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" w:hRule="auto"/>
          <w:jc w:val="left"/>
        </w:trPr>
        <w:tc>
          <w:tcPr>
            <w:tcW w:w="283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Upravené hospodárenie obce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3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88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2 614,01</w:t>
            </w:r>
          </w:p>
        </w:tc>
        <w:tc>
          <w:tcPr>
            <w:tcW w:w="159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auto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8"/>
          <w:shd w:fill="auto" w:val="clear"/>
        </w:rPr>
        <w:t xml:space="preserve">5.2 Prebytok/schodok rozpo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8"/>
          <w:shd w:fill="auto" w:val="clear"/>
        </w:rPr>
        <w:t xml:space="preserve">čtového hospodárenia za rok 2015</w:t>
      </w:r>
    </w:p>
    <w:tbl>
      <w:tblPr/>
      <w:tblGrid>
        <w:gridCol w:w="5670"/>
        <w:gridCol w:w="3405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d9d9d9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Hospodárenie obce</w:t>
            </w:r>
          </w:p>
        </w:tc>
        <w:tc>
          <w:tcPr>
            <w:tcW w:w="34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auto" w:fill="d9d9d9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k 31.12.2015 v EUR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 príjmy spolu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18 903,95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 bežné príjmy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18 903,95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výdavky spolu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16 289,94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 bežné výdavky 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16 289,94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9d9d9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Bežný rozpo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d9d9d9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2 614,01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Kapitálové  príjmy spolu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 kapitálové  príjmy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Kapitálové  výdavky spolu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 kapitálové  výdavky 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9d9d9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Kapitálový rozpo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d9d9d9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Prebytok/schodok bežného a kapitálového rozpo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čtu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2 614,01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Vylú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z prebytku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Upravený prebytok/schodok bežného a kapitálového rozpo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čtu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ddd9c3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2 614,01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 finan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operácií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operácií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d9d9d9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Rozdiel finan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operácií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spolu 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18 903,95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SPOLU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16 289,94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Hospodárenie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2 614,01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Vylú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z prebytku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Upravené hospodárenie obce</w:t>
            </w:r>
          </w:p>
        </w:tc>
        <w:tc>
          <w:tcPr>
            <w:tcW w:w="340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2 614,01</w:t>
            </w:r>
          </w:p>
        </w:tc>
      </w:tr>
    </w:tbl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Prebytok 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čtu v sume 2 614,01 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zistený podľa ustanovenia § 10 ods. 3 písm. a) a b) zákona č. 583/2004 Z.z. o rozpočtových pravidlách územnej samosprávy a o zmene a doplnení niektorých zákonov v z.n.p. navrhujeme použiť na:</w:t>
      </w:r>
    </w:p>
    <w:p>
      <w:pPr>
        <w:suppressAutoHyphens w:val="true"/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- tvorbu rezervného fondu</w:t>
        <w:tab/>
        <w:t xml:space="preserve">261 EUR</w:t>
      </w: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Zostatok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čných operácií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 sume 2 353,01 EUR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navrhujeme použiť na:</w:t>
        <w:tab/>
      </w: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čerpanie bežných a kapitálových výdavkov v roku 2016</w:t>
      </w: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120" w:line="276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5.3 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čet na roky 2016 - 2018</w:t>
      </w:r>
    </w:p>
    <w:p>
      <w:pPr>
        <w:suppressAutoHyphens w:val="true"/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385"/>
        <w:gridCol w:w="1672"/>
        <w:gridCol w:w="1672"/>
        <w:gridCol w:w="1672"/>
        <w:gridCol w:w="1672"/>
      </w:tblGrid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Skuto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čnosť k 31.12.2015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2016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2017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2018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Príjmy celkom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18 903,95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z toho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Bežné príjmy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18 903,95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Kapitálové príjmy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čné príjmy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Skuto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čnosť k 31.12.2015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2016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2017</w:t>
            </w:r>
          </w:p>
        </w:tc>
        <w:tc>
          <w:tcPr>
            <w:tcW w:w="167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čet na rok 2018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Výdavky celkom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16 289,94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auto" w:fill="ccffcc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z toho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Bežné výdavky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16 289,94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15 000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Kapitálové výdavky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38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čné výdavky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  <w:tc>
          <w:tcPr>
            <w:tcW w:w="1672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FFCC0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FFCC00" w:val="clear"/>
        </w:rPr>
        <w:t xml:space="preserve">6. Informácia o vývoji obce z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FFCC00" w:val="clear"/>
        </w:rPr>
        <w:t xml:space="preserve">ľadu účtovníctva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  <w:t xml:space="preserve">6.1 Majetok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 K T Í V A</w:t>
      </w:r>
    </w:p>
    <w:tbl>
      <w:tblPr/>
      <w:tblGrid>
        <w:gridCol w:w="3756"/>
        <w:gridCol w:w="2870"/>
        <w:gridCol w:w="2800"/>
      </w:tblGrid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ZS  k  1.1.2015  v EUR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KZ  k  31.12.2015 v EUR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 spolu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125 800,19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128 759,67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Neobežný majetok spolu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124 838,63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124 838,63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100 443,98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100 443,98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24 394,65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24 394,65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Obežný majetok spolu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842,53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3 509,01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630,03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682,50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účty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212,50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2 826,51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návratné fin. výpomoci dlh.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návratné fin. výpomoci krát.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119,03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412,03</w:t>
            </w:r>
          </w:p>
        </w:tc>
      </w:tr>
    </w:tbl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P A S Í V A</w:t>
      </w:r>
    </w:p>
    <w:tbl>
      <w:tblPr/>
      <w:tblGrid>
        <w:gridCol w:w="3756"/>
        <w:gridCol w:w="2870"/>
        <w:gridCol w:w="2800"/>
      </w:tblGrid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ZS  k  1.1.2015 v EUR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KZ  k  31.12.2015 v EUR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imanie a záväzky spolu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125 800,19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4bc96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128 759,67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120 524,20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124 819,64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-2,88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Fondy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120 524,20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124 819,64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1 967,29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631,33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: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Rezervy 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2" w:hRule="auto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medzi subjektami VS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1 967,29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631,33</w:t>
            </w: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úvery a výpomoci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 rozlíšenie</w:t>
            </w:r>
          </w:p>
        </w:tc>
        <w:tc>
          <w:tcPr>
            <w:tcW w:w="28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3 308,7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3 308,7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880" w:leader="none"/>
          <w:tab w:val="right" w:pos="882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  <w:t xml:space="preserve">6.3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  <w:t xml:space="preserve">ľadávky</w:t>
      </w:r>
    </w:p>
    <w:tbl>
      <w:tblPr/>
      <w:tblGrid>
        <w:gridCol w:w="4755"/>
        <w:gridCol w:w="2160"/>
        <w:gridCol w:w="2160"/>
      </w:tblGrid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ľadávky</w:t>
            </w:r>
          </w:p>
        </w:tc>
        <w:tc>
          <w:tcPr>
            <w:tcW w:w="21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Zostatok k 31.12.2014</w:t>
            </w:r>
          </w:p>
        </w:tc>
        <w:tc>
          <w:tcPr>
            <w:tcW w:w="21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Zostatok k 31.12.2015</w:t>
            </w:r>
          </w:p>
        </w:tc>
      </w:tr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ľadávky do lehoty splatnosti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630,03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682,50</w:t>
            </w:r>
          </w:p>
        </w:tc>
      </w:tr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ľadávky po lehote splatnosti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FFFFFF" w:val="clear"/>
        </w:rPr>
        <w:t xml:space="preserve">6.4 Záväzky</w:t>
      </w:r>
    </w:p>
    <w:tbl>
      <w:tblPr/>
      <w:tblGrid>
        <w:gridCol w:w="4755"/>
        <w:gridCol w:w="2160"/>
        <w:gridCol w:w="2160"/>
      </w:tblGrid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center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Záväzky</w:t>
            </w:r>
          </w:p>
        </w:tc>
        <w:tc>
          <w:tcPr>
            <w:tcW w:w="21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Zostatok k 31.12.2014</w:t>
            </w:r>
          </w:p>
        </w:tc>
        <w:tc>
          <w:tcPr>
            <w:tcW w:w="21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Zostatok k 31.12.2015</w:t>
            </w:r>
          </w:p>
        </w:tc>
      </w:tr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Záväzky do lehoty splatnosti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1 967,29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631,33</w:t>
            </w:r>
          </w:p>
        </w:tc>
      </w:tr>
      <w:tr>
        <w:trPr>
          <w:trHeight w:val="1" w:hRule="atLeast"/>
          <w:jc w:val="left"/>
        </w:trPr>
        <w:tc>
          <w:tcPr>
            <w:tcW w:w="475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Záväzky po lehote splatnosti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60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7. Hospodársky výsledok za rok 2015</w:t>
      </w:r>
    </w:p>
    <w:tbl>
      <w:tblPr/>
      <w:tblGrid>
        <w:gridCol w:w="5584"/>
        <w:gridCol w:w="2126"/>
      </w:tblGrid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Názo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30"/>
                <w:shd w:fill="auto" w:val="clear"/>
              </w:rPr>
              <w:t xml:space="preserve">v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6"/>
                <w:shd w:fill="auto" w:val="clear"/>
              </w:rPr>
              <w:t xml:space="preserve">Skuto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6"/>
                <w:shd w:fill="auto" w:val="clear"/>
              </w:rPr>
              <w:t xml:space="preserve">čnosť k 31.12.2015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30"/>
                <w:shd w:fill="auto" w:val="clear"/>
              </w:rPr>
              <w:t xml:space="preserve">Náklady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6"/>
                <w:shd w:fill="auto" w:val="clear"/>
              </w:rPr>
              <w:t xml:space="preserve">14 435,76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50 – Spotrebované nákupy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2 546,37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51 – Služby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4 109,71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52 – Osobné náklady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7 334,46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54 – Ostatné náklady na prevádzkovú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činnosť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122,79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56 –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čné náklady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322,43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58 – Náklady na transfery a náklady z odvodov príjmov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6"/>
                <w:shd w:fill="auto" w:val="clear"/>
              </w:rPr>
              <w:t xml:space="preserve">Výnosy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6"/>
                <w:shd w:fill="auto" w:val="clear"/>
              </w:rPr>
              <w:t xml:space="preserve">20 337,13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60 – Tržby za vlastné výkony a tovar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1 236,00</w:t>
            </w:r>
          </w:p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63 –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ňové a colné výnosy a výnosy z poplatkov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18 425,81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69 – Výnosy z transferov a 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čtových príjmov v obciach, VÚC a v RO a PO zriadených obcou alebo VÚC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675,16</w:t>
            </w:r>
          </w:p>
        </w:tc>
      </w:tr>
      <w:tr>
        <w:trPr>
          <w:trHeight w:val="1" w:hRule="atLeast"/>
          <w:jc w:val="left"/>
        </w:trPr>
        <w:tc>
          <w:tcPr>
            <w:tcW w:w="5584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Hospodársky výsledok          / + kladný HV, - záporný HV/</w:t>
            </w:r>
          </w:p>
        </w:tc>
        <w:tc>
          <w:tcPr>
            <w:tcW w:w="21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6"/>
                <w:shd w:fill="auto" w:val="clear"/>
              </w:rPr>
              <w:t xml:space="preserve">5 901,37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0"/>
          <w:shd w:fill="auto" w:val="clear"/>
        </w:rPr>
        <w:t xml:space="preserve">8. Ostatné dôležité informácie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8.1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čné usporiadanie voči štátnemu rozpočtu</w:t>
      </w:r>
    </w:p>
    <w:tbl>
      <w:tblPr/>
      <w:tblGrid>
        <w:gridCol w:w="1770"/>
        <w:gridCol w:w="4605"/>
        <w:gridCol w:w="2700"/>
      </w:tblGrid>
      <w:tr>
        <w:trPr>
          <w:trHeight w:val="1" w:hRule="atLeast"/>
          <w:jc w:val="left"/>
        </w:trPr>
        <w:tc>
          <w:tcPr>
            <w:tcW w:w="177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Poskytovate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ľ</w:t>
            </w:r>
          </w:p>
        </w:tc>
        <w:tc>
          <w:tcPr>
            <w:tcW w:w="460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čelové určenie grantov a transferov</w:t>
            </w:r>
          </w:p>
        </w:tc>
        <w:tc>
          <w:tcPr>
            <w:tcW w:w="2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Suma prijatých prostriedkov v EUR</w:t>
            </w:r>
          </w:p>
        </w:tc>
      </w:tr>
      <w:tr>
        <w:trPr>
          <w:trHeight w:val="1" w:hRule="atLeast"/>
          <w:jc w:val="left"/>
        </w:trPr>
        <w:tc>
          <w:tcPr>
            <w:tcW w:w="177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MV SR</w:t>
            </w:r>
          </w:p>
        </w:tc>
        <w:tc>
          <w:tcPr>
            <w:tcW w:w="4605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ľby do NR SR</w:t>
            </w:r>
          </w:p>
        </w:tc>
        <w:tc>
          <w:tcPr>
            <w:tcW w:w="270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640,00</w:t>
            </w:r>
          </w:p>
        </w:tc>
      </w:tr>
      <w:tr>
        <w:trPr>
          <w:trHeight w:val="1" w:hRule="atLeast"/>
          <w:jc w:val="left"/>
        </w:trPr>
        <w:tc>
          <w:tcPr>
            <w:tcW w:w="177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MV SR</w:t>
            </w:r>
          </w:p>
        </w:tc>
        <w:tc>
          <w:tcPr>
            <w:tcW w:w="4605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Životné prostredie</w:t>
            </w:r>
          </w:p>
        </w:tc>
        <w:tc>
          <w:tcPr>
            <w:tcW w:w="270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7,77</w:t>
            </w:r>
          </w:p>
        </w:tc>
      </w:tr>
      <w:tr>
        <w:trPr>
          <w:trHeight w:val="1" w:hRule="atLeast"/>
          <w:jc w:val="left"/>
        </w:trPr>
        <w:tc>
          <w:tcPr>
            <w:tcW w:w="177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MV SR</w:t>
            </w:r>
          </w:p>
        </w:tc>
        <w:tc>
          <w:tcPr>
            <w:tcW w:w="4605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REGOB</w:t>
            </w:r>
          </w:p>
        </w:tc>
        <w:tc>
          <w:tcPr>
            <w:tcW w:w="270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spacing w:before="0" w:after="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27,39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8.2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čné usporiadanie voci rozpočtom iných obcí</w:t>
      </w:r>
    </w:p>
    <w:tbl>
      <w:tblPr/>
      <w:tblGrid>
        <w:gridCol w:w="2310"/>
        <w:gridCol w:w="6765"/>
      </w:tblGrid>
      <w:tr>
        <w:trPr>
          <w:trHeight w:val="1" w:hRule="atLeast"/>
          <w:jc w:val="left"/>
        </w:trPr>
        <w:tc>
          <w:tcPr>
            <w:tcW w:w="231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Obec</w:t>
            </w:r>
          </w:p>
        </w:tc>
        <w:tc>
          <w:tcPr>
            <w:tcW w:w="676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Suma poskytnutých 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čných </w:t>
            </w:r>
          </w:p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8"/>
                <w:shd w:fill="auto" w:val="clear"/>
              </w:rPr>
              <w:t xml:space="preserve">prostriedkov v EUR</w:t>
            </w:r>
          </w:p>
        </w:tc>
      </w:tr>
      <w:tr>
        <w:trPr>
          <w:trHeight w:val="1" w:hRule="atLeast"/>
          <w:jc w:val="left"/>
        </w:trPr>
        <w:tc>
          <w:tcPr>
            <w:tcW w:w="2310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836967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Mesto Revúca</w:t>
            </w:r>
          </w:p>
        </w:tc>
        <w:tc>
          <w:tcPr>
            <w:tcW w:w="6765" w:type="dxa"/>
            <w:tcBorders>
              <w:top w:val="single" w:color="836967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8"/>
                <w:shd w:fill="auto" w:val="clear"/>
              </w:rPr>
              <w:t xml:space="preserve">35</w:t>
            </w:r>
          </w:p>
        </w:tc>
      </w:tr>
    </w:tbl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                                                                                                            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8.2 Udalosti osobitného významu po skon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čení účtovného obdobia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Obec nezaznamenala žiadnu udalos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ť osobitného významu po skončení účtovného obdobia.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8.3 Významné riziká a neistoty, ktorým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čtovná jednotka vystavená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Obec nevedie žiadny súdny spor.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Vypracoval: Ing. Mária Ropeková, Ing. Zuzana Balážiková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Schválil: Milan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Čipka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V Prihradzanoch,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ňa 13.05.2016</w:t>
      </w: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Prílohy: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1. Závere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čný účet obce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Výkazy FIN 1 – 12*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čný výkaz o plnení rozpočtu a o nerozpočtovaných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pohyboch na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čtoch subjektu verejnej správy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FIN 5 – 04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čný výkaz o úveroch, emitovaných dlhopisoch, zmenkách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a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čnom prenájme subjektu verejnej správy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FIN 6 – 04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čný výkaz o stave bankových účtoch a záväzkov obcí,</w:t>
      </w:r>
    </w:p>
    <w:p>
      <w:pPr>
        <w:suppressAutoHyphens w:val="true"/>
        <w:spacing w:before="0" w:after="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vyšších územných celkov a nimi zriadených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čtových organizácií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5">
    <w:abstractNumId w:val="6"/>
  </w:num>
  <w:num w:numId="1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media/image0.wmf" Id="docRId1" Type="http://schemas.openxmlformats.org/officeDocument/2006/relationships/image"/><Relationship Target="media/image1.wmf" Id="docRId3" Type="http://schemas.openxmlformats.org/officeDocument/2006/relationships/image"/><Relationship Target="media/image2.wmf" Id="docRId5" Type="http://schemas.openxmlformats.org/officeDocument/2006/relationships/image"/><Relationship Target="styles.xml" Id="docRId7" Type="http://schemas.openxmlformats.org/officeDocument/2006/relationships/styles"/><Relationship Target="embeddings/oleObject0.bin" Id="docRId0" Type="http://schemas.openxmlformats.org/officeDocument/2006/relationships/oleObject"/><Relationship Target="embeddings/oleObject1.bin" Id="docRId2" Type="http://schemas.openxmlformats.org/officeDocument/2006/relationships/oleObject"/><Relationship Target="embeddings/oleObject2.bin" Id="docRId4" Type="http://schemas.openxmlformats.org/officeDocument/2006/relationships/oleObject"/><Relationship Target="numbering.xml" Id="docRId6" Type="http://schemas.openxmlformats.org/officeDocument/2006/relationships/numbering"/></Relationships>
</file>