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AD4" w:rsidRPr="00C904F1" w:rsidRDefault="00435AD4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>
        <w:rPr>
          <w:sz w:val="24"/>
          <w:szCs w:val="24"/>
        </w:rPr>
        <w:t>31576575</w:t>
      </w:r>
    </w:p>
    <w:p w:rsidR="00435AD4" w:rsidRDefault="00435AD4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435AD4" w:rsidRPr="00720EE3" w:rsidRDefault="00435AD4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 w:rsidRPr="00720EE3">
        <w:rPr>
          <w:sz w:val="24"/>
          <w:szCs w:val="24"/>
        </w:rPr>
        <w:t>dic  2020669101</w:t>
      </w:r>
    </w:p>
    <w:p w:rsidR="00435AD4" w:rsidRDefault="00435AD4">
      <w:pPr>
        <w:pStyle w:val="BodyText"/>
        <w:shd w:val="clear" w:color="auto" w:fill="auto"/>
        <w:spacing w:line="210" w:lineRule="exact"/>
        <w:ind w:firstLine="0"/>
        <w:sectPr w:rsidR="00435AD4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t>Poznámky Úč MÚJ 3 - 01</w:t>
      </w:r>
    </w:p>
    <w:p w:rsidR="00435AD4" w:rsidRDefault="00435AD4">
      <w:pPr>
        <w:framePr w:w="12066" w:h="428" w:hRule="exact" w:wrap="notBeside" w:vAnchor="text" w:hAnchor="text" w:xAlign="center" w:y="1" w:anchorLock="1"/>
      </w:pPr>
    </w:p>
    <w:p w:rsidR="00435AD4" w:rsidRDefault="00435AD4">
      <w:pPr>
        <w:rPr>
          <w:sz w:val="2"/>
          <w:szCs w:val="2"/>
        </w:rPr>
        <w:sectPr w:rsidR="00435AD4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435AD4" w:rsidRPr="00611AAF" w:rsidRDefault="00435AD4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rFonts w:eastAsia="Tahoma"/>
          <w:sz w:val="24"/>
          <w:szCs w:val="24"/>
        </w:rPr>
        <w:t>ČI. I</w:t>
      </w:r>
    </w:p>
    <w:p w:rsidR="00435AD4" w:rsidRPr="00611AAF" w:rsidRDefault="00435AD4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rFonts w:eastAsia="Tahoma"/>
          <w:sz w:val="24"/>
          <w:szCs w:val="24"/>
        </w:rPr>
      </w:pPr>
      <w:r w:rsidRPr="00611AAF">
        <w:rPr>
          <w:rStyle w:val="Zkladntext50"/>
          <w:rFonts w:eastAsia="Tahoma"/>
          <w:sz w:val="24"/>
          <w:szCs w:val="24"/>
        </w:rPr>
        <w:t>Všeobecné údaje</w:t>
      </w:r>
    </w:p>
    <w:p w:rsidR="00435AD4" w:rsidRDefault="00435AD4">
      <w:pPr>
        <w:pStyle w:val="Zkladntext51"/>
        <w:shd w:val="clear" w:color="auto" w:fill="auto"/>
        <w:spacing w:after="261" w:line="210" w:lineRule="exact"/>
        <w:ind w:left="4040"/>
      </w:pPr>
    </w:p>
    <w:p w:rsidR="00435AD4" w:rsidRPr="00611AAF" w:rsidRDefault="00435AD4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IPV Inštitút priemyselnej výchovy, s.r.o.                             </w:t>
      </w:r>
    </w:p>
    <w:p w:rsidR="00435AD4" w:rsidRPr="00611AAF" w:rsidRDefault="00435AD4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Pr="00611AAF">
        <w:rPr>
          <w:b w:val="0"/>
          <w:sz w:val="24"/>
          <w:szCs w:val="24"/>
        </w:rPr>
        <w:t xml:space="preserve">                                  A. Bernoláka 51 , 010 01 Žilina</w:t>
      </w:r>
    </w:p>
    <w:p w:rsidR="00435AD4" w:rsidRDefault="00435AD4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435AD4" w:rsidRPr="00611AAF" w:rsidRDefault="00435AD4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435AD4" w:rsidRDefault="00435AD4">
      <w:pPr>
        <w:rPr>
          <w:rStyle w:val="ZkladntextTun"/>
          <w:rFonts w:eastAsia="Tahoma"/>
          <w:b w:val="0"/>
          <w:sz w:val="24"/>
          <w:szCs w:val="24"/>
        </w:rPr>
      </w:pPr>
      <w:r>
        <w:rPr>
          <w:rStyle w:val="ZkladntextTun"/>
          <w:rFonts w:eastAsia="Tahoma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rFonts w:eastAsia="Tahoma"/>
          <w:b w:val="0"/>
          <w:sz w:val="24"/>
          <w:szCs w:val="24"/>
        </w:rPr>
        <w:t xml:space="preserve"> nemá povinnosť zostavovať konsolidovanú účtovnú závierku</w:t>
      </w:r>
    </w:p>
    <w:p w:rsidR="00435AD4" w:rsidRPr="00720EE3" w:rsidRDefault="00435AD4">
      <w:pPr>
        <w:pStyle w:val="Body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rFonts w:eastAsia="Tahoma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435AD4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5AD4" w:rsidRDefault="00435AD4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5AD4" w:rsidRDefault="00435AD4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5AD4" w:rsidRDefault="00435AD4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435AD4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5AD4" w:rsidRDefault="00435AD4">
            <w:pPr>
              <w:pStyle w:val="Body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</w:pPr>
            <w: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5AD4" w:rsidRDefault="00435AD4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435AD4" w:rsidRPr="00C904F1" w:rsidRDefault="00435AD4">
            <w:pPr>
              <w:framePr w:wrap="notBeside" w:vAnchor="text" w:hAnchor="text" w:xAlign="center" w:y="1"/>
            </w:pPr>
            <w:r>
              <w:rPr>
                <w:sz w:val="10"/>
                <w:szCs w:val="10"/>
              </w:rPr>
              <w:t xml:space="preserve">                                                       </w:t>
            </w:r>
            <w:r>
              <w:t xml:space="preserve">2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5AD4" w:rsidRDefault="00435AD4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435AD4" w:rsidRPr="00C904F1" w:rsidRDefault="00435AD4">
            <w:pPr>
              <w:framePr w:wrap="notBeside" w:vAnchor="text" w:hAnchor="text" w:xAlign="center" w:y="1"/>
            </w:pPr>
            <w:r>
              <w:rPr>
                <w:sz w:val="10"/>
                <w:szCs w:val="10"/>
              </w:rPr>
              <w:t xml:space="preserve">                                                </w:t>
            </w:r>
            <w:r>
              <w:t>2</w:t>
            </w:r>
          </w:p>
        </w:tc>
      </w:tr>
    </w:tbl>
    <w:p w:rsidR="00435AD4" w:rsidRPr="006303CE" w:rsidRDefault="00435AD4" w:rsidP="006303CE"/>
    <w:p w:rsidR="00435AD4" w:rsidRPr="006303CE" w:rsidRDefault="00435AD4" w:rsidP="006303CE"/>
    <w:p w:rsidR="00435AD4" w:rsidRPr="00720EE3" w:rsidRDefault="00435AD4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rFonts w:eastAsia="Tahoma"/>
          <w:sz w:val="24"/>
          <w:szCs w:val="24"/>
        </w:rPr>
        <w:t>Cl. II</w:t>
      </w:r>
    </w:p>
    <w:p w:rsidR="00435AD4" w:rsidRPr="00720EE3" w:rsidRDefault="00435AD4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rFonts w:eastAsia="Tahoma"/>
          <w:sz w:val="24"/>
          <w:szCs w:val="24"/>
        </w:rPr>
        <w:t>Informácie o prijatých postupoch</w:t>
      </w:r>
    </w:p>
    <w:p w:rsidR="00435AD4" w:rsidRPr="00720EE3" w:rsidRDefault="00435AD4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435AD4" w:rsidRPr="006303CE" w:rsidRDefault="00435AD4" w:rsidP="00611AAF">
      <w:pPr>
        <w:pStyle w:val="Body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435AD4" w:rsidRPr="00720EE3" w:rsidRDefault="00435AD4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435AD4" w:rsidRDefault="00435AD4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435AD4" w:rsidRDefault="00435AD4" w:rsidP="008D5F8E">
      <w:r>
        <w:t>Ročná uzávierka hospodárskeho roka 2015 / 2016 nadväzuje na svoje účtovníctvo v hospodárskom roku 2014 /2015.</w:t>
      </w:r>
    </w:p>
    <w:p w:rsidR="00435AD4" w:rsidRDefault="00435AD4" w:rsidP="008D5F8E">
      <w:r>
        <w:t>Spoločnosť v sledovanom účtovnom období uskutočnila nasledovnú zmenu účtovných zásad a účtovných metód:    Zmena typu účtovnej závierky na mikro účtovnú jednotku.</w:t>
      </w:r>
    </w:p>
    <w:p w:rsidR="00435AD4" w:rsidRDefault="00435AD4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rFonts w:eastAsia="Tahoma"/>
          <w:sz w:val="24"/>
          <w:szCs w:val="24"/>
        </w:rPr>
      </w:pPr>
    </w:p>
    <w:p w:rsidR="00435AD4" w:rsidRDefault="00435AD4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rFonts w:eastAsia="Tahoma"/>
          <w:sz w:val="24"/>
          <w:szCs w:val="24"/>
        </w:rPr>
      </w:pPr>
    </w:p>
    <w:p w:rsidR="00435AD4" w:rsidRDefault="00435AD4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rFonts w:eastAsia="Tahoma"/>
          <w:sz w:val="24"/>
          <w:szCs w:val="24"/>
        </w:rPr>
      </w:pPr>
    </w:p>
    <w:p w:rsidR="00435AD4" w:rsidRPr="00611AAF" w:rsidRDefault="00435AD4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rFonts w:eastAsia="Tahoma"/>
          <w:sz w:val="24"/>
          <w:szCs w:val="24"/>
        </w:rPr>
        <w:t>Čl</w:t>
      </w:r>
      <w:r w:rsidRPr="00611AAF">
        <w:rPr>
          <w:rStyle w:val="Zkladntext52"/>
          <w:rFonts w:eastAsia="Tahoma"/>
          <w:sz w:val="24"/>
          <w:szCs w:val="24"/>
        </w:rPr>
        <w:t>. III</w:t>
      </w:r>
    </w:p>
    <w:p w:rsidR="00435AD4" w:rsidRPr="00611AAF" w:rsidRDefault="00435AD4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rFonts w:eastAsia="Tahoma"/>
          <w:sz w:val="24"/>
          <w:szCs w:val="24"/>
        </w:rPr>
        <w:t>Informácie, ktoré vysvetľujú a dopĺňajú súvahu a výkaz ziskov a strát</w:t>
      </w:r>
    </w:p>
    <w:p w:rsidR="00435AD4" w:rsidRPr="006303CE" w:rsidRDefault="00435AD4" w:rsidP="006303CE"/>
    <w:p w:rsidR="00435AD4" w:rsidRPr="006303CE" w:rsidRDefault="00435AD4" w:rsidP="006303CE"/>
    <w:p w:rsidR="00435AD4" w:rsidRDefault="00435AD4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435AD4" w:rsidRDefault="00435AD4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435AD4" w:rsidRDefault="00435AD4" w:rsidP="006303CE"/>
    <w:p w:rsidR="00435AD4" w:rsidRDefault="00435AD4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435AD4" w:rsidRDefault="00435AD4" w:rsidP="006303CE"/>
    <w:p w:rsidR="00435AD4" w:rsidRDefault="00435AD4" w:rsidP="006303CE">
      <w:r>
        <w:t>3. Spoločnosť nenadobudla ani nepreviedla vlastné akcie</w:t>
      </w:r>
    </w:p>
    <w:p w:rsidR="00435AD4" w:rsidRDefault="00435AD4" w:rsidP="006303CE"/>
    <w:p w:rsidR="00435AD4" w:rsidRDefault="00435AD4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435AD4" w:rsidRDefault="00435AD4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435AD4" w:rsidRDefault="00435AD4" w:rsidP="006303CE"/>
    <w:p w:rsidR="00435AD4" w:rsidRPr="001532ED" w:rsidRDefault="00435AD4" w:rsidP="006303CE">
      <w:r>
        <w:t>5.</w:t>
      </w:r>
    </w:p>
    <w:p w:rsidR="00435AD4" w:rsidRDefault="00435AD4" w:rsidP="001532ED">
      <w:r>
        <w:t xml:space="preserve">   a) Spoločnosť nemá žiadne finančné povinnosti, ktoré sa nevykazujú v súvahe.</w:t>
      </w:r>
    </w:p>
    <w:p w:rsidR="00435AD4" w:rsidRDefault="00435AD4" w:rsidP="001532ED"/>
    <w:p w:rsidR="00435AD4" w:rsidRDefault="00435AD4" w:rsidP="001532ED">
      <w:r>
        <w:t xml:space="preserve">    b) Spoločnosť nemá vedomosť o žiadnych podmienených záväzkoch spoločnosti.</w:t>
      </w:r>
    </w:p>
    <w:p w:rsidR="00435AD4" w:rsidRDefault="00435AD4" w:rsidP="001532ED"/>
    <w:p w:rsidR="00435AD4" w:rsidRDefault="00435AD4" w:rsidP="001532ED">
      <w:r>
        <w:t xml:space="preserve">    c) Spoločnosť neeviduje ani neúčtuje žiadne významné povinnostiach vyplývajúce z    </w:t>
      </w:r>
    </w:p>
    <w:p w:rsidR="00435AD4" w:rsidRDefault="00435AD4" w:rsidP="001532ED">
      <w:r>
        <w:t xml:space="preserve">        dôchodkových programov pre zamestnancov.</w:t>
      </w:r>
    </w:p>
    <w:p w:rsidR="00435AD4" w:rsidRPr="006303CE" w:rsidRDefault="00435AD4" w:rsidP="001532ED"/>
    <w:p w:rsidR="00435AD4" w:rsidRDefault="00435AD4" w:rsidP="006303CE">
      <w:r>
        <w:t>6. Výnosy spoločnosti pozostávajú výhradne za poskytovanie služieb tuzemským odberateľom.</w:t>
      </w:r>
    </w:p>
    <w:p w:rsidR="00435AD4" w:rsidRDefault="00435AD4" w:rsidP="006303CE">
      <w:r>
        <w:t xml:space="preserve">    Spoločnosť nerealizovala žiadne mimoriadne výnosy.</w:t>
      </w:r>
    </w:p>
    <w:p w:rsidR="00435AD4" w:rsidRDefault="00435AD4" w:rsidP="006303CE">
      <w:r>
        <w:t xml:space="preserve">    </w:t>
      </w:r>
    </w:p>
    <w:p w:rsidR="00435AD4" w:rsidRPr="006303CE" w:rsidRDefault="00435AD4" w:rsidP="006303CE"/>
    <w:p w:rsidR="00435AD4" w:rsidRDefault="00435AD4" w:rsidP="006303CE">
      <w:r>
        <w:t xml:space="preserve">7.  Náklady spoločnosti – najvyššími  u položkami nákladov spoločnosti bol účet 518 000  </w:t>
      </w:r>
    </w:p>
    <w:p w:rsidR="00435AD4" w:rsidRDefault="00435AD4" w:rsidP="006303CE">
      <w:r>
        <w:t xml:space="preserve">     v celkovej hodnote 16 444 euro, účet 521 13 700 euro, účet 524 000 4558 euro.</w:t>
      </w:r>
    </w:p>
    <w:p w:rsidR="00435AD4" w:rsidRDefault="00435AD4" w:rsidP="00720EE3">
      <w:r>
        <w:t xml:space="preserve">     Spoločnosť nerealizovala žiadne mimoriadne náklady.</w:t>
      </w:r>
    </w:p>
    <w:p w:rsidR="00435AD4" w:rsidRPr="006303CE" w:rsidRDefault="00435AD4" w:rsidP="006303CE">
      <w:r>
        <w:t xml:space="preserve"> </w:t>
      </w:r>
    </w:p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p w:rsidR="00435AD4" w:rsidRPr="006303CE" w:rsidRDefault="00435AD4" w:rsidP="006303CE"/>
    <w:sectPr w:rsidR="00435AD4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AD4" w:rsidRDefault="00435AD4" w:rsidP="00621BC2">
      <w:r>
        <w:separator/>
      </w:r>
    </w:p>
  </w:endnote>
  <w:endnote w:type="continuationSeparator" w:id="0">
    <w:p w:rsidR="00435AD4" w:rsidRDefault="00435AD4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AD4" w:rsidRDefault="00435AD4"/>
  </w:footnote>
  <w:footnote w:type="continuationSeparator" w:id="0">
    <w:p w:rsidR="00435AD4" w:rsidRDefault="00435AD4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C6CDA"/>
    <w:rsid w:val="001532ED"/>
    <w:rsid w:val="00435AD4"/>
    <w:rsid w:val="00611AAF"/>
    <w:rsid w:val="00621BC2"/>
    <w:rsid w:val="006303CE"/>
    <w:rsid w:val="00720EE3"/>
    <w:rsid w:val="007A1AB1"/>
    <w:rsid w:val="00896D6B"/>
    <w:rsid w:val="008D5F8E"/>
    <w:rsid w:val="00C904F1"/>
    <w:rsid w:val="00CF62F6"/>
    <w:rsid w:val="00D550B7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1BC2"/>
    <w:rPr>
      <w:color w:val="000000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DefaultParagraphFont"/>
    <w:link w:val="Zkladntext20"/>
    <w:uiPriority w:val="99"/>
    <w:locked/>
    <w:rsid w:val="00621BC2"/>
    <w:rPr>
      <w:rFonts w:ascii="Arial" w:eastAsia="Times New Roman" w:hAnsi="Arial" w:cs="Arial"/>
      <w:spacing w:val="0"/>
      <w:sz w:val="20"/>
      <w:szCs w:val="20"/>
    </w:rPr>
  </w:style>
  <w:style w:type="character" w:customStyle="1" w:styleId="BodyTextChar1">
    <w:name w:val="Body Text Char1"/>
    <w:basedOn w:val="DefaultParagraphFont"/>
    <w:link w:val="BodyText"/>
    <w:uiPriority w:val="99"/>
    <w:locked/>
    <w:rsid w:val="00621BC2"/>
    <w:rPr>
      <w:rFonts w:ascii="Arial" w:eastAsia="Times New Roman" w:hAnsi="Arial" w:cs="Arial"/>
      <w:spacing w:val="0"/>
      <w:sz w:val="21"/>
      <w:szCs w:val="21"/>
    </w:rPr>
  </w:style>
  <w:style w:type="character" w:customStyle="1" w:styleId="Zkladntext5">
    <w:name w:val="Základný text (5)_"/>
    <w:basedOn w:val="DefaultParagraphFont"/>
    <w:link w:val="Zkladntext51"/>
    <w:uiPriority w:val="99"/>
    <w:locked/>
    <w:rsid w:val="00621BC2"/>
    <w:rPr>
      <w:rFonts w:ascii="Arial" w:eastAsia="Times New Roman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DefaultParagraphFont"/>
    <w:link w:val="Zkladntext40"/>
    <w:uiPriority w:val="99"/>
    <w:locked/>
    <w:rsid w:val="00621BC2"/>
    <w:rPr>
      <w:rFonts w:ascii="Arial" w:eastAsia="Times New Roman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b/>
      <w:bCs/>
    </w:rPr>
  </w:style>
  <w:style w:type="paragraph" w:styleId="BodyText">
    <w:name w:val="Body Text"/>
    <w:basedOn w:val="Normal"/>
    <w:link w:val="BodyTextChar1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Arial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905F6"/>
    <w:rPr>
      <w:color w:val="000000"/>
      <w:sz w:val="24"/>
      <w:szCs w:val="24"/>
    </w:rPr>
  </w:style>
  <w:style w:type="character" w:customStyle="1" w:styleId="Nzovtabuky2">
    <w:name w:val="Názov tabuľky (2)_"/>
    <w:basedOn w:val="DefaultParagraphFont"/>
    <w:link w:val="Nzovtabuky21"/>
    <w:uiPriority w:val="99"/>
    <w:locked/>
    <w:rsid w:val="00621BC2"/>
    <w:rPr>
      <w:rFonts w:ascii="Arial" w:eastAsia="Times New Roman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DefaultParagraphFont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DefaultParagraphFont"/>
    <w:link w:val="Nzovtabuky0"/>
    <w:uiPriority w:val="99"/>
    <w:locked/>
    <w:rsid w:val="00621BC2"/>
    <w:rPr>
      <w:rFonts w:ascii="Arial" w:eastAsia="Times New Roman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b/>
      <w:bCs/>
    </w:rPr>
  </w:style>
  <w:style w:type="character" w:customStyle="1" w:styleId="ZkladntextTun2">
    <w:name w:val="Základný text + Tučné2"/>
    <w:basedOn w:val="BodyTextChar1"/>
    <w:uiPriority w:val="99"/>
    <w:rsid w:val="00621BC2"/>
    <w:rPr>
      <w:b/>
      <w:bCs/>
    </w:rPr>
  </w:style>
  <w:style w:type="character" w:customStyle="1" w:styleId="ZkladntextTun1">
    <w:name w:val="Základný text + Tučné1"/>
    <w:basedOn w:val="BodyTextChar1"/>
    <w:uiPriority w:val="99"/>
    <w:rsid w:val="00621BC2"/>
    <w:rPr>
      <w:b/>
      <w:bCs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DefaultParagraphFont"/>
    <w:link w:val="Zkladntext60"/>
    <w:uiPriority w:val="99"/>
    <w:locked/>
    <w:rsid w:val="00621BC2"/>
    <w:rPr>
      <w:rFonts w:ascii="Arial" w:eastAsia="Times New Roman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smallCaps/>
      <w:sz w:val="19"/>
      <w:szCs w:val="19"/>
    </w:rPr>
  </w:style>
  <w:style w:type="paragraph" w:customStyle="1" w:styleId="Zkladntext20">
    <w:name w:val="Základný text (2)"/>
    <w:basedOn w:val="Normal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al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al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al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al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al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al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411</Words>
  <Characters>2346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dell</cp:lastModifiedBy>
  <cp:revision>2</cp:revision>
  <cp:lastPrinted>2016-11-27T13:48:00Z</cp:lastPrinted>
  <dcterms:created xsi:type="dcterms:W3CDTF">2016-11-27T13:50:00Z</dcterms:created>
  <dcterms:modified xsi:type="dcterms:W3CDTF">2016-11-27T13:50:00Z</dcterms:modified>
</cp:coreProperties>
</file>