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7F22" w:rsidRPr="006A1C7D" w:rsidRDefault="008F7F22" w:rsidP="008F7F22">
      <w:pPr>
        <w:pStyle w:val="Default"/>
        <w:rPr>
          <w:rFonts w:asciiTheme="minorHAnsi" w:hAnsiTheme="minorHAnsi"/>
        </w:rPr>
      </w:pPr>
      <w:bookmarkStart w:id="0" w:name="_GoBack"/>
      <w:bookmarkEnd w:id="0"/>
    </w:p>
    <w:p w:rsidR="008F7F22" w:rsidRPr="006A1C7D" w:rsidRDefault="008F7F22" w:rsidP="006A1C7D">
      <w:pPr>
        <w:pStyle w:val="Default"/>
        <w:jc w:val="center"/>
        <w:rPr>
          <w:rFonts w:asciiTheme="minorHAnsi" w:hAnsiTheme="minorHAnsi"/>
          <w:b/>
          <w:bCs/>
          <w:sz w:val="40"/>
          <w:szCs w:val="40"/>
        </w:rPr>
      </w:pPr>
      <w:r w:rsidRPr="006A1C7D">
        <w:rPr>
          <w:rFonts w:asciiTheme="minorHAnsi" w:hAnsiTheme="minorHAnsi"/>
          <w:b/>
          <w:bCs/>
          <w:sz w:val="40"/>
          <w:szCs w:val="40"/>
        </w:rPr>
        <w:t>O</w:t>
      </w:r>
      <w:r w:rsidR="00325777">
        <w:rPr>
          <w:rFonts w:asciiTheme="minorHAnsi" w:hAnsiTheme="minorHAnsi"/>
          <w:b/>
          <w:bCs/>
          <w:sz w:val="40"/>
          <w:szCs w:val="40"/>
        </w:rPr>
        <w:t xml:space="preserve"> </w:t>
      </w:r>
      <w:r w:rsidRPr="006A1C7D">
        <w:rPr>
          <w:rFonts w:asciiTheme="minorHAnsi" w:hAnsiTheme="minorHAnsi"/>
          <w:b/>
          <w:bCs/>
          <w:sz w:val="40"/>
          <w:szCs w:val="40"/>
        </w:rPr>
        <w:t xml:space="preserve">b e c </w:t>
      </w:r>
      <w:r w:rsidR="00803602" w:rsidRPr="006A1C7D">
        <w:rPr>
          <w:rFonts w:asciiTheme="minorHAnsi" w:hAnsiTheme="minorHAnsi"/>
          <w:b/>
          <w:bCs/>
          <w:sz w:val="40"/>
          <w:szCs w:val="40"/>
        </w:rPr>
        <w:t xml:space="preserve">  </w:t>
      </w:r>
      <w:r w:rsidRPr="006A1C7D">
        <w:rPr>
          <w:rFonts w:asciiTheme="minorHAnsi" w:hAnsiTheme="minorHAnsi"/>
          <w:b/>
          <w:bCs/>
          <w:sz w:val="40"/>
          <w:szCs w:val="40"/>
        </w:rPr>
        <w:t>V R C H T E P L Á</w:t>
      </w:r>
    </w:p>
    <w:p w:rsidR="004B4100" w:rsidRPr="006A1C7D" w:rsidRDefault="004B4100" w:rsidP="006A1C7D">
      <w:pPr>
        <w:pStyle w:val="Default"/>
        <w:jc w:val="center"/>
        <w:rPr>
          <w:rFonts w:asciiTheme="minorHAnsi" w:hAnsiTheme="minorHAnsi"/>
          <w:sz w:val="40"/>
          <w:szCs w:val="40"/>
        </w:rPr>
      </w:pPr>
      <w:r w:rsidRPr="006A1C7D">
        <w:rPr>
          <w:rFonts w:asciiTheme="minorHAnsi" w:hAnsiTheme="minorHAnsi"/>
          <w:b/>
          <w:bCs/>
          <w:sz w:val="40"/>
          <w:szCs w:val="40"/>
        </w:rPr>
        <w:t>-----------------------------------</w:t>
      </w:r>
    </w:p>
    <w:p w:rsidR="004B4100" w:rsidRPr="006A1C7D" w:rsidRDefault="004B4100" w:rsidP="008F7F22">
      <w:pPr>
        <w:pStyle w:val="Default"/>
        <w:rPr>
          <w:rFonts w:asciiTheme="minorHAnsi" w:hAnsiTheme="minorHAnsi"/>
          <w:b/>
          <w:bCs/>
          <w:sz w:val="52"/>
          <w:szCs w:val="52"/>
        </w:rPr>
      </w:pPr>
    </w:p>
    <w:p w:rsidR="004B4100" w:rsidRPr="006A1C7D" w:rsidRDefault="004B4100" w:rsidP="008F7F22">
      <w:pPr>
        <w:pStyle w:val="Default"/>
        <w:rPr>
          <w:rFonts w:asciiTheme="minorHAnsi" w:hAnsiTheme="minorHAnsi"/>
          <w:b/>
          <w:bCs/>
          <w:sz w:val="52"/>
          <w:szCs w:val="52"/>
        </w:rPr>
      </w:pPr>
    </w:p>
    <w:p w:rsidR="00803602" w:rsidRPr="006A1C7D" w:rsidRDefault="00803602" w:rsidP="008F7F22">
      <w:pPr>
        <w:pStyle w:val="Default"/>
        <w:rPr>
          <w:rFonts w:asciiTheme="minorHAnsi" w:hAnsiTheme="minorHAnsi"/>
          <w:b/>
          <w:bCs/>
          <w:sz w:val="52"/>
          <w:szCs w:val="52"/>
        </w:rPr>
      </w:pPr>
    </w:p>
    <w:p w:rsidR="00803602" w:rsidRPr="006A1C7D" w:rsidRDefault="00803602" w:rsidP="008F7F22">
      <w:pPr>
        <w:pStyle w:val="Default"/>
        <w:rPr>
          <w:rFonts w:asciiTheme="minorHAnsi" w:hAnsiTheme="minorHAnsi"/>
          <w:b/>
          <w:bCs/>
          <w:sz w:val="52"/>
          <w:szCs w:val="52"/>
        </w:rPr>
      </w:pPr>
    </w:p>
    <w:p w:rsidR="008F7F22" w:rsidRPr="006A1C7D" w:rsidRDefault="008F7F22" w:rsidP="00803602">
      <w:pPr>
        <w:pStyle w:val="Default"/>
        <w:jc w:val="center"/>
        <w:rPr>
          <w:rFonts w:asciiTheme="minorHAnsi" w:hAnsiTheme="minorHAnsi"/>
          <w:sz w:val="52"/>
          <w:szCs w:val="52"/>
        </w:rPr>
      </w:pPr>
      <w:r w:rsidRPr="006A1C7D">
        <w:rPr>
          <w:rFonts w:asciiTheme="minorHAnsi" w:hAnsiTheme="minorHAnsi"/>
          <w:b/>
          <w:bCs/>
          <w:sz w:val="52"/>
          <w:szCs w:val="52"/>
        </w:rPr>
        <w:t>Výročná správa Obce V r c h t e p l á</w:t>
      </w:r>
    </w:p>
    <w:p w:rsidR="008F7F22" w:rsidRPr="006A1C7D" w:rsidRDefault="0090266F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  <w:r w:rsidRPr="006A1C7D">
        <w:rPr>
          <w:rFonts w:asciiTheme="minorHAnsi" w:hAnsiTheme="minorHAnsi"/>
          <w:b/>
          <w:bCs/>
          <w:sz w:val="52"/>
          <w:szCs w:val="52"/>
        </w:rPr>
        <w:t>za rok 2015</w:t>
      </w: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  <w:r w:rsidRPr="006A1C7D">
        <w:rPr>
          <w:rFonts w:asciiTheme="minorHAnsi" w:hAnsiTheme="minorHAnsi"/>
          <w:b/>
          <w:bCs/>
          <w:noProof/>
          <w:sz w:val="52"/>
          <w:szCs w:val="52"/>
          <w:lang w:eastAsia="sk-SK"/>
        </w:rPr>
        <w:drawing>
          <wp:inline distT="0" distB="0" distL="0" distR="0" wp14:anchorId="1E31B353" wp14:editId="73B93005">
            <wp:extent cx="3386467" cy="3924000"/>
            <wp:effectExtent l="0" t="0" r="4445" b="63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6467" cy="39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</w:p>
    <w:p w:rsidR="008F7F22" w:rsidRPr="006A1C7D" w:rsidRDefault="00A9124F" w:rsidP="008F7F22">
      <w:pPr>
        <w:pStyle w:val="Default"/>
        <w:rPr>
          <w:rFonts w:asciiTheme="minorHAnsi" w:hAnsiTheme="minorHAnsi"/>
          <w:sz w:val="28"/>
          <w:szCs w:val="28"/>
        </w:rPr>
      </w:pPr>
      <w:r w:rsidRPr="006A1C7D">
        <w:rPr>
          <w:rFonts w:asciiTheme="minorHAnsi" w:hAnsiTheme="minorHAnsi"/>
          <w:b/>
          <w:bCs/>
          <w:sz w:val="28"/>
          <w:szCs w:val="28"/>
        </w:rPr>
        <w:t>Vo Vrchteplej, december 2016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</w:rPr>
      </w:pPr>
    </w:p>
    <w:p w:rsidR="008F7F22" w:rsidRPr="006A1C7D" w:rsidRDefault="008F7F22" w:rsidP="008F7F22">
      <w:pPr>
        <w:pStyle w:val="Default"/>
        <w:pageBreakBefore/>
        <w:rPr>
          <w:rFonts w:asciiTheme="minorHAnsi" w:hAnsiTheme="minorHAnsi"/>
          <w:color w:val="auto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8"/>
          <w:szCs w:val="28"/>
        </w:rPr>
      </w:pPr>
      <w:r w:rsidRPr="006A1C7D">
        <w:rPr>
          <w:rFonts w:asciiTheme="minorHAnsi" w:hAnsiTheme="minorHAnsi"/>
          <w:b/>
          <w:bCs/>
          <w:color w:val="auto"/>
          <w:sz w:val="28"/>
          <w:szCs w:val="28"/>
        </w:rPr>
        <w:t xml:space="preserve">1. Základná charakteristika Obce Vrchteplá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Obec je samostatný územný samosprávny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F04085" w:rsidRPr="006A1C7D" w:rsidRDefault="00F04085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b/>
          <w:color w:val="auto"/>
          <w:sz w:val="28"/>
          <w:szCs w:val="28"/>
        </w:rPr>
      </w:pPr>
      <w:r w:rsidRPr="006A1C7D">
        <w:rPr>
          <w:rFonts w:asciiTheme="minorHAnsi" w:hAnsiTheme="minorHAnsi"/>
          <w:b/>
          <w:color w:val="auto"/>
          <w:sz w:val="28"/>
          <w:szCs w:val="28"/>
        </w:rPr>
        <w:t xml:space="preserve">1.1. </w:t>
      </w:r>
      <w:r w:rsidRPr="006A1C7D">
        <w:rPr>
          <w:rFonts w:asciiTheme="minorHAnsi" w:hAnsiTheme="minorHAnsi"/>
          <w:b/>
          <w:bCs/>
          <w:color w:val="auto"/>
          <w:sz w:val="28"/>
          <w:szCs w:val="28"/>
        </w:rPr>
        <w:t xml:space="preserve">Geografické údaje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Geografická poloha obce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Obec Vrchteplá leží v srdci Chránenej krajinnej oblasti Strážovské vrchy, v tesnej blízkosti Národnej prírodnej rezervácie Manínska tiesňava a uprostred turisticky významných Súľovských skál. V strednej odlesnenej časti má povrch chotára charakter pahorkatiny a hornatiny, na zalesnených okrajoch vrchovina až hornatina z treťohorných usadenín. Prevládajú rendziny. Obec Vrchteplá sa nachádza v Trenčianskom kraji.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Z geomorfologického hľadiska leží katastrálne územie Vrchteplej vo Fatransko- Tatranskej oblasti, v jej celku Súľovské vrchy, v strede podcelku Súľovské skaly, v závere doliny Manínskeho potoka.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Celé katastrálne územie obce leží v Chránenej krajinnej oblasti Strážovské vrchy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Susedné obce: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Katastrálne územie Vrchteplej hraničí s katastrom obcí Kostolec, Bodiná, Hradná, Súľov a Plevník – Drienove.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Celková rozloha obce: 490 ha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Nadmorská výška: </w:t>
      </w:r>
      <w:r w:rsidRPr="006A1C7D">
        <w:rPr>
          <w:rFonts w:asciiTheme="minorHAnsi" w:hAnsiTheme="minorHAnsi"/>
          <w:b/>
          <w:bCs/>
          <w:color w:val="auto"/>
          <w:sz w:val="22"/>
          <w:szCs w:val="22"/>
        </w:rPr>
        <w:t xml:space="preserve">: </w:t>
      </w:r>
      <w:r w:rsidRPr="006A1C7D">
        <w:rPr>
          <w:rFonts w:asciiTheme="minorHAnsi" w:hAnsiTheme="minorHAnsi"/>
          <w:color w:val="auto"/>
          <w:sz w:val="22"/>
          <w:szCs w:val="22"/>
        </w:rPr>
        <w:t xml:space="preserve">520 m nad morom stred obce ,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490 – 835 m n.m. v chotári </w:t>
      </w:r>
    </w:p>
    <w:p w:rsidR="00F04085" w:rsidRPr="006A1C7D" w:rsidRDefault="00F04085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F04085" w:rsidRPr="006A1C7D" w:rsidRDefault="00F04085" w:rsidP="008F7F22">
      <w:pPr>
        <w:pStyle w:val="Default"/>
        <w:rPr>
          <w:rFonts w:asciiTheme="minorHAnsi" w:hAnsiTheme="minorHAnsi"/>
          <w:b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b/>
          <w:color w:val="auto"/>
          <w:sz w:val="28"/>
          <w:szCs w:val="28"/>
        </w:rPr>
      </w:pPr>
      <w:r w:rsidRPr="006A1C7D">
        <w:rPr>
          <w:rFonts w:asciiTheme="minorHAnsi" w:hAnsiTheme="minorHAnsi"/>
          <w:b/>
          <w:color w:val="auto"/>
          <w:sz w:val="28"/>
          <w:szCs w:val="28"/>
        </w:rPr>
        <w:t xml:space="preserve">1.2. </w:t>
      </w:r>
      <w:r w:rsidRPr="006A1C7D">
        <w:rPr>
          <w:rFonts w:asciiTheme="minorHAnsi" w:hAnsiTheme="minorHAnsi"/>
          <w:b/>
          <w:bCs/>
          <w:color w:val="auto"/>
          <w:sz w:val="28"/>
          <w:szCs w:val="28"/>
        </w:rPr>
        <w:t xml:space="preserve">Demografické údaje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8"/>
          <w:szCs w:val="28"/>
        </w:rPr>
      </w:pPr>
    </w:p>
    <w:p w:rsidR="008F7F22" w:rsidRPr="006A1C7D" w:rsidRDefault="00216940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>Počet obyvateľov: 262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Prehľad o počte obyvateľstva: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V r. 1869 – 253 obyvateľov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1940 – 301 obyv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1948 – 223 obyv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1961 – 337 obyv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1970 – 372 obyv.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b/>
          <w:bCs/>
          <w:color w:val="auto"/>
          <w:sz w:val="22"/>
          <w:szCs w:val="22"/>
        </w:rPr>
        <w:t xml:space="preserve">2007 - 258 obyv.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Národnostná štruktúra: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Štruktúra obyvateľstva podľa náboženského vyznania: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prevažne Evanjelická cirkev augsburského vyznania - 68,65 %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Rímskokatolícka cirkev – 22,61 % </w:t>
      </w:r>
    </w:p>
    <w:p w:rsidR="00F04085" w:rsidRPr="006A1C7D" w:rsidRDefault="00F04085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F04085" w:rsidRPr="006A1C7D" w:rsidRDefault="00F04085" w:rsidP="008F7F22">
      <w:pPr>
        <w:pStyle w:val="Default"/>
        <w:rPr>
          <w:rFonts w:asciiTheme="minorHAnsi" w:hAnsiTheme="minorHAnsi"/>
          <w:b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b/>
          <w:color w:val="auto"/>
          <w:sz w:val="28"/>
          <w:szCs w:val="28"/>
        </w:rPr>
      </w:pPr>
      <w:r w:rsidRPr="006A1C7D">
        <w:rPr>
          <w:rFonts w:asciiTheme="minorHAnsi" w:hAnsiTheme="minorHAnsi"/>
          <w:b/>
          <w:color w:val="auto"/>
          <w:sz w:val="28"/>
          <w:szCs w:val="28"/>
        </w:rPr>
        <w:t xml:space="preserve">1.3. </w:t>
      </w:r>
      <w:r w:rsidRPr="006A1C7D">
        <w:rPr>
          <w:rFonts w:asciiTheme="minorHAnsi" w:hAnsiTheme="minorHAnsi"/>
          <w:b/>
          <w:bCs/>
          <w:color w:val="auto"/>
          <w:sz w:val="28"/>
          <w:szCs w:val="28"/>
        </w:rPr>
        <w:t xml:space="preserve">Symboly obce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3"/>
          <w:szCs w:val="23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Erb obce: v striebornom štíte zo zelenej oblej trávnatej pažite vyrastajú tri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ervené zlatostredé a zlatokališné ruže na zelených listnatých stopkách, medzi nimi po jednom zelenom bezkvetom výhon</w:t>
      </w:r>
      <w:r w:rsidR="00325777">
        <w:rPr>
          <w:rFonts w:asciiTheme="minorHAnsi" w:hAnsiTheme="minorHAnsi" w:cs="BrowalliaUPC"/>
          <w:color w:val="auto"/>
          <w:sz w:val="22"/>
          <w:szCs w:val="22"/>
        </w:rPr>
        <w:t xml:space="preserve">ku.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pageBreakBefore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lastRenderedPageBreak/>
        <w:t>Vlajka obce: pozostáva z deviatich pozd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ĺ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žnych pruhov vo farbách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ervenej, bielej, zelenej, žltej,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ervenej, žltej, zelenej, bielej a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ervenej. Vlajka má pomer strán 2:3 a ukon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ená je tromi cípmi, t.j. dvomi zástrihmi, siahajúcimi do tretiny jej listu.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Pe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obce: je okrúhla, uprostred s obecným symbolom a kruhopisom OBEC VRCHTEPLÁ. Pe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má priemer 35 mm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Logo obce: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Obec Vrchteplá nemá vlastné logo obce. </w:t>
      </w:r>
    </w:p>
    <w:p w:rsidR="006D3E35" w:rsidRPr="006A1C7D" w:rsidRDefault="006D3E35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1.4. História obce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1430 – Toppla, 1431 Tepla, 1440 - Werchtepla,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1458 – Felsew Tepla, 1495 Wrchtepla, 1598 Wrchtepla,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ma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ď</w:t>
      </w:r>
      <w:r w:rsidR="006A1C7D">
        <w:rPr>
          <w:rFonts w:asciiTheme="minorHAnsi" w:hAnsiTheme="minorHAnsi" w:cs="Calibri"/>
          <w:color w:val="auto"/>
          <w:sz w:val="22"/>
          <w:szCs w:val="22"/>
        </w:rPr>
        <w:t>arsky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Vrchteplá – Felsoheve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Župa Tren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ianska, okres Považská Bystrica,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Kraj Žilina do r. 1960, okres Považská Bystrica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Kraj Stredoslovenský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Kochanovské, Minar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íkovské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Prvá doteraz známa písomná zmienka o Vrchteplej pochádza z roku 1351. Je to listina,ktorou nariadil krá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udovít I. nitranskej kapitule, aby uviedla Mikuláša, syna Adriana z Podmanína a Pavla, syna Tanaka z Teplej do držby lesného majetku zvaného Lú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ka. U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ď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alších zemanov sa uvádzajú slovenské miestne názvy jako predikáty.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Klobušický /z vetvy rodu Podmanických/ sa uvádza z Vrchteplej „Werch“ možno považova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za prvú písomnú podobu názvu obce. </w:t>
      </w:r>
    </w:p>
    <w:p w:rsidR="00325777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>Pamiatky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Pamätník SNP na kopci Hôrka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Pamätná izba SNP zriadená v budove Bývalej Základnej školy </w:t>
      </w:r>
    </w:p>
    <w:p w:rsidR="006D3E35" w:rsidRPr="006A1C7D" w:rsidRDefault="006D3E35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1.5. </w:t>
      </w:r>
      <w:r w:rsidRPr="006A1C7D">
        <w:rPr>
          <w:rFonts w:asciiTheme="minorHAnsi" w:hAnsiTheme="minorHAnsi" w:cs="BrowalliaUPC"/>
          <w:b/>
          <w:bCs/>
          <w:color w:val="auto"/>
          <w:sz w:val="28"/>
          <w:szCs w:val="28"/>
        </w:rPr>
        <w:t xml:space="preserve">Významné osobnosti </w:t>
      </w:r>
    </w:p>
    <w:p w:rsidR="006A1C7D" w:rsidRDefault="006A1C7D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Neboli zaevidované významné osobnosti. </w:t>
      </w:r>
    </w:p>
    <w:p w:rsidR="006A1C7D" w:rsidRDefault="006A1C7D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1.6. </w:t>
      </w:r>
      <w:r w:rsidRPr="006A1C7D">
        <w:rPr>
          <w:rFonts w:asciiTheme="minorHAnsi" w:hAnsiTheme="minorHAnsi" w:cs="BrowalliaUPC"/>
          <w:b/>
          <w:bCs/>
          <w:color w:val="auto"/>
          <w:sz w:val="28"/>
          <w:szCs w:val="28"/>
        </w:rPr>
        <w:t xml:space="preserve">Výchova a vzdelávanie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V obci nemáme zriadenú ani základnú školu, ani materskú škôlku. Deti navštevujú materskú škôlku v Považskej Teplej, alebo v okresnom meste v Považskej Bystrici.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Základná škola nie je zriadená v obci, deti navštevujú základnú školu v Považskej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Teplej, alebo v okresnom meste Považská Bystrica. </w:t>
      </w:r>
    </w:p>
    <w:p w:rsidR="006D3E35" w:rsidRPr="006A1C7D" w:rsidRDefault="006D3E35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1.7. Zdravotníctvo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V obci nemáme poskytovanú zdravotnú starostlivos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Naši ob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ania využívajú zdravotnú starostlivos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v Nemocnici s poliklinikou v Považskej Bystrici, ktorá je vzdialená 15 km od našej obce. </w:t>
      </w:r>
    </w:p>
    <w:p w:rsidR="006D3E35" w:rsidRPr="006A1C7D" w:rsidRDefault="006D3E35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1.8. </w:t>
      </w:r>
      <w:r w:rsidRPr="006A1C7D">
        <w:rPr>
          <w:rFonts w:asciiTheme="minorHAnsi" w:hAnsiTheme="minorHAnsi" w:cs="BrowalliaUPC"/>
          <w:b/>
          <w:bCs/>
          <w:color w:val="auto"/>
          <w:sz w:val="28"/>
          <w:szCs w:val="28"/>
        </w:rPr>
        <w:t>Sociálne zabezpe</w:t>
      </w:r>
      <w:r w:rsidRPr="006A1C7D">
        <w:rPr>
          <w:rFonts w:asciiTheme="minorHAnsi" w:hAnsiTheme="minorHAnsi" w:cs="Calibri"/>
          <w:b/>
          <w:bCs/>
          <w:color w:val="auto"/>
          <w:sz w:val="28"/>
          <w:szCs w:val="28"/>
        </w:rPr>
        <w:t>č</w:t>
      </w:r>
      <w:r w:rsidRPr="006A1C7D">
        <w:rPr>
          <w:rFonts w:asciiTheme="minorHAnsi" w:hAnsiTheme="minorHAnsi" w:cs="BrowalliaUPC"/>
          <w:b/>
          <w:bCs/>
          <w:color w:val="auto"/>
          <w:sz w:val="28"/>
          <w:szCs w:val="28"/>
        </w:rPr>
        <w:t xml:space="preserve">enie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Na sociálnom úseku obec zabezpe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uje nevyhnutnú sociálnu starostlivos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pre svojich ob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anov formou opatrovate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skej služby v domácnosti prostredníctvom 2 </w:t>
      </w:r>
      <w:r w:rsidR="00325777">
        <w:rPr>
          <w:rFonts w:asciiTheme="minorHAnsi" w:hAnsiTheme="minorHAnsi" w:cs="BrowalliaUPC"/>
          <w:color w:val="auto"/>
          <w:sz w:val="22"/>
          <w:szCs w:val="22"/>
        </w:rPr>
        <w:t xml:space="preserve">opatrovateliek.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pageBreakBefore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1.9. </w:t>
      </w:r>
      <w:r w:rsidRPr="006A1C7D">
        <w:rPr>
          <w:rFonts w:asciiTheme="minorHAnsi" w:hAnsiTheme="minorHAnsi" w:cs="BrowalliaUPC"/>
          <w:b/>
          <w:bCs/>
          <w:color w:val="auto"/>
          <w:sz w:val="28"/>
          <w:szCs w:val="28"/>
        </w:rPr>
        <w:t xml:space="preserve">Kultúra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Spolo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enský a kultúrny život v obci zabezpe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uje obecný úrad prostredníctvom obecného úradu a poslancov obecného zastupite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stva. </w:t>
      </w:r>
      <w:r w:rsidR="00EC7624" w:rsidRPr="006A1C7D">
        <w:rPr>
          <w:rFonts w:asciiTheme="minorHAnsi" w:hAnsiTheme="minorHAnsi" w:cs="BrowalliaUPC"/>
          <w:color w:val="auto"/>
          <w:sz w:val="22"/>
          <w:szCs w:val="22"/>
        </w:rPr>
        <w:t>Obec má obecnú knižnicu, ktorá v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sú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asnosti stagnuje a miestny rozhlas.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V obci organizujeme tieto kultúrne akcie: Medzinárodný de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ň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detí, Posedenie s dôchodcami, uvítanie detí do života.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1.10. </w:t>
      </w: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Hospodárstvo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V obci sa nachádzajú len malé prevádzky živnostníkov a to: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SHR Rudolf Vokel – chov oviec /nástupca po JRD/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Martin Varhaník – Eurotrans a Potraviny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O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ga Varhaníková – Hostinec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Jaroslav Bohuš – bar 111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AVOM Miloš Vokel – výroba betonárskych výrobkov </w:t>
      </w:r>
    </w:p>
    <w:p w:rsidR="00EC7624" w:rsidRPr="006A1C7D" w:rsidRDefault="00EC7624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Daniel Vokel – </w:t>
      </w:r>
      <w:r w:rsidR="006D52C7" w:rsidRPr="006A1C7D">
        <w:rPr>
          <w:rFonts w:asciiTheme="minorHAnsi" w:hAnsiTheme="minorHAnsi" w:cs="BrowalliaUPC"/>
          <w:color w:val="auto"/>
          <w:sz w:val="22"/>
          <w:szCs w:val="22"/>
        </w:rPr>
        <w:t>kovovýroba</w:t>
      </w:r>
    </w:p>
    <w:p w:rsidR="00EC7624" w:rsidRPr="006A1C7D" w:rsidRDefault="00EC7624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1.11. </w:t>
      </w: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>Organiza</w:t>
      </w:r>
      <w:r w:rsidRPr="006A1C7D">
        <w:rPr>
          <w:rFonts w:asciiTheme="minorHAnsi" w:hAnsiTheme="minorHAnsi" w:cs="Calibri"/>
          <w:b/>
          <w:bCs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ná štruktúra obce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Starosta obce: </w:t>
      </w:r>
      <w:r w:rsidR="004B4100" w:rsidRPr="006A1C7D">
        <w:rPr>
          <w:rFonts w:asciiTheme="minorHAnsi" w:hAnsiTheme="minorHAnsi" w:cs="BrowalliaUPC"/>
          <w:color w:val="auto"/>
          <w:sz w:val="22"/>
          <w:szCs w:val="22"/>
        </w:rPr>
        <w:t>Ladislav Kolek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Zástupca starostu obce: </w:t>
      </w:r>
      <w:r w:rsidR="004B4100"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="004B4100" w:rsidRPr="006A1C7D">
        <w:rPr>
          <w:rFonts w:asciiTheme="minorHAnsi" w:hAnsiTheme="minorHAnsi" w:cs="BrowalliaUPC"/>
          <w:color w:val="auto"/>
          <w:sz w:val="22"/>
          <w:szCs w:val="22"/>
        </w:rPr>
        <w:t>ubomír Novosad</w:t>
      </w:r>
    </w:p>
    <w:p w:rsidR="004B4100" w:rsidRPr="006A1C7D" w:rsidRDefault="008F7F22" w:rsidP="004B4100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Obecné zastupite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stvo: </w:t>
      </w:r>
      <w:r w:rsidR="004B4100" w:rsidRPr="006A1C7D">
        <w:rPr>
          <w:rFonts w:asciiTheme="minorHAnsi" w:hAnsiTheme="minorHAnsi" w:cs="BrowalliaUPC"/>
          <w:color w:val="auto"/>
          <w:sz w:val="22"/>
          <w:szCs w:val="22"/>
        </w:rPr>
        <w:t>Ing. Miroslav Minar</w:t>
      </w:r>
      <w:r w:rsidR="004B4100"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="004B4100" w:rsidRPr="006A1C7D">
        <w:rPr>
          <w:rFonts w:asciiTheme="minorHAnsi" w:hAnsiTheme="minorHAnsi" w:cs="BrowalliaUPC"/>
          <w:color w:val="auto"/>
          <w:sz w:val="22"/>
          <w:szCs w:val="22"/>
        </w:rPr>
        <w:t>ík</w:t>
      </w:r>
    </w:p>
    <w:p w:rsidR="004B4100" w:rsidRPr="006A1C7D" w:rsidRDefault="004B4100" w:rsidP="004B4100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                                  </w:t>
      </w:r>
      <w:r w:rsidR="00325777">
        <w:rPr>
          <w:rFonts w:asciiTheme="minorHAnsi" w:hAnsiTheme="minorHAnsi" w:cs="BrowalliaUPC"/>
          <w:color w:val="auto"/>
          <w:sz w:val="22"/>
          <w:szCs w:val="22"/>
        </w:rPr>
        <w:tab/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Ing. Zdena Bohušová, PhD </w:t>
      </w:r>
    </w:p>
    <w:p w:rsidR="004B4100" w:rsidRPr="006A1C7D" w:rsidRDefault="004B4100" w:rsidP="004B4100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                                    </w:t>
      </w:r>
      <w:r w:rsidR="00325777">
        <w:rPr>
          <w:rFonts w:asciiTheme="minorHAnsi" w:hAnsiTheme="minorHAnsi" w:cs="BrowalliaUPC"/>
          <w:color w:val="auto"/>
          <w:sz w:val="22"/>
          <w:szCs w:val="22"/>
        </w:rPr>
        <w:tab/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Daniel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Ď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urkovský </w:t>
      </w:r>
    </w:p>
    <w:p w:rsidR="004B4100" w:rsidRPr="006A1C7D" w:rsidRDefault="004B4100" w:rsidP="004B4100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                                    </w:t>
      </w:r>
      <w:r w:rsidR="00325777">
        <w:rPr>
          <w:rFonts w:asciiTheme="minorHAnsi" w:hAnsiTheme="minorHAnsi" w:cs="BrowalliaUPC"/>
          <w:color w:val="auto"/>
          <w:sz w:val="22"/>
          <w:szCs w:val="22"/>
        </w:rPr>
        <w:tab/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Miroslav Bohuš </w:t>
      </w:r>
    </w:p>
    <w:p w:rsidR="004B4100" w:rsidRPr="006A1C7D" w:rsidRDefault="004B4100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Obecný úrad: </w:t>
      </w:r>
    </w:p>
    <w:p w:rsidR="008F7F22" w:rsidRPr="006A1C7D" w:rsidRDefault="004B4100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>Ladislav Kolek</w:t>
      </w:r>
      <w:r w:rsidR="00325777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 -</w:t>
      </w: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 </w:t>
      </w:r>
      <w:r w:rsidR="008F7F22" w:rsidRPr="006A1C7D">
        <w:rPr>
          <w:rFonts w:asciiTheme="minorHAnsi" w:hAnsiTheme="minorHAnsi" w:cs="BrowalliaUPC"/>
          <w:color w:val="auto"/>
          <w:sz w:val="22"/>
          <w:szCs w:val="22"/>
        </w:rPr>
        <w:t xml:space="preserve">starosta obce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Viera Vokelová </w:t>
      </w:r>
      <w:r w:rsidR="00325777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- 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ú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tovníctvo obce, rozpo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et, da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ň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z nehnute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ností, miestne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dane, komunálny odpad, poplatky, mzdová agenda, evidencia </w:t>
      </w:r>
    </w:p>
    <w:p w:rsidR="00CA0160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obyvate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stva, podatel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ň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a, úsek spisový a skarta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ný, poklad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ň</w:t>
      </w:r>
      <w:r w:rsidR="00CA0160" w:rsidRPr="006A1C7D">
        <w:rPr>
          <w:rFonts w:asciiTheme="minorHAnsi" w:hAnsiTheme="minorHAnsi" w:cs="BrowalliaUPC"/>
          <w:color w:val="auto"/>
          <w:sz w:val="22"/>
          <w:szCs w:val="22"/>
        </w:rPr>
        <w:t>a, ove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rovanie listín a podpisov,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evidencia brancov, CO, vyhlasovanie v MR, š</w:t>
      </w:r>
      <w:r w:rsidR="004B4100" w:rsidRPr="006A1C7D">
        <w:rPr>
          <w:rFonts w:asciiTheme="minorHAnsi" w:hAnsiTheme="minorHAnsi" w:cs="BrowalliaUPC"/>
          <w:color w:val="auto"/>
          <w:sz w:val="22"/>
          <w:szCs w:val="22"/>
        </w:rPr>
        <w:t xml:space="preserve">tatistika,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A9124F" w:rsidRPr="006A1C7D" w:rsidRDefault="00A9124F" w:rsidP="004E3287">
      <w:pPr>
        <w:pStyle w:val="Default"/>
        <w:rPr>
          <w:rFonts w:asciiTheme="minorHAnsi" w:hAnsiTheme="minorHAnsi" w:cs="BrowalliaUPC"/>
        </w:rPr>
      </w:pPr>
    </w:p>
    <w:p w:rsidR="004E3287" w:rsidRPr="006A1C7D" w:rsidRDefault="004E3287" w:rsidP="004E3287">
      <w:pPr>
        <w:pStyle w:val="Default"/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>Obec ako samostatný územný samosprávny a správny celok SR sa riadi zákonom č.369/1990Zb. o obecnom zriadení v znení neskorších predpisov a Ústavou SR. Základnou úlohou obce pri výkone samosprávy je starostlivosť o všestranný rozvoj svojho územia a uspokojovanie potrieb obyvateľov obce.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 xml:space="preserve">       Základný nástrojom finančného hospodárenia obce v príslušnom roku je rozpočet obce, ktorým sa riadi financovanie úloh a funkcií obce. Vyjadruje samostatnosť hospodárenia obce.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 xml:space="preserve"> 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 xml:space="preserve">Účtovníctvo obce sa vedie podľa zákona č.431/2002 Z.z. o účtovníctve v znení neskorších predpisov a v zmysle § 20 zákona sa vyhotovuje táto výročná správa. 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4E3287" w:rsidRPr="006A1C7D" w:rsidRDefault="004E3287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  <w:r w:rsidRPr="006A1C7D">
        <w:rPr>
          <w:rFonts w:asciiTheme="minorHAnsi" w:hAnsiTheme="minorHAnsi" w:cs="BrowalliaUPC"/>
          <w:b/>
          <w:sz w:val="28"/>
          <w:szCs w:val="28"/>
        </w:rPr>
        <w:lastRenderedPageBreak/>
        <w:t>Obsah výročnej správy: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4E3287" w:rsidRPr="006A1C7D" w:rsidRDefault="004E3287" w:rsidP="004E3287">
      <w:pPr>
        <w:pStyle w:val="Default"/>
        <w:numPr>
          <w:ilvl w:val="0"/>
          <w:numId w:val="6"/>
        </w:numPr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>Vývoj činnosti obce, jej finančná situácia, riziká a neistoty, ktorým je obec vystavená.</w:t>
      </w:r>
    </w:p>
    <w:p w:rsidR="004E3287" w:rsidRPr="006A1C7D" w:rsidRDefault="004E3287" w:rsidP="004E3287">
      <w:pPr>
        <w:pStyle w:val="Default"/>
        <w:numPr>
          <w:ilvl w:val="0"/>
          <w:numId w:val="6"/>
        </w:numPr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>Udalosti osobitného významu, ktoré nastali po skončení účtovného obdobia, za ktoré sa vyhotovuje výročná správa.</w:t>
      </w:r>
    </w:p>
    <w:p w:rsidR="004E3287" w:rsidRPr="006A1C7D" w:rsidRDefault="004E3287" w:rsidP="004E3287">
      <w:pPr>
        <w:pStyle w:val="Default"/>
        <w:numPr>
          <w:ilvl w:val="0"/>
          <w:numId w:val="6"/>
        </w:numPr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>Predpokladaný budúci vývoj činnosti účtovnej jednotky.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</w:rPr>
      </w:pPr>
    </w:p>
    <w:p w:rsidR="004E3287" w:rsidRPr="006A1C7D" w:rsidRDefault="004E3287" w:rsidP="004E3287">
      <w:pPr>
        <w:pStyle w:val="Default"/>
        <w:numPr>
          <w:ilvl w:val="0"/>
          <w:numId w:val="7"/>
        </w:numPr>
        <w:rPr>
          <w:rFonts w:asciiTheme="minorHAnsi" w:hAnsiTheme="minorHAnsi" w:cs="BrowalliaUPC"/>
          <w:i/>
          <w:u w:val="single"/>
        </w:rPr>
      </w:pPr>
      <w:r w:rsidRPr="006A1C7D">
        <w:rPr>
          <w:rFonts w:asciiTheme="minorHAnsi" w:hAnsiTheme="minorHAnsi" w:cs="BrowalliaUPC"/>
          <w:i/>
          <w:u w:val="single"/>
        </w:rPr>
        <w:t>Vývoj činnosti obce, jej finančná situácia, riziká a neistoty, ktorým je obec vystavená: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  <w:i/>
          <w:u w:val="single"/>
        </w:rPr>
      </w:pPr>
    </w:p>
    <w:p w:rsidR="004E3287" w:rsidRPr="006A1C7D" w:rsidRDefault="004E3287" w:rsidP="004E3287">
      <w:pPr>
        <w:pStyle w:val="Default"/>
        <w:numPr>
          <w:ilvl w:val="0"/>
          <w:numId w:val="8"/>
        </w:numPr>
        <w:rPr>
          <w:rFonts w:asciiTheme="minorHAnsi" w:hAnsiTheme="minorHAnsi" w:cs="BrowalliaUPC"/>
          <w:i/>
        </w:rPr>
      </w:pPr>
      <w:r w:rsidRPr="006A1C7D">
        <w:rPr>
          <w:rFonts w:asciiTheme="minorHAnsi" w:hAnsiTheme="minorHAnsi" w:cs="BrowalliaUPC"/>
          <w:i/>
        </w:rPr>
        <w:t>Analýza a prognóza vývoja účtovnej jednotky na základe ukazovateľov „Výkazu o plnení rozpočtu a o plnení vybraných finančných ukazovateľov obce“ v EUR: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7"/>
        <w:gridCol w:w="2948"/>
        <w:gridCol w:w="3047"/>
      </w:tblGrid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  <w:i/>
              </w:rPr>
            </w:pP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Vybrané ukazovatele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ROK 2015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rozpočet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Rok 2015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skutočnosť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Bežné príjmy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F1143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49 855</w:t>
            </w:r>
            <w:r w:rsidR="004E3287" w:rsidRPr="006A1C7D">
              <w:rPr>
                <w:rFonts w:asciiTheme="minorHAnsi" w:hAnsiTheme="minorHAnsi" w:cs="BrowalliaUPC"/>
              </w:rPr>
              <w:t>,00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F1143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53 934,14</w:t>
            </w: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Bežné výdavky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F1143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45 855</w:t>
            </w:r>
            <w:r w:rsidR="004E3287" w:rsidRPr="006A1C7D">
              <w:rPr>
                <w:rFonts w:asciiTheme="minorHAnsi" w:hAnsiTheme="minorHAnsi" w:cs="BrowalliaUPC"/>
              </w:rPr>
              <w:t>,00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F1143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50 001,08</w:t>
            </w: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Kapitálové príjmy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B36B31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B36B31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32 651,00</w:t>
            </w: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Kapitálové výdavky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F1143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4 000,00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F1143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39 881,20</w:t>
            </w: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Finančné operácie príjmové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F1143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198</w:t>
            </w:r>
            <w:r w:rsidR="00DF2FC4" w:rsidRPr="006A1C7D">
              <w:rPr>
                <w:rFonts w:asciiTheme="minorHAnsi" w:hAnsiTheme="minorHAnsi" w:cs="BrowalliaUPC"/>
              </w:rPr>
              <w:t>,78</w:t>
            </w:r>
          </w:p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Finančné operácie výdavkové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</w:tr>
    </w:tbl>
    <w:p w:rsidR="004E3287" w:rsidRPr="006A1C7D" w:rsidRDefault="004E3287" w:rsidP="004E3287">
      <w:pPr>
        <w:pStyle w:val="Default"/>
        <w:jc w:val="both"/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  <w:i/>
        </w:rPr>
        <w:t xml:space="preserve"> </w:t>
      </w:r>
      <w:r w:rsidRPr="006A1C7D">
        <w:rPr>
          <w:rFonts w:asciiTheme="minorHAnsi" w:hAnsiTheme="minorHAnsi" w:cs="BrowalliaUPC"/>
        </w:rPr>
        <w:t>Hlavné riziká a neistoty, ktoré ovplyvňujú vývoj budúcich príjmov a tým aj rozvoj a fungovanie obce ako samosprávneho celku, sú podielové dane a daňové príjmy od  fyzických osôb. Výška podielových daní môže ohroziť plánované investičné akcie</w:t>
      </w:r>
      <w:r w:rsidR="00E340AA" w:rsidRPr="006A1C7D">
        <w:rPr>
          <w:rFonts w:asciiTheme="minorHAnsi" w:hAnsiTheme="minorHAnsi" w:cs="BrowalliaUPC"/>
        </w:rPr>
        <w:t xml:space="preserve">, </w:t>
      </w:r>
      <w:r w:rsidRPr="006A1C7D">
        <w:rPr>
          <w:rFonts w:asciiTheme="minorHAnsi" w:hAnsiTheme="minorHAnsi" w:cs="BrowalliaUPC"/>
        </w:rPr>
        <w:t xml:space="preserve">ale aj bežné fungovanie obce. </w:t>
      </w:r>
    </w:p>
    <w:p w:rsidR="004E3287" w:rsidRPr="006A1C7D" w:rsidRDefault="004E3287" w:rsidP="004E3287">
      <w:pPr>
        <w:pStyle w:val="Default"/>
        <w:jc w:val="both"/>
        <w:rPr>
          <w:rFonts w:asciiTheme="minorHAnsi" w:hAnsiTheme="minorHAnsi" w:cs="BrowalliaUPC"/>
        </w:rPr>
      </w:pPr>
    </w:p>
    <w:p w:rsidR="004E3287" w:rsidRPr="006A1C7D" w:rsidRDefault="004E3287" w:rsidP="004E3287">
      <w:pPr>
        <w:pStyle w:val="Default"/>
        <w:rPr>
          <w:rFonts w:asciiTheme="minorHAnsi" w:hAnsiTheme="minorHAnsi" w:cs="BrowalliaUPC"/>
        </w:rPr>
      </w:pPr>
    </w:p>
    <w:p w:rsidR="004E3287" w:rsidRPr="006A1C7D" w:rsidRDefault="004E3287" w:rsidP="004E3287">
      <w:pPr>
        <w:pStyle w:val="Default"/>
        <w:numPr>
          <w:ilvl w:val="0"/>
          <w:numId w:val="8"/>
        </w:numPr>
        <w:rPr>
          <w:rFonts w:asciiTheme="minorHAnsi" w:hAnsiTheme="minorHAnsi" w:cs="BrowalliaUPC"/>
          <w:i/>
        </w:rPr>
      </w:pPr>
      <w:r w:rsidRPr="006A1C7D">
        <w:rPr>
          <w:rFonts w:asciiTheme="minorHAnsi" w:hAnsiTheme="minorHAnsi" w:cs="BrowalliaUPC"/>
          <w:i/>
        </w:rPr>
        <w:t>Analýza a prognóza vývoja účtovnej jednotky za vybrané ukazovatele „ Súvahy“ v EUR:</w:t>
      </w:r>
    </w:p>
    <w:tbl>
      <w:tblPr>
        <w:tblW w:w="83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89"/>
        <w:gridCol w:w="667"/>
        <w:gridCol w:w="1419"/>
        <w:gridCol w:w="1132"/>
        <w:gridCol w:w="1101"/>
        <w:gridCol w:w="1450"/>
      </w:tblGrid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Vybrané ukazovatele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</w:p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K 31.12.2014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</w:p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K 31.12.2015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Dlhodobý nehmotný majetok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Dlhodobý hmotný majetok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257 267,56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291 558,76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Dlhodobý finančný majetok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45 708,03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45 708,03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Zásoby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Pohľadávky krátkodobé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239,84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1 136,40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Finančný majetok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153,08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792,38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Poskytnuté návratné výpomoci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Ostatné aktíva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AKTÍVA CELKOM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</w:p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303 368,51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</w:p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339 195,57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Vybrané ukazovatele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ROK 2014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ROK 2015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Výsledok hospod. minulých rokov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 w:rsidP="006A1C7D">
            <w:pPr>
              <w:jc w:val="center"/>
            </w:pPr>
            <w:r w:rsidRPr="006A1C7D">
              <w:t>277 079,86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 w:rsidP="006A1C7D">
            <w:pPr>
              <w:jc w:val="center"/>
            </w:pPr>
            <w:r w:rsidRPr="006A1C7D">
              <w:t>277 079,86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Výsledok hospod. za účtovné obdobie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6A1C7D" w:rsidP="006A1C7D">
            <w:pPr>
              <w:pStyle w:val="Odsekzoznamu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-</w:t>
            </w:r>
            <w:r w:rsidR="00136EF0" w:rsidRPr="006A1C7D">
              <w:rPr>
                <w:rFonts w:asciiTheme="minorHAnsi" w:hAnsiTheme="minorHAnsi"/>
                <w:sz w:val="22"/>
                <w:szCs w:val="22"/>
              </w:rPr>
              <w:t>2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136EF0" w:rsidRPr="006A1C7D">
              <w:rPr>
                <w:rFonts w:asciiTheme="minorHAnsi" w:hAnsiTheme="minorHAnsi"/>
                <w:sz w:val="22"/>
                <w:szCs w:val="22"/>
              </w:rPr>
              <w:t>777,77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136EF0" w:rsidP="006A1C7D">
            <w:pPr>
              <w:ind w:left="360"/>
              <w:jc w:val="center"/>
            </w:pPr>
            <w:r w:rsidRPr="006A1C7D">
              <w:t>7 657,29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>
            <w:pPr>
              <w:rPr>
                <w:b/>
              </w:rPr>
            </w:pPr>
            <w:r w:rsidRPr="006A1C7D">
              <w:rPr>
                <w:b/>
              </w:rPr>
              <w:t>Zúčtovanie medzi subjektami verejnej správy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 w:rsidP="006A1C7D">
            <w:pPr>
              <w:jc w:val="center"/>
            </w:pPr>
            <w:r w:rsidRPr="006A1C7D">
              <w:t>0,00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 w:rsidP="006A1C7D">
            <w:pPr>
              <w:jc w:val="center"/>
            </w:pPr>
            <w:r w:rsidRPr="006A1C7D">
              <w:t>1 536,32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Dlhodobé záväzky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 w:rsidP="006A1C7D">
            <w:pPr>
              <w:jc w:val="center"/>
            </w:pPr>
            <w:r w:rsidRPr="006A1C7D">
              <w:t>231,37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 w:rsidP="006A1C7D">
            <w:pPr>
              <w:jc w:val="center"/>
            </w:pPr>
            <w:r w:rsidRPr="006A1C7D">
              <w:t>316,00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Krátkodobé záväzky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136EF0" w:rsidP="006A1C7D">
            <w:pPr>
              <w:jc w:val="center"/>
            </w:pPr>
            <w:r w:rsidRPr="006A1C7D">
              <w:t>2 368,88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136EF0" w:rsidP="006A1C7D">
            <w:pPr>
              <w:jc w:val="center"/>
            </w:pPr>
            <w:r w:rsidRPr="006A1C7D">
              <w:t>1 278,73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Bankové úvery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136EF0" w:rsidP="006A1C7D">
            <w:pPr>
              <w:jc w:val="center"/>
            </w:pPr>
            <w:r w:rsidRPr="006A1C7D">
              <w:t>26 466,17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136EF0" w:rsidP="006A1C7D">
            <w:pPr>
              <w:jc w:val="center"/>
            </w:pPr>
            <w:r w:rsidRPr="006A1C7D">
              <w:t>51 327,37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PASÍVA CELKOM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6EF0" w:rsidRPr="006A1C7D" w:rsidRDefault="00136EF0" w:rsidP="00136EF0">
            <w:pPr>
              <w:jc w:val="center"/>
              <w:rPr>
                <w:b/>
                <w:sz w:val="24"/>
                <w:szCs w:val="24"/>
              </w:rPr>
            </w:pPr>
            <w:r w:rsidRPr="006A1C7D">
              <w:rPr>
                <w:b/>
                <w:sz w:val="24"/>
                <w:szCs w:val="24"/>
              </w:rPr>
              <w:t>303 368,51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136EF0">
            <w:pPr>
              <w:jc w:val="center"/>
              <w:rPr>
                <w:b/>
                <w:sz w:val="24"/>
                <w:szCs w:val="24"/>
              </w:rPr>
            </w:pPr>
            <w:r w:rsidRPr="006A1C7D">
              <w:rPr>
                <w:b/>
                <w:sz w:val="24"/>
                <w:szCs w:val="24"/>
              </w:rPr>
              <w:t>339 195,57</w:t>
            </w:r>
          </w:p>
        </w:tc>
      </w:tr>
    </w:tbl>
    <w:p w:rsidR="004E3287" w:rsidRPr="006A1C7D" w:rsidRDefault="004E3287" w:rsidP="004E3287">
      <w:pPr>
        <w:rPr>
          <w:b/>
        </w:rPr>
      </w:pPr>
    </w:p>
    <w:p w:rsidR="004E3287" w:rsidRPr="006A1C7D" w:rsidRDefault="004E3287" w:rsidP="004E3287">
      <w:pPr>
        <w:pStyle w:val="Odsekzoznamu"/>
        <w:numPr>
          <w:ilvl w:val="0"/>
          <w:numId w:val="8"/>
        </w:numPr>
        <w:jc w:val="both"/>
        <w:rPr>
          <w:rFonts w:asciiTheme="minorHAnsi" w:hAnsiTheme="minorHAnsi"/>
          <w:i/>
          <w:sz w:val="20"/>
          <w:szCs w:val="20"/>
          <w:lang w:val="sk-SK"/>
        </w:rPr>
      </w:pPr>
      <w:r w:rsidRPr="006A1C7D">
        <w:rPr>
          <w:rFonts w:asciiTheme="minorHAnsi" w:hAnsiTheme="minorHAnsi"/>
          <w:i/>
          <w:sz w:val="20"/>
          <w:szCs w:val="20"/>
          <w:lang w:val="sk-SK"/>
        </w:rPr>
        <w:t>Analýza vývoja krátkodobých záväzkov a pohľadávok v EUR:</w:t>
      </w:r>
    </w:p>
    <w:p w:rsidR="004E3287" w:rsidRPr="006A1C7D" w:rsidRDefault="004E3287" w:rsidP="004E3287">
      <w:pPr>
        <w:pStyle w:val="Odsekzoznamu"/>
        <w:jc w:val="both"/>
        <w:rPr>
          <w:rFonts w:asciiTheme="minorHAnsi" w:hAnsiTheme="minorHAnsi"/>
          <w:i/>
          <w:sz w:val="20"/>
          <w:szCs w:val="20"/>
          <w:lang w:val="sk-SK"/>
        </w:rPr>
      </w:pPr>
    </w:p>
    <w:p w:rsidR="004E3287" w:rsidRPr="006A1C7D" w:rsidRDefault="004E3287" w:rsidP="004E3287">
      <w:pPr>
        <w:pStyle w:val="Odsekzoznamu"/>
        <w:jc w:val="both"/>
        <w:rPr>
          <w:rFonts w:asciiTheme="minorHAnsi" w:hAnsiTheme="minorHAnsi"/>
          <w:i/>
          <w:sz w:val="20"/>
          <w:szCs w:val="20"/>
          <w:lang w:val="sk-SK"/>
        </w:rPr>
      </w:pPr>
    </w:p>
    <w:p w:rsidR="004E3287" w:rsidRPr="006A1C7D" w:rsidRDefault="004E3287" w:rsidP="004E3287">
      <w:pPr>
        <w:pStyle w:val="Odsekzoznamu"/>
        <w:jc w:val="both"/>
        <w:rPr>
          <w:rFonts w:asciiTheme="minorHAnsi" w:hAnsiTheme="minorHAnsi"/>
          <w:i/>
          <w:sz w:val="20"/>
          <w:szCs w:val="2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48"/>
        <w:gridCol w:w="1704"/>
        <w:gridCol w:w="1766"/>
      </w:tblGrid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both"/>
              <w:rPr>
                <w:b/>
              </w:rPr>
            </w:pPr>
            <w:r w:rsidRPr="006A1C7D">
              <w:rPr>
                <w:b/>
              </w:rPr>
              <w:t xml:space="preserve">Vývoj stavu krátkodobých záväzkov a pohľadávok 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  <w:p w:rsidR="004E3287" w:rsidRPr="006A1C7D" w:rsidRDefault="004E3287" w:rsidP="006A1C7D">
            <w:pPr>
              <w:jc w:val="center"/>
              <w:rPr>
                <w:b/>
              </w:rPr>
            </w:pPr>
            <w:r w:rsidRPr="006A1C7D">
              <w:rPr>
                <w:b/>
              </w:rPr>
              <w:t>R</w:t>
            </w:r>
            <w:r w:rsidR="006A1C7D" w:rsidRPr="006A1C7D">
              <w:rPr>
                <w:b/>
              </w:rPr>
              <w:t>OK</w:t>
            </w:r>
            <w:r w:rsidRPr="006A1C7D">
              <w:rPr>
                <w:b/>
              </w:rPr>
              <w:t xml:space="preserve">     2014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  <w:p w:rsidR="004E3287" w:rsidRPr="006A1C7D" w:rsidRDefault="004E3287" w:rsidP="006A1C7D">
            <w:pPr>
              <w:jc w:val="center"/>
              <w:rPr>
                <w:b/>
              </w:rPr>
            </w:pPr>
            <w:r w:rsidRPr="006A1C7D">
              <w:rPr>
                <w:b/>
              </w:rPr>
              <w:t>R</w:t>
            </w:r>
            <w:r w:rsidR="006A1C7D" w:rsidRPr="006A1C7D">
              <w:rPr>
                <w:b/>
              </w:rPr>
              <w:t>OK</w:t>
            </w:r>
            <w:r w:rsidRPr="006A1C7D">
              <w:rPr>
                <w:b/>
              </w:rPr>
              <w:t xml:space="preserve"> 2015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both"/>
              <w:rPr>
                <w:b/>
              </w:rPr>
            </w:pPr>
            <w:r w:rsidRPr="006A1C7D">
              <w:rPr>
                <w:b/>
              </w:rPr>
              <w:t>Krátkodobé záväzky celkom ( z toho ):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dodávatelia - faktúry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>
            <w:pPr>
              <w:jc w:val="center"/>
            </w:pPr>
            <w:r w:rsidRPr="006A1C7D">
              <w:t>154,89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prijaté preddav. – elektrina byty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zamestnanci – mzdy 12/2015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>
            <w:pPr>
              <w:jc w:val="center"/>
            </w:pPr>
            <w:r w:rsidRPr="006A1C7D">
              <w:t>1 193,76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>
            <w:pPr>
              <w:jc w:val="center"/>
            </w:pPr>
            <w:r w:rsidRPr="006A1C7D">
              <w:t>1 265,60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odvody do poisťovní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priame dane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>
            <w:pPr>
              <w:jc w:val="center"/>
            </w:pPr>
            <w:r w:rsidRPr="006A1C7D">
              <w:t>0,42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>
            <w:pPr>
              <w:jc w:val="center"/>
            </w:pPr>
            <w:r w:rsidRPr="006A1C7D">
              <w:t>13,13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iné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>
            <w:pPr>
              <w:jc w:val="center"/>
            </w:pPr>
            <w:r w:rsidRPr="006A1C7D">
              <w:t>1 019,81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ostatné záväzky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both"/>
              <w:rPr>
                <w:b/>
              </w:rPr>
            </w:pPr>
            <w:r w:rsidRPr="006A1C7D">
              <w:rPr>
                <w:b/>
              </w:rPr>
              <w:t>Krátkodobé záväzky celkom (z toho):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po lehote splatnosti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do lehoty splatnosti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both"/>
              <w:rPr>
                <w:b/>
                <w:sz w:val="24"/>
                <w:szCs w:val="24"/>
              </w:rPr>
            </w:pPr>
            <w:r w:rsidRPr="006A1C7D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>
            <w:pPr>
              <w:jc w:val="center"/>
              <w:rPr>
                <w:b/>
                <w:sz w:val="24"/>
                <w:szCs w:val="24"/>
              </w:rPr>
            </w:pPr>
            <w:r w:rsidRPr="006A1C7D">
              <w:rPr>
                <w:b/>
                <w:sz w:val="24"/>
                <w:szCs w:val="24"/>
              </w:rPr>
              <w:t>2 368,88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>
            <w:pPr>
              <w:jc w:val="center"/>
              <w:rPr>
                <w:b/>
                <w:sz w:val="24"/>
                <w:szCs w:val="24"/>
              </w:rPr>
            </w:pPr>
            <w:r w:rsidRPr="006A1C7D">
              <w:rPr>
                <w:b/>
                <w:sz w:val="24"/>
                <w:szCs w:val="24"/>
              </w:rPr>
              <w:t>1 278,73</w:t>
            </w:r>
          </w:p>
        </w:tc>
      </w:tr>
    </w:tbl>
    <w:p w:rsidR="004E3287" w:rsidRDefault="004E3287" w:rsidP="004E3287">
      <w:pPr>
        <w:rPr>
          <w:b/>
          <w:i/>
        </w:rPr>
      </w:pPr>
    </w:p>
    <w:p w:rsidR="006A1C7D" w:rsidRDefault="006A1C7D" w:rsidP="004E3287">
      <w:pPr>
        <w:rPr>
          <w:b/>
          <w:i/>
        </w:rPr>
      </w:pPr>
    </w:p>
    <w:p w:rsidR="006A1C7D" w:rsidRDefault="006A1C7D" w:rsidP="004E3287">
      <w:pPr>
        <w:rPr>
          <w:b/>
          <w:i/>
        </w:rPr>
      </w:pPr>
    </w:p>
    <w:p w:rsidR="006A1C7D" w:rsidRDefault="006A1C7D" w:rsidP="004E3287">
      <w:pPr>
        <w:rPr>
          <w:b/>
          <w:i/>
        </w:rPr>
      </w:pPr>
    </w:p>
    <w:p w:rsidR="006A1C7D" w:rsidRPr="006A1C7D" w:rsidRDefault="006A1C7D" w:rsidP="004E3287">
      <w:pPr>
        <w:rPr>
          <w:b/>
          <w:i/>
        </w:rPr>
      </w:pPr>
    </w:p>
    <w:p w:rsidR="004E3287" w:rsidRPr="006A1C7D" w:rsidRDefault="004E3287" w:rsidP="004E3287">
      <w:pPr>
        <w:numPr>
          <w:ilvl w:val="0"/>
          <w:numId w:val="8"/>
        </w:numPr>
        <w:spacing w:line="256" w:lineRule="auto"/>
        <w:rPr>
          <w:b/>
          <w:i/>
        </w:rPr>
      </w:pPr>
      <w:r w:rsidRPr="006A1C7D">
        <w:rPr>
          <w:b/>
          <w:i/>
        </w:rPr>
        <w:t>Analýza vývoja nákladov a výnosov podľa „Výkaz ziskov a strát“ v EUR:</w:t>
      </w:r>
    </w:p>
    <w:p w:rsidR="004E3287" w:rsidRPr="006A1C7D" w:rsidRDefault="004E3287" w:rsidP="004E3287">
      <w:pPr>
        <w:numPr>
          <w:ilvl w:val="0"/>
          <w:numId w:val="10"/>
        </w:numPr>
        <w:spacing w:line="256" w:lineRule="auto"/>
        <w:rPr>
          <w:b/>
        </w:rPr>
      </w:pPr>
      <w:r w:rsidRPr="006A1C7D">
        <w:rPr>
          <w:b/>
        </w:rPr>
        <w:t>Výnosy  - popis a výška významných položiek /v EUR/</w:t>
      </w:r>
    </w:p>
    <w:tbl>
      <w:tblPr>
        <w:tblW w:w="101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0"/>
        <w:gridCol w:w="4233"/>
        <w:gridCol w:w="1742"/>
      </w:tblGrid>
      <w:tr w:rsidR="004E3287" w:rsidRPr="006A1C7D" w:rsidTr="004E3287">
        <w:trPr>
          <w:trHeight w:val="362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Druh výnosov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Popis /číslo účtu a názov/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Suma v EUR</w:t>
            </w:r>
          </w:p>
        </w:tc>
      </w:tr>
      <w:tr w:rsidR="004E3287" w:rsidRPr="006A1C7D" w:rsidTr="004E3287">
        <w:trPr>
          <w:trHeight w:val="387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Tržby za vlastné výkony  a tovar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602 – Tržby z predaja služieb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>
            <w:pPr>
              <w:jc w:val="center"/>
              <w:rPr>
                <w:b/>
              </w:rPr>
            </w:pPr>
            <w:r w:rsidRPr="006A1C7D">
              <w:rPr>
                <w:b/>
              </w:rPr>
              <w:t xml:space="preserve"> 3 889,71</w:t>
            </w:r>
          </w:p>
        </w:tc>
      </w:tr>
      <w:tr w:rsidR="004E3287" w:rsidRPr="006A1C7D" w:rsidTr="004E3287">
        <w:trPr>
          <w:trHeight w:val="558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Daňové a colné výnosy a výnosy z poplatkov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632 – Daňové výnosy samosprávy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>
            <w:pPr>
              <w:jc w:val="center"/>
              <w:rPr>
                <w:b/>
              </w:rPr>
            </w:pPr>
            <w:r w:rsidRPr="006A1C7D">
              <w:rPr>
                <w:b/>
              </w:rPr>
              <w:t>45 766,31</w:t>
            </w:r>
          </w:p>
        </w:tc>
      </w:tr>
      <w:tr w:rsidR="004E3287" w:rsidRPr="006A1C7D" w:rsidTr="006A1C7D">
        <w:trPr>
          <w:trHeight w:val="362"/>
        </w:trPr>
        <w:tc>
          <w:tcPr>
            <w:tcW w:w="4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633 – Výnosy z poplatkov 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>
            <w:pPr>
              <w:jc w:val="center"/>
              <w:rPr>
                <w:b/>
              </w:rPr>
            </w:pPr>
            <w:r w:rsidRPr="006A1C7D">
              <w:rPr>
                <w:b/>
              </w:rPr>
              <w:t>2 414,01</w:t>
            </w:r>
          </w:p>
        </w:tc>
      </w:tr>
      <w:tr w:rsidR="004E3287" w:rsidRPr="006A1C7D" w:rsidTr="004E3287">
        <w:trPr>
          <w:trHeight w:val="347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Ostatné výnosy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641- tržby z predaja DHM a DNHM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rPr>
          <w:trHeight w:val="375"/>
        </w:trPr>
        <w:tc>
          <w:tcPr>
            <w:tcW w:w="4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648- ostatné výnosy z prevádz. činnosti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</w:tbl>
    <w:p w:rsidR="004E3287" w:rsidRPr="006A1C7D" w:rsidRDefault="004E3287" w:rsidP="004E3287">
      <w:pPr>
        <w:rPr>
          <w:b/>
        </w:rPr>
      </w:pPr>
    </w:p>
    <w:tbl>
      <w:tblPr>
        <w:tblW w:w="101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38"/>
        <w:gridCol w:w="4221"/>
        <w:gridCol w:w="1766"/>
      </w:tblGrid>
      <w:tr w:rsidR="004E3287" w:rsidRPr="006A1C7D" w:rsidTr="004E328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Zúčtovanie rezerv  a opravných položiek z prev. a finančnej činnosti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652- zúčtovanie zákonných rezerv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časového rozlíšenia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</w:tc>
      </w:tr>
      <w:tr w:rsidR="004E3287" w:rsidRPr="006A1C7D" w:rsidTr="004E328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Finančné výnosy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662 - úroky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>
            <w:pPr>
              <w:jc w:val="center"/>
              <w:rPr>
                <w:b/>
              </w:rPr>
            </w:pPr>
            <w:r w:rsidRPr="006A1C7D">
              <w:rPr>
                <w:b/>
              </w:rPr>
              <w:t>0,13</w:t>
            </w:r>
          </w:p>
        </w:tc>
      </w:tr>
      <w:tr w:rsidR="004E3287" w:rsidRPr="006A1C7D" w:rsidTr="004E328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Mimoriadne výnosy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</w:tc>
      </w:tr>
      <w:tr w:rsidR="004E3287" w:rsidRPr="006A1C7D" w:rsidTr="004E328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Výnosy z transferov a rozpočtových príjmov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693- výnosy z bežných transferov zo ŠR a od iných subjektov verejnej správy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>
            <w:pPr>
              <w:jc w:val="center"/>
              <w:rPr>
                <w:b/>
              </w:rPr>
            </w:pPr>
            <w:r w:rsidRPr="006A1C7D">
              <w:rPr>
                <w:b/>
              </w:rPr>
              <w:t>5 081,19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v obciach, VÚC, a v RO a PO zriadených obcou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694- výnosy samosprávy z kapitálových transferov zo ŠR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>
            <w:pPr>
              <w:jc w:val="center"/>
              <w:rPr>
                <w:b/>
              </w:rPr>
            </w:pPr>
            <w:r w:rsidRPr="006A1C7D">
              <w:rPr>
                <w:b/>
              </w:rPr>
              <w:t>11 997,55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alebo VÚC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696- výnosy samosprávy z kapitálových transferov od Európskych spoločenstiev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697-výnosy samosprávy z bežných transferov od ostatných subjektov mimo verejnej správy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698-výnosy samosprávy z kapit. transferov  od ostatných subjektov mimo verejnej správy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699 – výnosy samosprávy z odvodu rozpočtových príjmov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Spolu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>
            <w:pPr>
              <w:jc w:val="center"/>
              <w:rPr>
                <w:b/>
              </w:rPr>
            </w:pPr>
            <w:r w:rsidRPr="006A1C7D">
              <w:rPr>
                <w:b/>
              </w:rPr>
              <w:t>69</w:t>
            </w:r>
            <w:r w:rsidR="007C0FD6" w:rsidRPr="006A1C7D">
              <w:rPr>
                <w:b/>
              </w:rPr>
              <w:t> 148,90</w:t>
            </w:r>
          </w:p>
        </w:tc>
      </w:tr>
    </w:tbl>
    <w:p w:rsidR="004E3287" w:rsidRPr="006A1C7D" w:rsidRDefault="004E3287" w:rsidP="004E3287">
      <w:pPr>
        <w:rPr>
          <w:b/>
        </w:rPr>
      </w:pPr>
    </w:p>
    <w:p w:rsidR="004E3287" w:rsidRPr="006A1C7D" w:rsidRDefault="004E3287" w:rsidP="004E3287">
      <w:pPr>
        <w:numPr>
          <w:ilvl w:val="0"/>
          <w:numId w:val="10"/>
        </w:numPr>
        <w:spacing w:line="256" w:lineRule="auto"/>
        <w:rPr>
          <w:b/>
        </w:rPr>
      </w:pPr>
      <w:r w:rsidRPr="006A1C7D">
        <w:rPr>
          <w:b/>
        </w:rPr>
        <w:t>Náklady  - popis a výška významných položiek /v EUR/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4253"/>
        <w:gridCol w:w="1626"/>
      </w:tblGrid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Druh nákladov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Popis /číslo účtu a názov/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Suma v EUR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Spotrebované nákupy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501 – Spotreba materiálu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7C0FD6">
            <w:pPr>
              <w:jc w:val="center"/>
              <w:rPr>
                <w:b/>
              </w:rPr>
            </w:pPr>
            <w:r w:rsidRPr="006A1C7D">
              <w:rPr>
                <w:b/>
              </w:rPr>
              <w:t>10 071,52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502 – Spotreba energie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7C0FD6">
            <w:pPr>
              <w:jc w:val="center"/>
              <w:rPr>
                <w:b/>
              </w:rPr>
            </w:pPr>
            <w:r w:rsidRPr="006A1C7D">
              <w:rPr>
                <w:b/>
              </w:rPr>
              <w:t>3 290,45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lastRenderedPageBreak/>
              <w:t xml:space="preserve">Služby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511 – Opravy a udržiavanie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7C0FD6">
            <w:pPr>
              <w:jc w:val="center"/>
              <w:rPr>
                <w:b/>
              </w:rPr>
            </w:pPr>
            <w:r w:rsidRPr="006A1C7D">
              <w:rPr>
                <w:b/>
              </w:rPr>
              <w:t>3 734,40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512 – Cestovné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7C0FD6">
            <w:pPr>
              <w:jc w:val="center"/>
              <w:rPr>
                <w:b/>
              </w:rPr>
            </w:pPr>
            <w:r w:rsidRPr="006A1C7D">
              <w:rPr>
                <w:b/>
              </w:rPr>
              <w:t>48,40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513 – Náklady na reprezentáciu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518 – Ostatné služby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7C0FD6">
            <w:pPr>
              <w:jc w:val="center"/>
              <w:rPr>
                <w:b/>
              </w:rPr>
            </w:pPr>
            <w:r w:rsidRPr="006A1C7D">
              <w:rPr>
                <w:b/>
              </w:rPr>
              <w:t>7 439,19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Osobné náklady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521 – Mzdové náklady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7C0FD6">
            <w:pPr>
              <w:jc w:val="center"/>
              <w:rPr>
                <w:b/>
              </w:rPr>
            </w:pPr>
            <w:r w:rsidRPr="006A1C7D">
              <w:rPr>
                <w:b/>
              </w:rPr>
              <w:t>17 548,46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524 – zákonné sociálne poistenie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7C0FD6">
            <w:pPr>
              <w:jc w:val="center"/>
              <w:rPr>
                <w:b/>
              </w:rPr>
            </w:pPr>
            <w:r w:rsidRPr="006A1C7D">
              <w:rPr>
                <w:b/>
              </w:rPr>
              <w:t>6 025,24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Osobné náklady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525 - ostatné sociálne poistenie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7C0FD6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527 – zákonné sociálne náklady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7C0FD6">
            <w:pPr>
              <w:jc w:val="center"/>
              <w:rPr>
                <w:b/>
              </w:rPr>
            </w:pPr>
            <w:r w:rsidRPr="006A1C7D">
              <w:rPr>
                <w:b/>
              </w:rPr>
              <w:t>98,49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Dane a poplatky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538 – ostatné dane a poplatky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Ostatné náklady na prevádzkovú činnosť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545 – ostatné pokuty, penále a úroky </w:t>
            </w:r>
          </w:p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548 – ostatné náklady na prev. činnosť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776,16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Odpisy, rezervy a opravné položky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551- odpisy DNHM a DHM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7C0FD6">
            <w:pPr>
              <w:jc w:val="center"/>
              <w:rPr>
                <w:b/>
              </w:rPr>
            </w:pPr>
            <w:r w:rsidRPr="006A1C7D">
              <w:rPr>
                <w:b/>
              </w:rPr>
              <w:t>997,55</w:t>
            </w:r>
          </w:p>
        </w:tc>
      </w:tr>
      <w:tr w:rsidR="004E3287" w:rsidRPr="006A1C7D" w:rsidTr="006A1C7D">
        <w:trPr>
          <w:trHeight w:val="363"/>
        </w:trPr>
        <w:tc>
          <w:tcPr>
            <w:tcW w:w="41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z prevádzkovej a finančnej činnosti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553 – tvorba zákonných  rezerv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Finančné náklady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562 - úroky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568- ostatné finančné náklady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7C0FD6">
            <w:pPr>
              <w:jc w:val="center"/>
              <w:rPr>
                <w:b/>
              </w:rPr>
            </w:pPr>
            <w:r w:rsidRPr="006A1C7D">
              <w:rPr>
                <w:b/>
              </w:rPr>
              <w:t>3 133,22</w:t>
            </w:r>
          </w:p>
        </w:tc>
      </w:tr>
      <w:tr w:rsidR="004E3287" w:rsidRPr="006A1C7D" w:rsidTr="006A1C7D">
        <w:trPr>
          <w:trHeight w:val="1128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Náklady na transfery a náklady z odvodu príjmov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585 – náklady na transfery z rozpočtu obce –staveb.úrad</w:t>
            </w:r>
          </w:p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586 – náklady na transfery  ostatné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587 – Náklady na ostatné transfery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Spolu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7C0FD6">
            <w:pPr>
              <w:jc w:val="center"/>
              <w:rPr>
                <w:b/>
              </w:rPr>
            </w:pPr>
            <w:r w:rsidRPr="006A1C7D">
              <w:rPr>
                <w:b/>
              </w:rPr>
              <w:t>52 386,92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Dane z príjmov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591 – splatná daň z príjmov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Spolu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</w:tbl>
    <w:p w:rsidR="00AE2B12" w:rsidRPr="006A1C7D" w:rsidRDefault="00AE2B12" w:rsidP="004E3287">
      <w:pPr>
        <w:spacing w:line="360" w:lineRule="auto"/>
      </w:pPr>
    </w:p>
    <w:p w:rsidR="004E3287" w:rsidRPr="006A1C7D" w:rsidRDefault="004E3287" w:rsidP="004E3287">
      <w:pPr>
        <w:spacing w:line="360" w:lineRule="auto"/>
        <w:rPr>
          <w:i/>
        </w:rPr>
      </w:pPr>
      <w:r w:rsidRPr="006A1C7D">
        <w:t>Výsledok hospodáre</w:t>
      </w:r>
      <w:r w:rsidR="007C0FD6" w:rsidRPr="006A1C7D">
        <w:t>nia po zdanení       =    7 657,29</w:t>
      </w:r>
      <w:r w:rsidRPr="006A1C7D">
        <w:rPr>
          <w:i/>
        </w:rPr>
        <w:t xml:space="preserve"> EUR</w:t>
      </w:r>
      <w:r w:rsidR="00AE2B12" w:rsidRPr="006A1C7D">
        <w:rPr>
          <w:i/>
        </w:rPr>
        <w:t xml:space="preserve"> bude zaúčtovaný na účet 428 – Nevysporiadný výsledok hospodárenia minulých rokov.</w:t>
      </w:r>
    </w:p>
    <w:p w:rsidR="004E3287" w:rsidRPr="006A1C7D" w:rsidRDefault="004E3287" w:rsidP="004E3287">
      <w:pPr>
        <w:numPr>
          <w:ilvl w:val="0"/>
          <w:numId w:val="7"/>
        </w:numPr>
        <w:spacing w:line="360" w:lineRule="auto"/>
        <w:rPr>
          <w:i/>
          <w:u w:val="single"/>
        </w:rPr>
      </w:pPr>
      <w:r w:rsidRPr="006A1C7D">
        <w:rPr>
          <w:i/>
          <w:u w:val="single"/>
        </w:rPr>
        <w:t>Udalosti osobitného významu, ktoré nastali po skončení účtovného obdobia, za ktoré sa vyhotovuje výročná správa.</w:t>
      </w:r>
    </w:p>
    <w:p w:rsidR="004E3287" w:rsidRPr="006A1C7D" w:rsidRDefault="004E3287" w:rsidP="004E3287">
      <w:pPr>
        <w:spacing w:line="360" w:lineRule="auto"/>
      </w:pPr>
      <w:r w:rsidRPr="006A1C7D">
        <w:t>Po skončení účtovného obdobia nenastali udalosti ovplyvňujúce účtovnú závierku.</w:t>
      </w:r>
    </w:p>
    <w:p w:rsidR="004E3287" w:rsidRPr="006A1C7D" w:rsidRDefault="004E3287" w:rsidP="004E3287">
      <w:pPr>
        <w:numPr>
          <w:ilvl w:val="0"/>
          <w:numId w:val="7"/>
        </w:numPr>
        <w:spacing w:line="360" w:lineRule="auto"/>
        <w:rPr>
          <w:u w:val="single"/>
        </w:rPr>
      </w:pPr>
      <w:r w:rsidRPr="006A1C7D">
        <w:rPr>
          <w:i/>
          <w:u w:val="single"/>
        </w:rPr>
        <w:t>Predpokladaný budúci vývoj činnosti účtovnej jednotky</w:t>
      </w:r>
      <w:r w:rsidRPr="006A1C7D">
        <w:rPr>
          <w:u w:val="single"/>
        </w:rPr>
        <w:t>.</w:t>
      </w:r>
    </w:p>
    <w:p w:rsidR="004E3287" w:rsidRPr="006A1C7D" w:rsidRDefault="004179C0" w:rsidP="004E3287">
      <w:pPr>
        <w:spacing w:line="360" w:lineRule="auto"/>
      </w:pPr>
      <w:r w:rsidRPr="006A1C7D">
        <w:t xml:space="preserve">Zámery rozvoja obce Vrchtepl8 </w:t>
      </w:r>
      <w:r w:rsidR="004E3287" w:rsidRPr="006A1C7D">
        <w:t xml:space="preserve"> a potrieb jej obyvateľov sú vyjadrené vo viacročnom rozpočte obce, ktorý je strednodobým ekonomickým nástrojom finančnej politiky obce. Viacročný rozpočet sa zostavuje na tri roky, pričom príjmy a výdavky rozpočtov na druhý a tretí rok nie sú záväzné. Obec</w:t>
      </w:r>
      <w:r w:rsidRPr="006A1C7D">
        <w:t xml:space="preserve"> </w:t>
      </w:r>
      <w:r w:rsidR="004E3287" w:rsidRPr="006A1C7D">
        <w:t xml:space="preserve">sleduje v priebehu roka vývoj </w:t>
      </w:r>
      <w:r w:rsidR="004E3287" w:rsidRPr="006A1C7D">
        <w:lastRenderedPageBreak/>
        <w:t>hospodárenia podľa rozpočtu a v prípade potreby vykonáva v ňom zmeny s cieľom zabezpečiť vyrovnanosť bežného rozpočtu ku koncu rozpočtového roka.</w:t>
      </w:r>
    </w:p>
    <w:p w:rsidR="004E3287" w:rsidRPr="006A1C7D" w:rsidRDefault="004E3287" w:rsidP="004E3287">
      <w:pPr>
        <w:spacing w:line="360" w:lineRule="auto"/>
      </w:pPr>
      <w:r w:rsidRPr="006A1C7D">
        <w:t>Rozpočet v EUR: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2302"/>
        <w:gridCol w:w="2303"/>
        <w:gridCol w:w="2303"/>
      </w:tblGrid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spacing w:line="360" w:lineRule="auto"/>
              <w:rPr>
                <w:b/>
              </w:rPr>
            </w:pPr>
          </w:p>
          <w:p w:rsidR="004E3287" w:rsidRPr="006A1C7D" w:rsidRDefault="004E3287">
            <w:pPr>
              <w:spacing w:line="360" w:lineRule="auto"/>
              <w:rPr>
                <w:b/>
              </w:rPr>
            </w:pPr>
            <w:r w:rsidRPr="006A1C7D">
              <w:rPr>
                <w:b/>
              </w:rPr>
              <w:t>Vnútorné členenie rozpočtu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</w:p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Rok 2016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</w:p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Rok 2017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</w:p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Rok 2018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>Bežné príjmy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60322A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54 918,00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60322A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54 010,00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60322A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54 010,00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>Bežné výdavky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60322A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54 918,00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60322A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54</w:t>
            </w:r>
            <w:r w:rsidR="005D3A8D">
              <w:rPr>
                <w:b/>
              </w:rPr>
              <w:t xml:space="preserve"> </w:t>
            </w:r>
            <w:r w:rsidRPr="006A1C7D">
              <w:rPr>
                <w:b/>
              </w:rPr>
              <w:t>010,00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60322A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54 010,00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>Kapitálové príjmy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>Kapitálové výdavky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 xml:space="preserve">Finančné operácie príjmové 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60322A" w:rsidP="0060322A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>Finančné operácie výdavkové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</w:tbl>
    <w:p w:rsidR="005070E6" w:rsidRDefault="005070E6" w:rsidP="004179C0">
      <w:pPr>
        <w:spacing w:line="360" w:lineRule="auto"/>
        <w:rPr>
          <w:b/>
        </w:rPr>
      </w:pPr>
    </w:p>
    <w:p w:rsidR="00172AD9" w:rsidRDefault="004179C0" w:rsidP="00172AD9">
      <w:pPr>
        <w:spacing w:line="360" w:lineRule="auto"/>
        <w:rPr>
          <w:b/>
        </w:rPr>
      </w:pPr>
      <w:r w:rsidRPr="006A1C7D">
        <w:rPr>
          <w:b/>
        </w:rPr>
        <w:t>Prehľad o stave a vývoji dlhu:</w:t>
      </w:r>
    </w:p>
    <w:p w:rsidR="004179C0" w:rsidRPr="00172AD9" w:rsidRDefault="004179C0" w:rsidP="00172AD9">
      <w:pPr>
        <w:spacing w:line="360" w:lineRule="auto"/>
        <w:rPr>
          <w:b/>
        </w:rPr>
      </w:pPr>
      <w:r w:rsidRPr="006A1C7D">
        <w:t>Obec k 31.12.2015 eviduje tieto záväzky: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>voči bankám                                                              30 288,37  EUR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>voči štátnym fondom (ŠFRB, ŠF)                                     0,00   EUR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>voči dodávateľom                                                             0,00   EUR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>voči štátnemu rozpočtu                                                     0,00   EUR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>voči zamestnancom                                                            0,00  EUR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>voči poisťovniam a daňovému úradu                          90,32 EUR</w:t>
      </w:r>
    </w:p>
    <w:p w:rsidR="004179C0" w:rsidRPr="006A1C7D" w:rsidRDefault="004179C0" w:rsidP="00AB0F03">
      <w:pPr>
        <w:pStyle w:val="Normlnywebov"/>
        <w:spacing w:line="276" w:lineRule="auto"/>
        <w:rPr>
          <w:rFonts w:asciiTheme="minorHAnsi" w:hAnsiTheme="minorHAnsi"/>
          <w:sz w:val="22"/>
          <w:szCs w:val="22"/>
        </w:rPr>
      </w:pPr>
      <w:r w:rsidRPr="006A1C7D">
        <w:rPr>
          <w:rFonts w:asciiTheme="minorHAnsi" w:hAnsiTheme="minorHAnsi"/>
          <w:sz w:val="22"/>
          <w:szCs w:val="22"/>
        </w:rPr>
        <w:t>Obec</w:t>
      </w:r>
      <w:r w:rsidR="005070E6">
        <w:rPr>
          <w:rFonts w:asciiTheme="minorHAnsi" w:hAnsiTheme="minorHAnsi"/>
          <w:sz w:val="22"/>
          <w:szCs w:val="22"/>
        </w:rPr>
        <w:t xml:space="preserve"> </w:t>
      </w:r>
      <w:r w:rsidRPr="006A1C7D">
        <w:rPr>
          <w:rFonts w:asciiTheme="minorHAnsi" w:hAnsiTheme="minorHAnsi"/>
          <w:sz w:val="22"/>
          <w:szCs w:val="22"/>
        </w:rPr>
        <w:t xml:space="preserve">Vrchteplá uzatvorila  s Dexia bankou Slovensko </w:t>
      </w:r>
      <w:r w:rsidR="00EA6946" w:rsidRPr="006A1C7D">
        <w:rPr>
          <w:rFonts w:asciiTheme="minorHAnsi" w:hAnsiTheme="minorHAnsi"/>
          <w:sz w:val="22"/>
          <w:szCs w:val="22"/>
        </w:rPr>
        <w:t>v</w:t>
      </w:r>
      <w:r w:rsidR="005070E6">
        <w:rPr>
          <w:rFonts w:asciiTheme="minorHAnsi" w:hAnsiTheme="minorHAnsi"/>
          <w:sz w:val="22"/>
          <w:szCs w:val="22"/>
        </w:rPr>
        <w:t xml:space="preserve"> </w:t>
      </w:r>
      <w:r w:rsidR="00EA6946" w:rsidRPr="006A1C7D">
        <w:rPr>
          <w:rFonts w:asciiTheme="minorHAnsi" w:hAnsiTheme="minorHAnsi"/>
          <w:sz w:val="22"/>
          <w:szCs w:val="22"/>
        </w:rPr>
        <w:t xml:space="preserve">roku 2014 </w:t>
      </w:r>
      <w:r w:rsidRPr="006A1C7D">
        <w:rPr>
          <w:rFonts w:asciiTheme="minorHAnsi" w:hAnsiTheme="minorHAnsi"/>
          <w:sz w:val="22"/>
          <w:szCs w:val="22"/>
        </w:rPr>
        <w:t xml:space="preserve">dlhodobý úver vo výške  11 560,87 </w:t>
      </w:r>
      <w:r w:rsidR="00EA6946" w:rsidRPr="006A1C7D">
        <w:rPr>
          <w:rFonts w:asciiTheme="minorHAnsi" w:hAnsiTheme="minorHAnsi"/>
          <w:sz w:val="22"/>
          <w:szCs w:val="22"/>
        </w:rPr>
        <w:t xml:space="preserve">€ </w:t>
      </w:r>
      <w:r w:rsidRPr="006A1C7D">
        <w:rPr>
          <w:rFonts w:asciiTheme="minorHAnsi" w:hAnsiTheme="minorHAnsi"/>
          <w:sz w:val="22"/>
          <w:szCs w:val="22"/>
        </w:rPr>
        <w:t>na úhradu faktúry č. 20060407 firme DK TRADE, s.r.o. Považská Bystrica . Nesplatená čiastka ku 31.12.2015 predstavuje  finančné prostriedky vo výške 10 519,17 €.</w:t>
      </w:r>
    </w:p>
    <w:p w:rsidR="00AB0F03" w:rsidRDefault="004179C0" w:rsidP="00AB0F03">
      <w:pPr>
        <w:pStyle w:val="Normlnywebov"/>
        <w:spacing w:line="276" w:lineRule="auto"/>
        <w:rPr>
          <w:rFonts w:asciiTheme="minorHAnsi" w:hAnsiTheme="minorHAnsi"/>
          <w:sz w:val="22"/>
          <w:szCs w:val="22"/>
        </w:rPr>
      </w:pPr>
      <w:r w:rsidRPr="006A1C7D">
        <w:rPr>
          <w:rFonts w:asciiTheme="minorHAnsi" w:hAnsiTheme="minorHAnsi"/>
          <w:sz w:val="22"/>
          <w:szCs w:val="22"/>
        </w:rPr>
        <w:t>Obec Vrchteplá má ešte uzatvorený kont</w:t>
      </w:r>
      <w:r w:rsidR="00533095" w:rsidRPr="006A1C7D">
        <w:rPr>
          <w:rFonts w:asciiTheme="minorHAnsi" w:hAnsiTheme="minorHAnsi"/>
          <w:sz w:val="22"/>
          <w:szCs w:val="22"/>
        </w:rPr>
        <w:t>o</w:t>
      </w:r>
      <w:r w:rsidRPr="006A1C7D">
        <w:rPr>
          <w:rFonts w:asciiTheme="minorHAnsi" w:hAnsiTheme="minorHAnsi"/>
          <w:sz w:val="22"/>
          <w:szCs w:val="22"/>
        </w:rPr>
        <w:t xml:space="preserve">korentný úver </w:t>
      </w:r>
      <w:r w:rsidR="00EA6946" w:rsidRPr="006A1C7D">
        <w:rPr>
          <w:rFonts w:asciiTheme="minorHAnsi" w:hAnsiTheme="minorHAnsi"/>
          <w:sz w:val="22"/>
          <w:szCs w:val="22"/>
        </w:rPr>
        <w:t xml:space="preserve">od roku 2010 </w:t>
      </w:r>
      <w:r w:rsidRPr="006A1C7D">
        <w:rPr>
          <w:rFonts w:asciiTheme="minorHAnsi" w:hAnsiTheme="minorHAnsi"/>
          <w:sz w:val="22"/>
          <w:szCs w:val="22"/>
        </w:rPr>
        <w:t>vo výške 16 559,00€, ktorý v roku 2015 nesplácala. Úroky z kontokorentného úveru boli splatené vo výške 558,52 €.</w:t>
      </w:r>
    </w:p>
    <w:p w:rsidR="00AB0F03" w:rsidRDefault="00533095" w:rsidP="00AB0F03">
      <w:pPr>
        <w:pStyle w:val="Normlnywebov"/>
        <w:spacing w:line="276" w:lineRule="auto"/>
        <w:rPr>
          <w:rFonts w:asciiTheme="minorHAnsi" w:hAnsiTheme="minorHAnsi"/>
          <w:sz w:val="22"/>
          <w:szCs w:val="22"/>
        </w:rPr>
      </w:pPr>
      <w:r w:rsidRPr="006A1C7D">
        <w:rPr>
          <w:rFonts w:asciiTheme="minorHAnsi" w:hAnsiTheme="minorHAnsi"/>
          <w:sz w:val="22"/>
          <w:szCs w:val="22"/>
        </w:rPr>
        <w:t> </w:t>
      </w:r>
      <w:r w:rsidR="004179C0" w:rsidRPr="006A1C7D">
        <w:rPr>
          <w:rFonts w:asciiTheme="minorHAnsi" w:hAnsiTheme="minorHAnsi"/>
          <w:sz w:val="22"/>
          <w:szCs w:val="22"/>
        </w:rPr>
        <w:t xml:space="preserve">Obec uzatvorila dňa 26.10. 2015 Zmluvu o krátkodobom úvere na vybudovanie Digitálneho kamerového systému vo výške 25 981,00 €   , na ktoré nám boli poskytnuté finančné prostriedky od Poľnohospodárskej platobnej agentúry vo výške 21 651,00 € a platbou od Ministerstva financií SR vo výške 4 330,00 €.  Avšak ešte </w:t>
      </w:r>
    </w:p>
    <w:p w:rsidR="00AB0F03" w:rsidRDefault="00AB0F03" w:rsidP="00AB0F03">
      <w:pPr>
        <w:pStyle w:val="Normlnywebov"/>
        <w:spacing w:line="276" w:lineRule="auto"/>
        <w:rPr>
          <w:rFonts w:asciiTheme="minorHAnsi" w:hAnsiTheme="minorHAnsi"/>
          <w:sz w:val="22"/>
          <w:szCs w:val="22"/>
        </w:rPr>
      </w:pPr>
    </w:p>
    <w:p w:rsidR="004E3287" w:rsidRPr="006A1C7D" w:rsidRDefault="004179C0" w:rsidP="00AB0F03">
      <w:pPr>
        <w:pStyle w:val="Normlnywebov"/>
        <w:spacing w:line="276" w:lineRule="auto"/>
        <w:rPr>
          <w:rFonts w:asciiTheme="minorHAnsi" w:hAnsiTheme="minorHAnsi"/>
          <w:sz w:val="22"/>
          <w:szCs w:val="22"/>
        </w:rPr>
      </w:pPr>
      <w:r w:rsidRPr="006A1C7D">
        <w:rPr>
          <w:rFonts w:asciiTheme="minorHAnsi" w:hAnsiTheme="minorHAnsi"/>
          <w:sz w:val="22"/>
          <w:szCs w:val="22"/>
        </w:rPr>
        <w:lastRenderedPageBreak/>
        <w:t>neboli poskytnuté finančné prostriedky na DPH vo výške 3 210,20 €, na ktorý sme žiadali finančné prostriedky v roku 2016.</w:t>
      </w:r>
    </w:p>
    <w:tbl>
      <w:tblPr>
        <w:tblW w:w="948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0"/>
        <w:gridCol w:w="1695"/>
        <w:gridCol w:w="1830"/>
        <w:gridCol w:w="1845"/>
        <w:gridCol w:w="1410"/>
        <w:gridCol w:w="1140"/>
      </w:tblGrid>
      <w:tr w:rsidR="004179C0" w:rsidRPr="006A1C7D" w:rsidTr="004179C0">
        <w:trPr>
          <w:tblCellSpacing w:w="0" w:type="dxa"/>
        </w:trPr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>Poskytovateľ úveru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>Účel</w:t>
            </w:r>
          </w:p>
        </w:tc>
        <w:tc>
          <w:tcPr>
            <w:tcW w:w="18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>Výška prijatého úveru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>Zabezpečenie úveru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>Zostatok k 31.12.2015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>Splatnosť</w:t>
            </w:r>
          </w:p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4179C0" w:rsidRPr="006A1C7D" w:rsidTr="004179C0">
        <w:trPr>
          <w:tblCellSpacing w:w="0" w:type="dxa"/>
        </w:trPr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Prima banka</w:t>
            </w:r>
          </w:p>
          <w:p w:rsidR="004179C0" w:rsidRPr="006A1C7D" w:rsidRDefault="004179C0" w:rsidP="004179C0">
            <w:pPr>
              <w:spacing w:before="100" w:beforeAutospacing="1" w:after="100" w:afterAutospacing="1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Slovensko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Kamerový systém</w:t>
            </w:r>
          </w:p>
        </w:tc>
        <w:tc>
          <w:tcPr>
            <w:tcW w:w="18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 </w:t>
            </w:r>
          </w:p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16 238,25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 </w:t>
            </w:r>
          </w:p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Zmenka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 </w:t>
            </w:r>
          </w:p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 </w:t>
            </w:r>
          </w:p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r. 2015</w:t>
            </w:r>
          </w:p>
        </w:tc>
      </w:tr>
      <w:tr w:rsidR="004179C0" w:rsidRPr="006A1C7D" w:rsidTr="004179C0">
        <w:trPr>
          <w:tblCellSpacing w:w="0" w:type="dxa"/>
        </w:trPr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Prima banka</w:t>
            </w:r>
          </w:p>
          <w:p w:rsidR="004179C0" w:rsidRPr="006A1C7D" w:rsidRDefault="004179C0" w:rsidP="004179C0">
            <w:pPr>
              <w:spacing w:before="100" w:beforeAutospacing="1" w:after="100" w:afterAutospacing="1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Slovensko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Kamerový systém</w:t>
            </w:r>
          </w:p>
        </w:tc>
        <w:tc>
          <w:tcPr>
            <w:tcW w:w="18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 </w:t>
            </w:r>
          </w:p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5 412,75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 </w:t>
            </w:r>
          </w:p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Zmenka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 </w:t>
            </w:r>
          </w:p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 </w:t>
            </w:r>
          </w:p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r. 2015</w:t>
            </w:r>
          </w:p>
        </w:tc>
      </w:tr>
      <w:tr w:rsidR="004179C0" w:rsidRPr="006A1C7D" w:rsidTr="004179C0">
        <w:trPr>
          <w:tblCellSpacing w:w="0" w:type="dxa"/>
        </w:trPr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Prima banka Slovensko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Kamerový systém</w:t>
            </w:r>
          </w:p>
        </w:tc>
        <w:tc>
          <w:tcPr>
            <w:tcW w:w="18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 </w:t>
            </w:r>
          </w:p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3 210,20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 </w:t>
            </w:r>
          </w:p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Zmenka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 </w:t>
            </w:r>
          </w:p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 </w:t>
            </w:r>
          </w:p>
          <w:p w:rsidR="004179C0" w:rsidRPr="006A1C7D" w:rsidRDefault="004179C0" w:rsidP="004179C0">
            <w:pPr>
              <w:spacing w:before="100" w:beforeAutospacing="1" w:after="100" w:afterAutospacing="1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6A1C7D">
              <w:rPr>
                <w:rFonts w:eastAsia="Times New Roman" w:cs="Times New Roman"/>
                <w:sz w:val="24"/>
                <w:szCs w:val="24"/>
                <w:lang w:eastAsia="sk-SK"/>
              </w:rPr>
              <w:t>r. 2016</w:t>
            </w:r>
          </w:p>
        </w:tc>
      </w:tr>
    </w:tbl>
    <w:p w:rsidR="004E3287" w:rsidRPr="006A1C7D" w:rsidRDefault="00533095" w:rsidP="00533095">
      <w:p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6A1C7D">
        <w:rPr>
          <w:rFonts w:eastAsia="Times New Roman" w:cs="Times New Roman"/>
          <w:sz w:val="24"/>
          <w:szCs w:val="24"/>
          <w:lang w:eastAsia="sk-SK"/>
        </w:rPr>
        <w:t> </w:t>
      </w:r>
      <w:r w:rsidR="004E3287" w:rsidRPr="006A1C7D">
        <w:rPr>
          <w:b/>
        </w:rPr>
        <w:t>Záver:</w:t>
      </w:r>
    </w:p>
    <w:p w:rsidR="004E3287" w:rsidRPr="006A1C7D" w:rsidRDefault="004E3287" w:rsidP="004E3287">
      <w:pPr>
        <w:spacing w:line="360" w:lineRule="auto"/>
      </w:pPr>
      <w:r w:rsidRPr="006A1C7D">
        <w:t>Táto výročná správa sa vyhotovuje za účtovné obdobie od 01.01.2015 do 31.12.2015, podľa výsledkov účtovnej závierky. Účtovná závierka bude odovzdaná na MF SR v zákonom stanovenom termíne v  elektronickej podobe .</w:t>
      </w:r>
    </w:p>
    <w:p w:rsidR="004E3287" w:rsidRDefault="004E3287" w:rsidP="004E3287">
      <w:pPr>
        <w:spacing w:line="360" w:lineRule="auto"/>
      </w:pPr>
      <w:r w:rsidRPr="006A1C7D">
        <w:t>V budúcom období bude obec aj naďalej zabezpečovať plnenie úloh v zmysle zákona č. 369/1990 Zb. o obecnom zriadení v znení neskorších predpisov.</w:t>
      </w:r>
    </w:p>
    <w:p w:rsidR="00325777" w:rsidRDefault="00325777" w:rsidP="004E3287">
      <w:pPr>
        <w:spacing w:line="360" w:lineRule="auto"/>
      </w:pPr>
    </w:p>
    <w:p w:rsidR="00325777" w:rsidRPr="006A1C7D" w:rsidRDefault="00325777" w:rsidP="004E3287">
      <w:pPr>
        <w:spacing w:line="360" w:lineRule="auto"/>
      </w:pP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  <w:r w:rsidRPr="006A1C7D">
        <w:t xml:space="preserve"> </w:t>
      </w:r>
      <w:r w:rsidR="00A9124F" w:rsidRPr="006A1C7D">
        <w:rPr>
          <w:b/>
        </w:rPr>
        <w:t>Vo  Vrchteplej, dňa 12.12.2016</w:t>
      </w:r>
      <w:r w:rsidRPr="006A1C7D">
        <w:rPr>
          <w:b/>
        </w:rPr>
        <w:t xml:space="preserve">                                              </w:t>
      </w: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  <w:r w:rsidRPr="006A1C7D">
        <w:rPr>
          <w:b/>
        </w:rPr>
        <w:t xml:space="preserve"> Viera Vokelová                                                                  Ladislav Kolek</w:t>
      </w: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  <w:r w:rsidRPr="006A1C7D">
        <w:rPr>
          <w:b/>
        </w:rPr>
        <w:t xml:space="preserve"> ----------------------------------------------                            -------------------------------------------                                                                                                                          </w:t>
      </w:r>
    </w:p>
    <w:p w:rsidR="004E3287" w:rsidRPr="006A1C7D" w:rsidRDefault="004E3287" w:rsidP="005070E6">
      <w:pPr>
        <w:tabs>
          <w:tab w:val="right" w:pos="5387"/>
        </w:tabs>
        <w:spacing w:line="360" w:lineRule="auto"/>
        <w:rPr>
          <w:rFonts w:cs="BrowalliaUPC"/>
          <w:b/>
          <w:bCs/>
          <w:sz w:val="28"/>
          <w:szCs w:val="28"/>
        </w:rPr>
      </w:pPr>
      <w:r w:rsidRPr="006A1C7D">
        <w:rPr>
          <w:b/>
        </w:rPr>
        <w:t>Zodpovedná osoba za  vypracovanie                                Štatutárny orgán - starosta</w:t>
      </w:r>
    </w:p>
    <w:sectPr w:rsidR="004E3287" w:rsidRPr="006A1C7D" w:rsidSect="00A9124F">
      <w:pgSz w:w="11906" w:h="17338"/>
      <w:pgMar w:top="1126" w:right="712" w:bottom="1011" w:left="1118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4E92" w:rsidRDefault="00FD4E92" w:rsidP="004179C0">
      <w:pPr>
        <w:spacing w:after="0" w:line="240" w:lineRule="auto"/>
      </w:pPr>
      <w:r>
        <w:separator/>
      </w:r>
    </w:p>
  </w:endnote>
  <w:endnote w:type="continuationSeparator" w:id="0">
    <w:p w:rsidR="00FD4E92" w:rsidRDefault="00FD4E92" w:rsidP="004179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BrowalliaUPC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4E92" w:rsidRDefault="00FD4E92" w:rsidP="004179C0">
      <w:pPr>
        <w:spacing w:after="0" w:line="240" w:lineRule="auto"/>
      </w:pPr>
      <w:r>
        <w:separator/>
      </w:r>
    </w:p>
  </w:footnote>
  <w:footnote w:type="continuationSeparator" w:id="0">
    <w:p w:rsidR="00FD4E92" w:rsidRDefault="00FD4E92" w:rsidP="004179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0C1B32"/>
    <w:multiLevelType w:val="hybridMultilevel"/>
    <w:tmpl w:val="271222E0"/>
    <w:lvl w:ilvl="0" w:tplc="B300AD92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9C06091"/>
    <w:multiLevelType w:val="multilevel"/>
    <w:tmpl w:val="DEBE9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05A1EBC"/>
    <w:multiLevelType w:val="hybridMultilevel"/>
    <w:tmpl w:val="13D07C20"/>
    <w:lvl w:ilvl="0" w:tplc="51AEEC3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D7612E"/>
    <w:multiLevelType w:val="hybridMultilevel"/>
    <w:tmpl w:val="1294334E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9602D8"/>
    <w:multiLevelType w:val="hybridMultilevel"/>
    <w:tmpl w:val="D68EBB4E"/>
    <w:lvl w:ilvl="0" w:tplc="C79A1436">
      <w:start w:val="2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B501C5"/>
    <w:multiLevelType w:val="hybridMultilevel"/>
    <w:tmpl w:val="81340F06"/>
    <w:lvl w:ilvl="0" w:tplc="FFFFFFFF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95"/>
        </w:tabs>
        <w:ind w:left="149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" w15:restartNumberingAfterBreak="0">
    <w:nsid w:val="5155709D"/>
    <w:multiLevelType w:val="singleLevel"/>
    <w:tmpl w:val="04050011"/>
    <w:lvl w:ilvl="0">
      <w:start w:val="2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9" w15:restartNumberingAfterBreak="0">
    <w:nsid w:val="5C1C7788"/>
    <w:multiLevelType w:val="hybridMultilevel"/>
    <w:tmpl w:val="8F16D7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08D152D"/>
    <w:multiLevelType w:val="hybridMultilevel"/>
    <w:tmpl w:val="BFF6F3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5F5695"/>
    <w:multiLevelType w:val="hybridMultilevel"/>
    <w:tmpl w:val="5D4A5A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10"/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F22"/>
    <w:rsid w:val="00136EF0"/>
    <w:rsid w:val="00172AD9"/>
    <w:rsid w:val="00216940"/>
    <w:rsid w:val="002B3E00"/>
    <w:rsid w:val="00325777"/>
    <w:rsid w:val="0033091A"/>
    <w:rsid w:val="003F5313"/>
    <w:rsid w:val="004179C0"/>
    <w:rsid w:val="00487616"/>
    <w:rsid w:val="004B4100"/>
    <w:rsid w:val="004B692E"/>
    <w:rsid w:val="004C5717"/>
    <w:rsid w:val="004E3287"/>
    <w:rsid w:val="004F1143"/>
    <w:rsid w:val="005070E6"/>
    <w:rsid w:val="00533095"/>
    <w:rsid w:val="00571BDE"/>
    <w:rsid w:val="005D3A8D"/>
    <w:rsid w:val="0060322A"/>
    <w:rsid w:val="006A1C7D"/>
    <w:rsid w:val="006D3E35"/>
    <w:rsid w:val="006D52C7"/>
    <w:rsid w:val="007C0FD6"/>
    <w:rsid w:val="00803602"/>
    <w:rsid w:val="008F7F22"/>
    <w:rsid w:val="0090266F"/>
    <w:rsid w:val="009857C6"/>
    <w:rsid w:val="00A24834"/>
    <w:rsid w:val="00A9124F"/>
    <w:rsid w:val="00AB0F03"/>
    <w:rsid w:val="00AE2B12"/>
    <w:rsid w:val="00B36B31"/>
    <w:rsid w:val="00B55BFE"/>
    <w:rsid w:val="00B8510E"/>
    <w:rsid w:val="00BE1E42"/>
    <w:rsid w:val="00CA0160"/>
    <w:rsid w:val="00D62923"/>
    <w:rsid w:val="00DF2FC4"/>
    <w:rsid w:val="00E340AA"/>
    <w:rsid w:val="00EA6946"/>
    <w:rsid w:val="00EB6A84"/>
    <w:rsid w:val="00EC7624"/>
    <w:rsid w:val="00F04085"/>
    <w:rsid w:val="00F36FBD"/>
    <w:rsid w:val="00FC0437"/>
    <w:rsid w:val="00FD4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EF98667-1066-41B6-87AC-EDD704677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F7F2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semiHidden/>
    <w:rsid w:val="00EC762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semiHidden/>
    <w:rsid w:val="00EC762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B6A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6A8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4E328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unhideWhenUsed/>
    <w:rsid w:val="004179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179C0"/>
  </w:style>
  <w:style w:type="paragraph" w:styleId="Normlnywebov">
    <w:name w:val="Normal (Web)"/>
    <w:basedOn w:val="Normlny"/>
    <w:uiPriority w:val="99"/>
    <w:unhideWhenUsed/>
    <w:rsid w:val="004179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012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5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5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7AAB68-42C2-4DB8-BAB4-BB3C439FC3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2207</Words>
  <Characters>12584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VOKELOVÁ Viera</dc:creator>
  <cp:lastModifiedBy>Vierka</cp:lastModifiedBy>
  <cp:revision>2</cp:revision>
  <cp:lastPrinted>2016-12-30T13:01:00Z</cp:lastPrinted>
  <dcterms:created xsi:type="dcterms:W3CDTF">2016-12-30T14:02:00Z</dcterms:created>
  <dcterms:modified xsi:type="dcterms:W3CDTF">2016-12-30T14:02:00Z</dcterms:modified>
</cp:coreProperties>
</file>