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7F72" w:rsidRDefault="00347F72">
      <w:pPr>
        <w:keepNext/>
        <w:jc w:val="center"/>
        <w:rPr>
          <w:b/>
          <w:bCs/>
          <w:sz w:val="20"/>
        </w:rPr>
      </w:pPr>
      <w:bookmarkStart w:id="0" w:name="_GoBack"/>
      <w:bookmarkEnd w:id="0"/>
      <w:r>
        <w:rPr>
          <w:b/>
          <w:bCs/>
          <w:sz w:val="20"/>
        </w:rPr>
        <w:t>Čl. I</w:t>
      </w:r>
    </w:p>
    <w:p w:rsidR="00347F72" w:rsidRDefault="00347F72">
      <w:pPr>
        <w:keepNext/>
        <w:tabs>
          <w:tab w:val="left" w:pos="2635"/>
          <w:tab w:val="center" w:pos="4734"/>
        </w:tabs>
        <w:rPr>
          <w:b/>
          <w:bCs/>
          <w:sz w:val="20"/>
        </w:rPr>
      </w:pPr>
      <w:r>
        <w:rPr>
          <w:b/>
          <w:bCs/>
          <w:sz w:val="20"/>
        </w:rPr>
        <w:tab/>
      </w:r>
      <w:r>
        <w:rPr>
          <w:b/>
          <w:bCs/>
          <w:sz w:val="20"/>
        </w:rPr>
        <w:tab/>
        <w:t>Všeobecné údaje</w:t>
      </w:r>
    </w:p>
    <w:p w:rsidR="00347F72" w:rsidRDefault="00347F72">
      <w:pPr>
        <w:keepNext/>
        <w:jc w:val="center"/>
        <w:rPr>
          <w:b/>
          <w:bCs/>
          <w:sz w:val="18"/>
          <w:szCs w:val="22"/>
        </w:rPr>
      </w:pPr>
    </w:p>
    <w:p w:rsidR="00347F72" w:rsidRDefault="00347F72">
      <w:pPr>
        <w:numPr>
          <w:ilvl w:val="0"/>
          <w:numId w:val="4"/>
        </w:numPr>
        <w:ind w:left="360"/>
        <w:jc w:val="both"/>
        <w:rPr>
          <w:sz w:val="20"/>
        </w:rPr>
      </w:pPr>
      <w:r>
        <w:rPr>
          <w:sz w:val="20"/>
        </w:rPr>
        <w:t>Názov právnickej osoby a jej sídlo alebo meno a priezvisko fyzickej osoby.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9514"/>
      </w:tblGrid>
      <w:tr w:rsidR="00347F72">
        <w:trPr>
          <w:cantSplit/>
          <w:trHeight w:val="1656"/>
        </w:trPr>
        <w:tc>
          <w:tcPr>
            <w:tcW w:w="95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19138C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Black PineApple s.r.o.</w:t>
            </w:r>
          </w:p>
          <w:p w:rsidR="00D8571D" w:rsidRDefault="0019138C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Cementárenská cesta 16</w:t>
            </w:r>
          </w:p>
          <w:p w:rsidR="00D8571D" w:rsidRDefault="0019138C">
            <w:pPr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974 01 Banská Bystrica</w:t>
            </w:r>
          </w:p>
        </w:tc>
      </w:tr>
    </w:tbl>
    <w:p w:rsidR="00347F72" w:rsidRDefault="00347F72">
      <w:pPr>
        <w:jc w:val="both"/>
      </w:pPr>
    </w:p>
    <w:p w:rsidR="00347F72" w:rsidRDefault="00347F72">
      <w:pPr>
        <w:numPr>
          <w:ilvl w:val="0"/>
          <w:numId w:val="4"/>
        </w:numPr>
        <w:ind w:left="502"/>
        <w:jc w:val="both"/>
        <w:rPr>
          <w:sz w:val="20"/>
        </w:rPr>
      </w:pPr>
      <w:r>
        <w:rPr>
          <w:sz w:val="20"/>
        </w:rPr>
        <w:t xml:space="preserve">Údaje o konsolidovanom celku:   Účtovná jednotka </w:t>
      </w:r>
      <w:r>
        <w:rPr>
          <w:b/>
          <w:sz w:val="20"/>
        </w:rPr>
        <w:t>nie je</w:t>
      </w:r>
      <w:r>
        <w:rPr>
          <w:sz w:val="20"/>
        </w:rPr>
        <w:t xml:space="preserve"> súčasťou konsolidovaného celku.</w:t>
      </w:r>
    </w:p>
    <w:p w:rsidR="00347F72" w:rsidRDefault="00347F72">
      <w:pPr>
        <w:numPr>
          <w:ilvl w:val="0"/>
          <w:numId w:val="4"/>
        </w:numPr>
        <w:ind w:left="360"/>
        <w:jc w:val="both"/>
        <w:rPr>
          <w:sz w:val="20"/>
        </w:rPr>
      </w:pPr>
      <w:r>
        <w:rPr>
          <w:sz w:val="20"/>
        </w:rPr>
        <w:t xml:space="preserve">Priemerný prepočítaný počet zamestnancov:     </w:t>
      </w:r>
      <w:r w:rsidR="0019138C">
        <w:rPr>
          <w:sz w:val="20"/>
        </w:rPr>
        <w:t>1</w:t>
      </w:r>
      <w:r>
        <w:rPr>
          <w:sz w:val="20"/>
        </w:rPr>
        <w:t xml:space="preserve"> </w:t>
      </w:r>
    </w:p>
    <w:p w:rsidR="00347F72" w:rsidRDefault="00347F72">
      <w:pPr>
        <w:ind w:left="2870"/>
        <w:jc w:val="both"/>
        <w:rPr>
          <w:sz w:val="20"/>
        </w:rPr>
      </w:pP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Čl. II</w:t>
      </w: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Informácie o prijatých postupoch</w:t>
      </w:r>
    </w:p>
    <w:p w:rsidR="00347F72" w:rsidRDefault="00347F72">
      <w:pPr>
        <w:ind w:left="1121"/>
        <w:jc w:val="both"/>
        <w:rPr>
          <w:b/>
          <w:sz w:val="20"/>
        </w:rPr>
      </w:pPr>
    </w:p>
    <w:p w:rsidR="00195935" w:rsidRPr="0019138C" w:rsidRDefault="00347F72" w:rsidP="00195935">
      <w:pPr>
        <w:numPr>
          <w:ilvl w:val="0"/>
          <w:numId w:val="5"/>
        </w:numPr>
        <w:ind w:left="502"/>
        <w:jc w:val="both"/>
        <w:rPr>
          <w:sz w:val="20"/>
        </w:rPr>
      </w:pPr>
      <w:r w:rsidRPr="0019138C">
        <w:rPr>
          <w:sz w:val="20"/>
        </w:rPr>
        <w:t xml:space="preserve">Účtovná závierka zostavená za splnenia predpokladu, že účtovná jednotka </w:t>
      </w:r>
      <w:r w:rsidRPr="0019138C">
        <w:rPr>
          <w:b/>
          <w:sz w:val="20"/>
        </w:rPr>
        <w:t>bude</w:t>
      </w:r>
      <w:r w:rsidR="00195935" w:rsidRPr="0019138C">
        <w:rPr>
          <w:sz w:val="20"/>
        </w:rPr>
        <w:t xml:space="preserve"> </w:t>
      </w:r>
      <w:r w:rsidRPr="0019138C">
        <w:rPr>
          <w:sz w:val="20"/>
        </w:rPr>
        <w:t xml:space="preserve"> pokračovať vo svojej činnosti</w:t>
      </w:r>
      <w:r w:rsidR="00195935" w:rsidRPr="0019138C">
        <w:rPr>
          <w:sz w:val="20"/>
        </w:rPr>
        <w:t xml:space="preserve"> </w:t>
      </w: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 xml:space="preserve">Spôsob oceňovania jednotlivých položiek majetku a záväzkov </w:t>
      </w:r>
    </w:p>
    <w:p w:rsidR="0019138C" w:rsidRDefault="0019138C" w:rsidP="0019138C">
      <w:pPr>
        <w:ind w:left="502"/>
        <w:jc w:val="both"/>
        <w:rPr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Obstarávacou cenou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19138C" w:rsidRDefault="0019138C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Vlastnými nákladmi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Menovitou hodnotou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Reprodukčnou obstarávacou cenou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Metódou FIFO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Obstarávacia cena zásob sa rozdeľuje na cenu za ktoré sa zásoby obstarali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</w:p>
        </w:tc>
      </w:tr>
    </w:tbl>
    <w:p w:rsidR="00347F72" w:rsidRDefault="00347F72">
      <w:pPr>
        <w:jc w:val="both"/>
      </w:pPr>
    </w:p>
    <w:p w:rsidR="00347F72" w:rsidRDefault="00347F72">
      <w:pPr>
        <w:jc w:val="both"/>
        <w:rPr>
          <w:sz w:val="20"/>
          <w:szCs w:val="22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549"/>
        <w:gridCol w:w="539"/>
      </w:tblGrid>
      <w:tr w:rsidR="00347F72">
        <w:trPr>
          <w:cantSplit/>
        </w:trPr>
        <w:tc>
          <w:tcPr>
            <w:tcW w:w="9088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before="280" w:after="280"/>
              <w:ind w:right="-468"/>
              <w:jc w:val="both"/>
              <w:rPr>
                <w:bCs/>
                <w:sz w:val="20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sz w:val="20"/>
              </w:rPr>
            </w:pPr>
            <w:r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  <w:vAlign w:val="center"/>
          </w:tcPr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podľa zákona o daniach z príjmov pri sadzbe 22 %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347F72" w:rsidRDefault="00347F72">
            <w:pPr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X</w:t>
            </w:r>
          </w:p>
        </w:tc>
      </w:tr>
      <w:tr w:rsidR="00347F72">
        <w:trPr>
          <w:cantSplit/>
        </w:trPr>
        <w:tc>
          <w:tcPr>
            <w:tcW w:w="854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before="280" w:after="280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53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widowControl w:val="0"/>
              <w:autoSpaceDE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347F72" w:rsidRDefault="00347F72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347F72" w:rsidRDefault="00347F72">
      <w:pPr>
        <w:jc w:val="both"/>
        <w:rPr>
          <w:sz w:val="20"/>
          <w:szCs w:val="22"/>
        </w:rPr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>Spôsob zostavenia odpisového plánu pre jednotlivé druhy dlhodobého hmotného majetku  a dlhodobého nehmotného majetku,</w:t>
      </w:r>
      <w:r w:rsidR="00195935">
        <w:rPr>
          <w:sz w:val="20"/>
        </w:rPr>
        <w:t xml:space="preserve"> </w:t>
      </w:r>
      <w:r>
        <w:rPr>
          <w:sz w:val="20"/>
        </w:rPr>
        <w:t xml:space="preserve">doba odpisovania, použité sadzby odpisov a odpisové metódy pri určení odpisov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70"/>
        <w:gridCol w:w="1539"/>
        <w:gridCol w:w="479"/>
      </w:tblGrid>
      <w:tr w:rsidR="00347F72">
        <w:trPr>
          <w:cantSplit/>
        </w:trPr>
        <w:tc>
          <w:tcPr>
            <w:tcW w:w="8609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20"/>
                <w:szCs w:val="22"/>
              </w:rPr>
            </w:pPr>
          </w:p>
        </w:tc>
      </w:tr>
      <w:tr w:rsidR="00347F72">
        <w:trPr>
          <w:cantSplit/>
          <w:trHeight w:val="963"/>
        </w:trPr>
        <w:tc>
          <w:tcPr>
            <w:tcW w:w="8609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rovnajú.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18"/>
              </w:rPr>
            </w:pPr>
          </w:p>
          <w:p w:rsidR="00347F72" w:rsidRDefault="00347F72">
            <w:pPr>
              <w:rPr>
                <w:sz w:val="20"/>
                <w:szCs w:val="22"/>
              </w:rPr>
            </w:pPr>
          </w:p>
        </w:tc>
      </w:tr>
      <w:tr w:rsidR="00347F72">
        <w:trPr>
          <w:cantSplit/>
          <w:trHeight w:val="1217"/>
        </w:trPr>
        <w:tc>
          <w:tcPr>
            <w:tcW w:w="8609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nerovnajú.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20"/>
                <w:szCs w:val="22"/>
              </w:rPr>
            </w:pPr>
          </w:p>
        </w:tc>
      </w:tr>
      <w:tr w:rsidR="00347F72">
        <w:trPr>
          <w:cantSplit/>
          <w:trHeight w:val="64"/>
        </w:trPr>
        <w:tc>
          <w:tcPr>
            <w:tcW w:w="70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53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347F72">
        <w:trPr>
          <w:cantSplit/>
          <w:trHeight w:val="64"/>
        </w:trPr>
        <w:tc>
          <w:tcPr>
            <w:tcW w:w="70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widowControl w:val="0"/>
              <w:autoSpaceDE w:val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47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347F72" w:rsidRDefault="00347F72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347F72" w:rsidRDefault="00347F72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111"/>
        <w:gridCol w:w="977"/>
        <w:gridCol w:w="1164"/>
        <w:gridCol w:w="1180"/>
        <w:gridCol w:w="980"/>
        <w:gridCol w:w="1676"/>
      </w:tblGrid>
      <w:tr w:rsidR="00347F72">
        <w:trPr>
          <w:cantSplit/>
        </w:trPr>
        <w:tc>
          <w:tcPr>
            <w:tcW w:w="31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67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347F72" w:rsidRDefault="00347F72">
            <w:pPr>
              <w:spacing w:after="120"/>
              <w:jc w:val="right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  <w:vAlign w:val="bottom"/>
          </w:tcPr>
          <w:p w:rsidR="00347F72" w:rsidRDefault="00347F72">
            <w:pPr>
              <w:spacing w:after="120"/>
              <w:jc w:val="right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</w:tr>
      <w:tr w:rsidR="00347F72">
        <w:trPr>
          <w:cantSplit/>
        </w:trPr>
        <w:tc>
          <w:tcPr>
            <w:tcW w:w="311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7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spacing w:after="120"/>
              <w:jc w:val="both"/>
              <w:rPr>
                <w:sz w:val="20"/>
              </w:rPr>
            </w:pPr>
          </w:p>
        </w:tc>
      </w:tr>
    </w:tbl>
    <w:p w:rsidR="00347F72" w:rsidRDefault="00347F72">
      <w:pPr>
        <w:ind w:left="709"/>
        <w:jc w:val="both"/>
      </w:pPr>
    </w:p>
    <w:p w:rsidR="00055C56" w:rsidRDefault="00055C56" w:rsidP="00055C56">
      <w:pPr>
        <w:ind w:left="502"/>
        <w:jc w:val="both"/>
        <w:rPr>
          <w:sz w:val="20"/>
        </w:rPr>
      </w:pPr>
    </w:p>
    <w:p w:rsidR="00055C56" w:rsidRDefault="00055C56" w:rsidP="00055C56">
      <w:pPr>
        <w:ind w:left="502"/>
        <w:jc w:val="both"/>
        <w:rPr>
          <w:sz w:val="20"/>
        </w:rPr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 ÚJ</w:t>
      </w:r>
    </w:p>
    <w:p w:rsidR="00055C56" w:rsidRDefault="00055C56" w:rsidP="00055C56">
      <w:pPr>
        <w:jc w:val="both"/>
        <w:rPr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062"/>
        <w:gridCol w:w="1502"/>
        <w:gridCol w:w="1503"/>
        <w:gridCol w:w="1503"/>
        <w:gridCol w:w="1503"/>
        <w:gridCol w:w="1441"/>
      </w:tblGrid>
      <w:tr w:rsidR="00347F72">
        <w:trPr>
          <w:cantSplit/>
          <w:trHeight w:val="283"/>
        </w:trPr>
        <w:tc>
          <w:tcPr>
            <w:tcW w:w="206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Typ zmeny</w:t>
            </w:r>
          </w:p>
        </w:tc>
        <w:tc>
          <w:tcPr>
            <w:tcW w:w="150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Dôvod zmeny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Majetok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Záväzky</w:t>
            </w:r>
          </w:p>
        </w:tc>
        <w:tc>
          <w:tcPr>
            <w:tcW w:w="150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ZI</w:t>
            </w:r>
          </w:p>
        </w:tc>
        <w:tc>
          <w:tcPr>
            <w:tcW w:w="144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HV</w:t>
            </w:r>
          </w:p>
        </w:tc>
      </w:tr>
      <w:tr w:rsidR="00347F72">
        <w:trPr>
          <w:cantSplit/>
          <w:trHeight w:val="283"/>
        </w:trPr>
        <w:tc>
          <w:tcPr>
            <w:tcW w:w="206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4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206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503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  <w:tc>
          <w:tcPr>
            <w:tcW w:w="144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pStyle w:val="WW-Odsekzoznamu"/>
              <w:ind w:left="0"/>
              <w:rPr>
                <w:sz w:val="20"/>
                <w:lang w:val="sk-SK"/>
              </w:rPr>
            </w:pPr>
          </w:p>
        </w:tc>
      </w:tr>
    </w:tbl>
    <w:p w:rsidR="00347F72" w:rsidRDefault="00347F72">
      <w:pPr>
        <w:pStyle w:val="WW-Odsekzoznamu"/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 xml:space="preserve">Informácie o dotáciách a ich oceňovanie v účtovníctve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81"/>
        <w:gridCol w:w="2999"/>
        <w:gridCol w:w="1434"/>
      </w:tblGrid>
      <w:tr w:rsidR="00347F72">
        <w:trPr>
          <w:cantSplit/>
          <w:trHeight w:val="283"/>
        </w:trPr>
        <w:tc>
          <w:tcPr>
            <w:tcW w:w="50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50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50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</w:tr>
    </w:tbl>
    <w:p w:rsidR="00347F72" w:rsidRDefault="00347F72">
      <w:pPr>
        <w:ind w:left="709"/>
        <w:jc w:val="both"/>
      </w:pPr>
    </w:p>
    <w:p w:rsidR="00347F72" w:rsidRDefault="00347F72">
      <w:pPr>
        <w:numPr>
          <w:ilvl w:val="0"/>
          <w:numId w:val="5"/>
        </w:numPr>
        <w:ind w:left="502"/>
        <w:jc w:val="both"/>
        <w:rPr>
          <w:sz w:val="20"/>
        </w:rPr>
      </w:pPr>
      <w:r>
        <w:rPr>
          <w:sz w:val="20"/>
        </w:rPr>
        <w:t xml:space="preserve">Informácie o účtovaní významných opráv chýb minulých účtovných období v bežnom účtovnom období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77"/>
        <w:gridCol w:w="992"/>
        <w:gridCol w:w="851"/>
        <w:gridCol w:w="2126"/>
        <w:gridCol w:w="2568"/>
      </w:tblGrid>
      <w:tr w:rsidR="00347F72">
        <w:trPr>
          <w:cantSplit/>
        </w:trPr>
        <w:tc>
          <w:tcPr>
            <w:tcW w:w="297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Opravy minulého obdobia</w:t>
            </w:r>
          </w:p>
        </w:tc>
        <w:tc>
          <w:tcPr>
            <w:tcW w:w="99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Patrí do obdobia</w:t>
            </w:r>
          </w:p>
        </w:tc>
        <w:tc>
          <w:tcPr>
            <w:tcW w:w="8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 xml:space="preserve">Účet </w:t>
            </w:r>
          </w:p>
        </w:tc>
        <w:tc>
          <w:tcPr>
            <w:tcW w:w="212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na účet HV min. období (EUR)</w:t>
            </w:r>
          </w:p>
        </w:tc>
        <w:tc>
          <w:tcPr>
            <w:tcW w:w="25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Účtované do HV bežného  obdobia(EUR)</w:t>
            </w: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</w:tr>
      <w:tr w:rsidR="00347F72">
        <w:trPr>
          <w:cantSplit/>
          <w:trHeight w:val="340"/>
        </w:trPr>
        <w:tc>
          <w:tcPr>
            <w:tcW w:w="2977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68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18"/>
                <w:szCs w:val="22"/>
              </w:rPr>
            </w:pPr>
          </w:p>
        </w:tc>
      </w:tr>
    </w:tbl>
    <w:p w:rsidR="00347F72" w:rsidRDefault="00347F72">
      <w:pPr>
        <w:jc w:val="both"/>
      </w:pPr>
    </w:p>
    <w:p w:rsidR="00347F72" w:rsidRDefault="00347F72">
      <w:pPr>
        <w:ind w:left="360"/>
        <w:rPr>
          <w:sz w:val="20"/>
        </w:rPr>
      </w:pP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Čl. III</w:t>
      </w:r>
    </w:p>
    <w:p w:rsidR="00347F72" w:rsidRDefault="00347F72">
      <w:pPr>
        <w:jc w:val="center"/>
        <w:rPr>
          <w:b/>
          <w:sz w:val="20"/>
        </w:rPr>
      </w:pPr>
      <w:r>
        <w:rPr>
          <w:b/>
          <w:sz w:val="20"/>
        </w:rPr>
        <w:t>Informácie, ktoré vysvetľujú a dopĺňajú súvahu a výkaz ziskov a strát</w:t>
      </w:r>
    </w:p>
    <w:p w:rsidR="00347F72" w:rsidRDefault="00347F72">
      <w:pPr>
        <w:ind w:left="1841"/>
        <w:jc w:val="center"/>
        <w:rPr>
          <w:b/>
          <w:sz w:val="20"/>
        </w:rPr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r>
        <w:rPr>
          <w:sz w:val="20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</w:t>
      </w:r>
    </w:p>
    <w:p w:rsidR="00055C56" w:rsidRDefault="00055C56" w:rsidP="00055C56">
      <w:pPr>
        <w:ind w:left="502"/>
        <w:jc w:val="both"/>
        <w:rPr>
          <w:sz w:val="2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899"/>
        <w:gridCol w:w="4181"/>
        <w:gridCol w:w="1434"/>
      </w:tblGrid>
      <w:tr w:rsidR="00347F72">
        <w:trPr>
          <w:cantSplit/>
          <w:trHeight w:val="283"/>
        </w:trPr>
        <w:tc>
          <w:tcPr>
            <w:tcW w:w="389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Popis nákladov ,výnosov výnimoč. rozsahu</w:t>
            </w:r>
          </w:p>
        </w:tc>
        <w:tc>
          <w:tcPr>
            <w:tcW w:w="418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Dôvod vzniku</w:t>
            </w:r>
          </w:p>
        </w:tc>
        <w:tc>
          <w:tcPr>
            <w:tcW w:w="1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38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3899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</w:tbl>
    <w:p w:rsidR="00347F72" w:rsidRDefault="00347F72">
      <w:pPr>
        <w:ind w:left="1481"/>
        <w:jc w:val="both"/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r>
        <w:rPr>
          <w:sz w:val="20"/>
        </w:rPr>
        <w:t xml:space="preserve">Informácie o záväzkoch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8080"/>
        <w:gridCol w:w="1434"/>
      </w:tblGrid>
      <w:tr w:rsidR="00347F72">
        <w:trPr>
          <w:cantSplit/>
          <w:trHeight w:val="283"/>
        </w:trPr>
        <w:tc>
          <w:tcPr>
            <w:tcW w:w="8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záväzkov so zostatkovou dobou splatnosti dlhšou ako päť rokov</w:t>
            </w:r>
          </w:p>
        </w:tc>
        <w:tc>
          <w:tcPr>
            <w:tcW w:w="14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347F72" w:rsidRDefault="00347F72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47F72">
        <w:trPr>
          <w:cantSplit/>
          <w:trHeight w:val="283"/>
        </w:trPr>
        <w:tc>
          <w:tcPr>
            <w:tcW w:w="80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Celková suma zabezpečených záväzkov</w:t>
            </w: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347F72" w:rsidRDefault="00347F72">
            <w:pPr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347F72">
        <w:trPr>
          <w:cantSplit/>
          <w:trHeight w:val="283"/>
        </w:trPr>
        <w:tc>
          <w:tcPr>
            <w:tcW w:w="9514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 w:rsidP="00055C56">
            <w:pPr>
              <w:rPr>
                <w:sz w:val="20"/>
              </w:rPr>
            </w:pPr>
            <w:r>
              <w:rPr>
                <w:sz w:val="20"/>
              </w:rPr>
              <w:t>Opis a spôsoby zabezpečenia záväzkov</w:t>
            </w:r>
          </w:p>
        </w:tc>
      </w:tr>
      <w:tr w:rsidR="00347F72">
        <w:trPr>
          <w:cantSplit/>
          <w:trHeight w:val="283"/>
        </w:trPr>
        <w:tc>
          <w:tcPr>
            <w:tcW w:w="80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808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43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</w:tbl>
    <w:p w:rsidR="00347F72" w:rsidRDefault="00347F72">
      <w:pPr>
        <w:ind w:left="1134"/>
        <w:jc w:val="both"/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b/>
          <w:bCs/>
          <w:kern w:val="1"/>
          <w:sz w:val="20"/>
        </w:rPr>
      </w:pPr>
      <w:r>
        <w:rPr>
          <w:bCs/>
          <w:kern w:val="1"/>
          <w:sz w:val="20"/>
        </w:rPr>
        <w:t xml:space="preserve">Informácie o vlastných akciách,  - </w:t>
      </w:r>
      <w:r>
        <w:rPr>
          <w:b/>
          <w:bCs/>
          <w:kern w:val="1"/>
          <w:sz w:val="20"/>
        </w:rPr>
        <w:t>spoločnosť nevlastní akcie.</w:t>
      </w:r>
    </w:p>
    <w:p w:rsidR="00347F72" w:rsidRDefault="00347F72">
      <w:pPr>
        <w:numPr>
          <w:ilvl w:val="0"/>
          <w:numId w:val="8"/>
        </w:numPr>
        <w:ind w:left="1069"/>
        <w:jc w:val="both"/>
        <w:rPr>
          <w:sz w:val="20"/>
        </w:rPr>
      </w:pPr>
      <w:r>
        <w:rPr>
          <w:sz w:val="20"/>
        </w:rPr>
        <w:t>dôvode nadobudnutia vlastných akcií počas účtovného obdobia,</w:t>
      </w:r>
    </w:p>
    <w:p w:rsidR="00347F72" w:rsidRDefault="00347F72">
      <w:pPr>
        <w:numPr>
          <w:ilvl w:val="0"/>
          <w:numId w:val="8"/>
        </w:numPr>
        <w:ind w:left="1069"/>
        <w:jc w:val="both"/>
        <w:rPr>
          <w:sz w:val="20"/>
        </w:rPr>
      </w:pPr>
      <w:r>
        <w:rPr>
          <w:sz w:val="20"/>
        </w:rPr>
        <w:t>informáciách, ktorými sú</w:t>
      </w:r>
    </w:p>
    <w:p w:rsidR="00347F72" w:rsidRDefault="00347F72">
      <w:pPr>
        <w:numPr>
          <w:ilvl w:val="0"/>
          <w:numId w:val="7"/>
        </w:numPr>
        <w:ind w:left="1636"/>
        <w:jc w:val="both"/>
        <w:rPr>
          <w:sz w:val="20"/>
        </w:rPr>
      </w:pPr>
      <w:r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347F72" w:rsidRDefault="00347F72">
      <w:pPr>
        <w:numPr>
          <w:ilvl w:val="0"/>
          <w:numId w:val="1"/>
        </w:numPr>
        <w:ind w:left="1636"/>
        <w:jc w:val="both"/>
        <w:rPr>
          <w:sz w:val="20"/>
        </w:rPr>
      </w:pPr>
      <w:r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347F72" w:rsidRDefault="00347F72">
      <w:pPr>
        <w:numPr>
          <w:ilvl w:val="0"/>
          <w:numId w:val="8"/>
        </w:numPr>
        <w:ind w:left="1069"/>
        <w:jc w:val="both"/>
        <w:rPr>
          <w:bCs/>
          <w:kern w:val="1"/>
          <w:sz w:val="20"/>
        </w:rPr>
      </w:pPr>
      <w:r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>
        <w:rPr>
          <w:bCs/>
          <w:kern w:val="1"/>
          <w:sz w:val="20"/>
        </w:rPr>
        <w:t>uvádza  sa aj ich percentuálny podiel na upísanom základnom imaní.</w:t>
      </w: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r>
        <w:rPr>
          <w:sz w:val="20"/>
        </w:rPr>
        <w:t>Informácie o orgánoch účtovnej jednotky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670"/>
        <w:gridCol w:w="1560"/>
        <w:gridCol w:w="425"/>
        <w:gridCol w:w="417"/>
        <w:gridCol w:w="1442"/>
      </w:tblGrid>
      <w:tr w:rsidR="00347F72">
        <w:trPr>
          <w:cantSplit/>
          <w:trHeight w:val="283"/>
        </w:trPr>
        <w:tc>
          <w:tcPr>
            <w:tcW w:w="9514" w:type="dxa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center"/>
              <w:rPr>
                <w:sz w:val="20"/>
              </w:rPr>
            </w:pPr>
            <w:r>
              <w:rPr>
                <w:sz w:val="20"/>
              </w:rPr>
              <w:lastRenderedPageBreak/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9514" w:type="dxa"/>
            <w:gridSpan w:val="5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poskytnutých pôžičiek k poslednému dňu ÚO. obdobia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Úrok v %</w:t>
            </w: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Celková suma splatených pôžičiek k poslednému dňu účt. obdobia</w:t>
            </w: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Celková suma odpustených pôžičiek a odpísaných pôžičiek </w:t>
            </w: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  <w:tc>
          <w:tcPr>
            <w:tcW w:w="1442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9514" w:type="dxa"/>
            <w:gridSpan w:val="5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rPr>
                <w:sz w:val="20"/>
              </w:rPr>
            </w:pPr>
            <w:r>
              <w:rPr>
                <w:sz w:val="20"/>
              </w:rPr>
              <w:t>c)celková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Štatutárny orgán</w:t>
            </w: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  <w:tr w:rsidR="00347F72">
        <w:trPr>
          <w:cantSplit/>
          <w:trHeight w:val="283"/>
        </w:trPr>
        <w:tc>
          <w:tcPr>
            <w:tcW w:w="5670" w:type="dxa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left w:val="single" w:sz="1" w:space="0" w:color="000000"/>
              <w:bottom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  <w:tc>
          <w:tcPr>
            <w:tcW w:w="1859" w:type="dxa"/>
            <w:gridSpan w:val="2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347F72" w:rsidRDefault="00347F72">
            <w:pPr>
              <w:jc w:val="both"/>
              <w:rPr>
                <w:sz w:val="20"/>
              </w:rPr>
            </w:pPr>
          </w:p>
        </w:tc>
      </w:tr>
    </w:tbl>
    <w:p w:rsidR="00347F72" w:rsidRDefault="00347F72">
      <w:pPr>
        <w:jc w:val="both"/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b/>
          <w:bCs/>
          <w:sz w:val="21"/>
          <w:szCs w:val="21"/>
        </w:rPr>
      </w:pPr>
      <w:r>
        <w:rPr>
          <w:sz w:val="20"/>
        </w:rPr>
        <w:t xml:space="preserve">Informácie o povinnostiach účtovnej jednotky, a to – </w:t>
      </w:r>
      <w:r>
        <w:rPr>
          <w:b/>
          <w:bCs/>
          <w:sz w:val="20"/>
        </w:rPr>
        <w:t>spoločnosť nemá povinno</w:t>
      </w:r>
      <w:r>
        <w:rPr>
          <w:b/>
          <w:bCs/>
        </w:rPr>
        <w:t xml:space="preserve">sti </w:t>
      </w:r>
      <w:r>
        <w:rPr>
          <w:b/>
          <w:bCs/>
          <w:sz w:val="21"/>
          <w:szCs w:val="21"/>
        </w:rPr>
        <w:t>ktoré sa nevykazujú v súvahe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347F72" w:rsidRDefault="00347F72">
      <w:pPr>
        <w:jc w:val="both"/>
        <w:rPr>
          <w:sz w:val="20"/>
        </w:rPr>
      </w:pP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celkovej sume významných podmienených záväzkov, ktorými sa rozumie</w:t>
      </w:r>
    </w:p>
    <w:p w:rsidR="00347F72" w:rsidRDefault="00347F72">
      <w:pPr>
        <w:numPr>
          <w:ilvl w:val="0"/>
          <w:numId w:val="2"/>
        </w:numPr>
        <w:ind w:left="1636"/>
        <w:jc w:val="both"/>
        <w:rPr>
          <w:sz w:val="20"/>
        </w:rPr>
      </w:pPr>
      <w:r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347F72" w:rsidRDefault="00347F72">
      <w:pPr>
        <w:numPr>
          <w:ilvl w:val="0"/>
          <w:numId w:val="2"/>
        </w:numPr>
        <w:ind w:left="1636"/>
        <w:jc w:val="both"/>
        <w:rPr>
          <w:sz w:val="20"/>
        </w:rPr>
      </w:pPr>
      <w:r>
        <w:rPr>
          <w:sz w:val="20"/>
        </w:rPr>
        <w:t>existujúca povinnosť, ktorá vznikla ako dôsledok minulej udalosti, ale ktorá sa nevykazuje v súvahe, pretože</w:t>
      </w:r>
    </w:p>
    <w:p w:rsidR="00347F72" w:rsidRDefault="00347F72">
      <w:pPr>
        <w:numPr>
          <w:ilvl w:val="0"/>
          <w:numId w:val="11"/>
        </w:numPr>
        <w:ind w:left="2061"/>
        <w:jc w:val="both"/>
        <w:rPr>
          <w:sz w:val="20"/>
        </w:rPr>
      </w:pPr>
      <w:r>
        <w:rPr>
          <w:sz w:val="20"/>
        </w:rPr>
        <w:t>nie je pravdepodobné, že na splnenie tejto povinnosti bude potrebný úbytok ekonomických úžitkov, alebo</w:t>
      </w:r>
    </w:p>
    <w:p w:rsidR="00347F72" w:rsidRDefault="00347F72">
      <w:pPr>
        <w:numPr>
          <w:ilvl w:val="0"/>
          <w:numId w:val="10"/>
        </w:numPr>
        <w:ind w:left="360"/>
        <w:jc w:val="both"/>
        <w:rPr>
          <w:sz w:val="20"/>
        </w:rPr>
      </w:pPr>
      <w:r>
        <w:rPr>
          <w:sz w:val="20"/>
        </w:rPr>
        <w:t>výška tejto povinnosti sa nedá spoľahlivo oceniť,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opise významných finančných povinností a významných podmienených záväzkov,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347F72" w:rsidRDefault="00347F72">
      <w:pPr>
        <w:numPr>
          <w:ilvl w:val="0"/>
          <w:numId w:val="9"/>
        </w:numPr>
        <w:ind w:left="1069"/>
        <w:jc w:val="both"/>
        <w:rPr>
          <w:sz w:val="20"/>
        </w:rPr>
      </w:pPr>
      <w:r>
        <w:rPr>
          <w:sz w:val="20"/>
        </w:rPr>
        <w:t>opise významných povinností účtovnej jednotky vyplývajúcich z dôchodkových programov pre zamestnancov.</w:t>
      </w:r>
    </w:p>
    <w:p w:rsidR="00347F72" w:rsidRDefault="00347F72">
      <w:pPr>
        <w:jc w:val="both"/>
        <w:rPr>
          <w:sz w:val="20"/>
        </w:rPr>
      </w:pPr>
    </w:p>
    <w:p w:rsidR="00347F72" w:rsidRDefault="00347F72">
      <w:pPr>
        <w:numPr>
          <w:ilvl w:val="0"/>
          <w:numId w:val="3"/>
        </w:numPr>
        <w:ind w:left="502"/>
        <w:jc w:val="both"/>
        <w:rPr>
          <w:sz w:val="20"/>
        </w:rPr>
      </w:pPr>
      <w:bookmarkStart w:id="1" w:name="OLE_LINK1"/>
      <w:r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347F72" w:rsidRDefault="00347F72">
      <w:pPr>
        <w:numPr>
          <w:ilvl w:val="0"/>
          <w:numId w:val="6"/>
        </w:numPr>
        <w:ind w:left="1069"/>
        <w:jc w:val="both"/>
        <w:rPr>
          <w:sz w:val="20"/>
        </w:rPr>
      </w:pPr>
      <w:r>
        <w:rPr>
          <w:sz w:val="20"/>
        </w:rPr>
        <w:t>všetkých formách prijatej náhrady,</w:t>
      </w:r>
    </w:p>
    <w:p w:rsidR="00347F72" w:rsidRDefault="00347F72">
      <w:pPr>
        <w:numPr>
          <w:ilvl w:val="0"/>
          <w:numId w:val="6"/>
        </w:numPr>
        <w:ind w:left="1069"/>
        <w:jc w:val="both"/>
        <w:rPr>
          <w:sz w:val="20"/>
        </w:rPr>
      </w:pPr>
      <w:r>
        <w:rPr>
          <w:sz w:val="20"/>
        </w:rPr>
        <w:t>účtovných zásadách použitých pri prideľovaní nákladov a výnosov,</w:t>
      </w:r>
    </w:p>
    <w:p w:rsidR="00347F72" w:rsidRDefault="00347F72">
      <w:pPr>
        <w:numPr>
          <w:ilvl w:val="0"/>
          <w:numId w:val="6"/>
        </w:numPr>
        <w:ind w:left="1069"/>
        <w:jc w:val="both"/>
        <w:rPr>
          <w:sz w:val="20"/>
        </w:rPr>
      </w:pPr>
      <w:r>
        <w:rPr>
          <w:sz w:val="20"/>
        </w:rPr>
        <w:t>všetkých druhoch činností účtovnej jednotky.</w:t>
      </w:r>
    </w:p>
    <w:bookmarkEnd w:id="1"/>
    <w:p w:rsidR="00347F72" w:rsidRDefault="00347F72" w:rsidP="0019138C">
      <w:pPr>
        <w:rPr>
          <w:sz w:val="20"/>
        </w:rPr>
      </w:pPr>
    </w:p>
    <w:p w:rsidR="00195935" w:rsidRDefault="00347F72">
      <w:pPr>
        <w:rPr>
          <w:sz w:val="20"/>
        </w:rPr>
      </w:pPr>
      <w:r>
        <w:rPr>
          <w:sz w:val="20"/>
        </w:rPr>
        <w:t>Údaje v poznámkach sú uvádzané za bežne účtovné obdobie. Sumy sú uvádzané v celých eurách.</w:t>
      </w:r>
    </w:p>
    <w:p w:rsidR="00347F72" w:rsidRDefault="00347F72">
      <w:pPr>
        <w:rPr>
          <w:sz w:val="20"/>
        </w:rPr>
      </w:pPr>
      <w:r>
        <w:rPr>
          <w:sz w:val="20"/>
        </w:rPr>
        <w:t>ÚJ - účtovná jednotka</w:t>
      </w:r>
    </w:p>
    <w:p w:rsidR="00347F72" w:rsidRDefault="00347F72">
      <w:r>
        <w:rPr>
          <w:sz w:val="20"/>
        </w:rPr>
        <w:t>BO</w:t>
      </w:r>
      <w:r w:rsidR="0019138C">
        <w:rPr>
          <w:sz w:val="20"/>
        </w:rPr>
        <w:t xml:space="preserve"> </w:t>
      </w:r>
      <w:r>
        <w:rPr>
          <w:sz w:val="20"/>
        </w:rPr>
        <w:t>-</w:t>
      </w:r>
      <w:r w:rsidR="0019138C">
        <w:rPr>
          <w:sz w:val="20"/>
        </w:rPr>
        <w:t xml:space="preserve"> </w:t>
      </w:r>
      <w:r>
        <w:rPr>
          <w:sz w:val="20"/>
        </w:rPr>
        <w:t>bežné obdobie</w:t>
      </w:r>
    </w:p>
    <w:sectPr w:rsidR="00347F72">
      <w:headerReference w:type="default" r:id="rId9"/>
      <w:footerReference w:type="default" r:id="rId10"/>
      <w:footnotePr>
        <w:pos w:val="beneathText"/>
      </w:footnotePr>
      <w:pgSz w:w="11905" w:h="16837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F0FF6" w:rsidRDefault="00CF0FF6">
      <w:r>
        <w:separator/>
      </w:r>
    </w:p>
  </w:endnote>
  <w:endnote w:type="continuationSeparator" w:id="0">
    <w:p w:rsidR="00CF0FF6" w:rsidRDefault="00CF0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7F72" w:rsidRDefault="00347F72">
    <w:pPr>
      <w:pStyle w:val="Pta"/>
      <w:jc w:val="center"/>
    </w:pPr>
    <w:r>
      <w:fldChar w:fldCharType="begin"/>
    </w:r>
    <w:r>
      <w:instrText xml:space="preserve"> PAGE \*ARABIC </w:instrText>
    </w:r>
    <w:r>
      <w:fldChar w:fldCharType="separate"/>
    </w:r>
    <w:r w:rsidR="00333561">
      <w:rPr>
        <w:noProof/>
      </w:rPr>
      <w:t>1</w:t>
    </w:r>
    <w:r>
      <w:fldChar w:fldCharType="end"/>
    </w:r>
  </w:p>
  <w:p w:rsidR="00347F72" w:rsidRDefault="00347F7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F0FF6" w:rsidRDefault="00CF0FF6">
      <w:r>
        <w:separator/>
      </w:r>
    </w:p>
  </w:footnote>
  <w:footnote w:type="continuationSeparator" w:id="0">
    <w:p w:rsidR="00CF0FF6" w:rsidRDefault="00CF0F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47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60"/>
    </w:tblGrid>
    <w:tr w:rsidR="00347F72">
      <w:trPr>
        <w:cantSplit/>
        <w:trHeight w:val="330"/>
      </w:trPr>
      <w:tc>
        <w:tcPr>
          <w:tcW w:w="2710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347F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1" w:space="0" w:color="000000"/>
          </w:tcBorders>
          <w:vAlign w:val="bottom"/>
        </w:tcPr>
        <w:p w:rsidR="00347F72" w:rsidRDefault="00347F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D8571D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19138C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19138C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19138C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19138C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19138C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19138C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1" w:space="0" w:color="000000"/>
            <w:left w:val="single" w:sz="1" w:space="0" w:color="000000"/>
            <w:bottom w:val="single" w:sz="1" w:space="0" w:color="000000"/>
          </w:tcBorders>
          <w:vAlign w:val="bottom"/>
        </w:tcPr>
        <w:p w:rsidR="00347F72" w:rsidRDefault="0019138C">
          <w:pPr>
            <w:jc w:val="right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left w:val="single" w:sz="1" w:space="0" w:color="000000"/>
          </w:tcBorders>
          <w:vAlign w:val="bottom"/>
        </w:tcPr>
        <w:p w:rsidR="00347F72" w:rsidRDefault="00347F7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1" w:space="0" w:color="000000"/>
            <w:left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347F72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19138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19138C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D8571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347F72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19138C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D8571D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347F72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19138C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60" w:type="dxa"/>
          <w:tcBorders>
            <w:top w:val="single" w:sz="1" w:space="0" w:color="000000"/>
            <w:bottom w:val="single" w:sz="1" w:space="0" w:color="000000"/>
            <w:right w:val="single" w:sz="1" w:space="0" w:color="000000"/>
          </w:tcBorders>
          <w:vAlign w:val="center"/>
        </w:tcPr>
        <w:p w:rsidR="00347F72" w:rsidRDefault="0019138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347F72" w:rsidRDefault="00347F7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2"/>
      <w:numFmt w:val="decimal"/>
      <w:lvlText w:val="%1."/>
      <w:lvlJc w:val="left"/>
      <w:pPr>
        <w:tabs>
          <w:tab w:val="num" w:pos="2510"/>
        </w:tabs>
        <w:ind w:left="251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2561"/>
        </w:tabs>
        <w:ind w:left="2561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1481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1481"/>
        </w:tabs>
        <w:ind w:left="1481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3479"/>
        </w:tabs>
        <w:ind w:left="3479" w:hanging="360"/>
      </w:pPr>
      <w:rPr>
        <w:rFonts w:ascii="Times New Roman" w:hAnsi="Times New Roman" w:cs="Times New Roman"/>
        <w:b w:val="0"/>
        <w:i w:val="0"/>
        <w:sz w:val="20"/>
        <w:szCs w:val="24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6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2487"/>
        </w:tabs>
        <w:ind w:left="2487" w:hanging="360"/>
      </w:pPr>
    </w:lvl>
  </w:abstractNum>
  <w:abstractNum w:abstractNumId="7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1920"/>
        </w:tabs>
        <w:ind w:left="1920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1841"/>
        </w:tabs>
        <w:ind w:left="1841" w:hanging="360"/>
      </w:pPr>
      <w:rPr>
        <w:rFonts w:ascii="Times New Roman" w:hAnsi="Times New Roman" w:cs="Times New Roman"/>
        <w:sz w:val="24"/>
        <w:szCs w:val="24"/>
      </w:rPr>
    </w:lvl>
  </w:abstractNum>
  <w:abstractNum w:abstractNumId="9">
    <w:nsid w:val="0000000A"/>
    <w:multiLevelType w:val="singleLevel"/>
    <w:tmpl w:val="0000000A"/>
    <w:name w:val="WW8Num10"/>
    <w:lvl w:ilvl="0">
      <w:start w:val="2"/>
      <w:numFmt w:val="decimal"/>
      <w:lvlText w:val="%1b."/>
      <w:lvlJc w:val="left"/>
      <w:pPr>
        <w:tabs>
          <w:tab w:val="num" w:pos="2510"/>
        </w:tabs>
        <w:ind w:left="2510" w:hanging="360"/>
      </w:pPr>
    </w:lvl>
  </w:abstractNum>
  <w:abstractNum w:abstractNumId="10">
    <w:nsid w:val="0000000B"/>
    <w:multiLevelType w:val="singleLevel"/>
    <w:tmpl w:val="0000000B"/>
    <w:name w:val="WW8Num11"/>
    <w:lvl w:ilvl="0">
      <w:start w:val="2"/>
      <w:numFmt w:val="decimal"/>
      <w:lvlText w:val="%1a."/>
      <w:lvlJc w:val="left"/>
      <w:pPr>
        <w:tabs>
          <w:tab w:val="num" w:pos="2510"/>
        </w:tabs>
        <w:ind w:left="2510" w:hanging="360"/>
      </w:pPr>
    </w:lvl>
  </w:abstractNum>
  <w:abstractNum w:abstractNumId="11">
    <w:nsid w:val="0000000C"/>
    <w:multiLevelType w:val="multilevel"/>
    <w:tmpl w:val="0000000C"/>
    <w:lvl w:ilvl="0">
      <w:start w:val="1"/>
      <w:numFmt w:val="decimal"/>
      <w:pStyle w:val="Nadpis1"/>
      <w:lvlText w:val="§ %1"/>
      <w:lvlJc w:val="center"/>
      <w:pPr>
        <w:tabs>
          <w:tab w:val="num" w:pos="4613"/>
        </w:tabs>
        <w:ind w:left="4613" w:hanging="360"/>
      </w:pPr>
      <w:rPr>
        <w:rFonts w:ascii="Times New Roman" w:hAnsi="Times New Roman" w:cs="Times New Roman"/>
        <w:b/>
        <w:bCs/>
        <w:sz w:val="24"/>
        <w:szCs w:val="24"/>
        <w:lang w:val="x-none" w:eastAsia="x-none" w:bidi="x-none"/>
      </w:rPr>
    </w:lvl>
    <w:lvl w:ilvl="1">
      <w:start w:val="1"/>
      <w:numFmt w:val="none"/>
      <w:pStyle w:val="Nadpis2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dpis3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dpis4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dpis5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dpis6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5782"/>
    <w:rsid w:val="00055C56"/>
    <w:rsid w:val="0019138C"/>
    <w:rsid w:val="00195935"/>
    <w:rsid w:val="00333561"/>
    <w:rsid w:val="00347F72"/>
    <w:rsid w:val="00AA5BFB"/>
    <w:rsid w:val="00B35782"/>
    <w:rsid w:val="00CF0FF6"/>
    <w:rsid w:val="00D8571D"/>
    <w:rsid w:val="00EB15E9"/>
    <w:rsid w:val="00F12282"/>
    <w:rsid w:val="00F57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2"/>
      </w:numPr>
      <w:spacing w:before="240" w:after="60"/>
      <w:ind w:left="4073"/>
      <w:jc w:val="center"/>
      <w:outlineLvl w:val="0"/>
    </w:pPr>
    <w:rPr>
      <w:rFonts w:cs="Arial"/>
      <w:b/>
      <w:bCs/>
      <w:kern w:val="1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2"/>
      </w:numPr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2"/>
      </w:numPr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numPr>
        <w:ilvl w:val="3"/>
        <w:numId w:val="12"/>
      </w:numPr>
      <w:ind w:left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numPr>
        <w:ilvl w:val="4"/>
        <w:numId w:val="12"/>
      </w:numPr>
      <w:ind w:left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2"/>
      </w:numPr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4z0">
    <w:name w:val="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5z0">
    <w:name w:val="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rPr>
      <w:rFonts w:ascii="Times New Roman" w:hAnsi="Times New Roman" w:cs="Times New Roman"/>
      <w:sz w:val="24"/>
      <w:szCs w:val="24"/>
    </w:rPr>
  </w:style>
  <w:style w:type="character" w:customStyle="1" w:styleId="WW8Num9z0">
    <w:name w:val="WW8Num9z0"/>
    <w:rPr>
      <w:rFonts w:ascii="Times New Roman" w:hAnsi="Times New Roman" w:cs="Times New Roman"/>
      <w:sz w:val="24"/>
      <w:szCs w:val="24"/>
    </w:rPr>
  </w:style>
  <w:style w:type="character" w:customStyle="1" w:styleId="WW8Num12z0">
    <w:name w:val="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">
    <w:name w:val="WW-Absatz-Standardschriftart"/>
  </w:style>
  <w:style w:type="character" w:customStyle="1" w:styleId="WW-WW8Num3z0">
    <w:name w:val="WW-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">
    <w:name w:val="WW-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">
    <w:name w:val="WW-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">
    <w:name w:val="WW-WW8Num6z0"/>
    <w:rPr>
      <w:rFonts w:ascii="Times New Roman" w:hAnsi="Times New Roman" w:cs="Times New Roman"/>
      <w:sz w:val="24"/>
      <w:szCs w:val="24"/>
    </w:rPr>
  </w:style>
  <w:style w:type="character" w:customStyle="1" w:styleId="WW-WW8Num8z0">
    <w:name w:val="WW-WW8Num8z0"/>
    <w:rPr>
      <w:rFonts w:ascii="Times New Roman" w:hAnsi="Times New Roman" w:cs="Times New Roman"/>
      <w:sz w:val="24"/>
      <w:szCs w:val="24"/>
    </w:rPr>
  </w:style>
  <w:style w:type="character" w:customStyle="1" w:styleId="WW-WW8Num9z0">
    <w:name w:val="WW-WW8Num9z0"/>
    <w:rPr>
      <w:rFonts w:ascii="Times New Roman" w:hAnsi="Times New Roman" w:cs="Times New Roman"/>
      <w:sz w:val="24"/>
      <w:szCs w:val="24"/>
    </w:rPr>
  </w:style>
  <w:style w:type="character" w:customStyle="1" w:styleId="WW-WW8Num12z0">
    <w:name w:val="WW-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">
    <w:name w:val="WW-Absatz-Standardschriftart1"/>
  </w:style>
  <w:style w:type="character" w:customStyle="1" w:styleId="WW-WW8Num3z01">
    <w:name w:val="WW-WW8Num3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1">
    <w:name w:val="WW-WW8Num4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1">
    <w:name w:val="WW-WW8Num5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">
    <w:name w:val="WW-WW8Num6z01"/>
    <w:rPr>
      <w:rFonts w:ascii="Times New Roman" w:hAnsi="Times New Roman" w:cs="Times New Roman"/>
      <w:sz w:val="24"/>
      <w:szCs w:val="24"/>
    </w:rPr>
  </w:style>
  <w:style w:type="character" w:customStyle="1" w:styleId="WW-WW8Num8z01">
    <w:name w:val="WW-WW8Num8z01"/>
    <w:rPr>
      <w:rFonts w:ascii="Times New Roman" w:hAnsi="Times New Roman" w:cs="Times New Roman"/>
      <w:sz w:val="24"/>
      <w:szCs w:val="24"/>
    </w:rPr>
  </w:style>
  <w:style w:type="character" w:customStyle="1" w:styleId="WW-WW8Num9z01">
    <w:name w:val="WW-WW8Num9z01"/>
    <w:rPr>
      <w:rFonts w:ascii="Times New Roman" w:hAnsi="Times New Roman" w:cs="Times New Roman"/>
      <w:sz w:val="24"/>
      <w:szCs w:val="24"/>
    </w:rPr>
  </w:style>
  <w:style w:type="character" w:customStyle="1" w:styleId="WW-WW8Num12z01">
    <w:name w:val="WW-WW8Num12z01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1">
    <w:name w:val="WW-Absatz-Standardschriftart11"/>
  </w:style>
  <w:style w:type="character" w:customStyle="1" w:styleId="WW8Num2z0">
    <w:name w:val="WW8Num2z0"/>
    <w:rPr>
      <w:rFonts w:ascii="Times New Roman" w:hAnsi="Times New Roman" w:cs="Times New Roman"/>
      <w:sz w:val="24"/>
      <w:szCs w:val="24"/>
    </w:rPr>
  </w:style>
  <w:style w:type="character" w:customStyle="1" w:styleId="WW-WW8Num5z011">
    <w:name w:val="WW-WW8Num5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1">
    <w:name w:val="WW-WW8Num6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7z0">
    <w:name w:val="WW8Num7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9z011">
    <w:name w:val="WW-WW8Num9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rPr>
      <w:rFonts w:ascii="Times New Roman" w:hAnsi="Times New Roman" w:cs="Times New Roman"/>
      <w:sz w:val="24"/>
      <w:szCs w:val="24"/>
    </w:rPr>
  </w:style>
  <w:style w:type="character" w:customStyle="1" w:styleId="WW8Num15z0">
    <w:name w:val="WW8Num1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6z0">
    <w:name w:val="WW8Num16z0"/>
    <w:rPr>
      <w:rFonts w:ascii="Times New Roman" w:hAnsi="Times New Roman" w:cs="Times New Roman"/>
      <w:sz w:val="24"/>
      <w:szCs w:val="24"/>
    </w:rPr>
  </w:style>
  <w:style w:type="character" w:customStyle="1" w:styleId="WW8Num17z0">
    <w:name w:val="WW8Num17z0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Predvolenpsmoodseku">
    <w:name w:val="WW-Predvolené písmo odseku"/>
  </w:style>
  <w:style w:type="character" w:customStyle="1" w:styleId="Znakyprepoznmkupodiarou">
    <w:name w:val="Znaky pre poznámku pod čiarou"/>
  </w:style>
  <w:style w:type="character" w:customStyle="1" w:styleId="WW-Znakyprepoznmkupodiarou">
    <w:name w:val="WW-Znaky pre poznámku pod čiarou"/>
  </w:style>
  <w:style w:type="character" w:customStyle="1" w:styleId="WW-Znakyprepoznmkupodiarou1">
    <w:name w:val="WW-Znaky pre poznámku pod čiarou1"/>
  </w:style>
  <w:style w:type="character" w:customStyle="1" w:styleId="WW-Znakyprepoznmkupodiarou11">
    <w:name w:val="WW-Znaky pre poznámku pod čiarou11"/>
    <w:rPr>
      <w:vertAlign w:val="superscript"/>
    </w:rPr>
  </w:style>
  <w:style w:type="character" w:styleId="slostrany">
    <w:name w:val="page number"/>
    <w:basedOn w:val="WW-Predvolenpsmoodseku"/>
    <w:semiHidden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WW-Predvolenpsmoodseku"/>
  </w:style>
  <w:style w:type="character" w:customStyle="1" w:styleId="Znakyprevysvetlivky">
    <w:name w:val="Znaky pre vysvetlivky"/>
  </w:style>
  <w:style w:type="character" w:customStyle="1" w:styleId="WW-Znakyprevysvetlivky">
    <w:name w:val="WW-Znaky pre vysvetlivky"/>
  </w:style>
  <w:style w:type="character" w:customStyle="1" w:styleId="WW-Znakyprevysvetlivky1">
    <w:name w:val="WW-Znaky pre vysvetlivky1"/>
  </w:style>
  <w:style w:type="character" w:customStyle="1" w:styleId="WW-Znakyprevysvetlivky11">
    <w:name w:val="WW-Znaky pre vysvetlivky11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WW-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WW-Predvolenpsmoodseku"/>
  </w:style>
  <w:style w:type="character" w:customStyle="1" w:styleId="OdsekzoznamuChar">
    <w:name w:val="Odsek zoznamu Char"/>
    <w:rPr>
      <w:sz w:val="24"/>
      <w:szCs w:val="24"/>
    </w:r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WW-Zkladntext2">
    <w:name w:val="WW-Základný text 2"/>
    <w:basedOn w:val="Normlny"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customStyle="1" w:styleId="WW-Zarkazkladnhotextu2">
    <w:name w:val="WW-Zarážka základného textu 2"/>
    <w:basedOn w:val="Normlny"/>
    <w:pPr>
      <w:ind w:firstLine="360"/>
    </w:pPr>
  </w:style>
  <w:style w:type="paragraph" w:customStyle="1" w:styleId="WW-Zkladntext3">
    <w:name w:val="WW-Základný text 3"/>
    <w:basedOn w:val="Normlny"/>
    <w:pPr>
      <w:ind w:right="-468"/>
      <w:jc w:val="both"/>
    </w:pPr>
    <w:rPr>
      <w:b/>
      <w:bCs/>
    </w:rPr>
  </w:style>
  <w:style w:type="paragraph" w:customStyle="1" w:styleId="WW-Oznaitext">
    <w:name w:val="WW-Označiť text"/>
    <w:basedOn w:val="Normlny"/>
    <w:pPr>
      <w:ind w:left="1680" w:right="-468" w:hanging="240"/>
    </w:pPr>
  </w:style>
  <w:style w:type="paragraph" w:customStyle="1" w:styleId="WW-Zarkazkladnhotextu3">
    <w:name w:val="WW-Zarážka základného textu 3"/>
    <w:basedOn w:val="Normlny"/>
    <w:pPr>
      <w:ind w:right="-468" w:firstLine="720"/>
      <w:jc w:val="both"/>
    </w:pPr>
    <w:rPr>
      <w:bCs/>
    </w:rPr>
  </w:style>
  <w:style w:type="paragraph" w:styleId="Hlavika">
    <w:name w:val="header"/>
    <w:basedOn w:val="Normlny"/>
    <w:semiHidden/>
    <w:pPr>
      <w:tabs>
        <w:tab w:val="center" w:pos="4703"/>
        <w:tab w:val="right" w:pos="9406"/>
      </w:tabs>
    </w:pPr>
    <w:rPr>
      <w:lang w:val="x-none"/>
    </w:rPr>
  </w:style>
  <w:style w:type="paragraph" w:customStyle="1" w:styleId="WW-Odsekzoznamu">
    <w:name w:val="WW-Odsek zoznamu"/>
    <w:basedOn w:val="Normlny"/>
    <w:pPr>
      <w:ind w:left="708"/>
    </w:pPr>
    <w:rPr>
      <w:lang w:val="x-none"/>
    </w:rPr>
  </w:style>
  <w:style w:type="paragraph" w:styleId="Textvysvetlivky">
    <w:name w:val="endnote text"/>
    <w:basedOn w:val="Normlny"/>
    <w:semiHidden/>
    <w:rPr>
      <w:sz w:val="20"/>
      <w:szCs w:val="20"/>
    </w:rPr>
  </w:style>
  <w:style w:type="paragraph" w:customStyle="1" w:styleId="WW-Textbubliny">
    <w:name w:val="WW-Text bubliny"/>
    <w:basedOn w:val="Normlny"/>
    <w:rPr>
      <w:rFonts w:ascii="Tahoma" w:hAnsi="Tahoma"/>
      <w:sz w:val="16"/>
      <w:szCs w:val="16"/>
      <w:lang w:val="x-none"/>
    </w:r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2"/>
      </w:numPr>
      <w:spacing w:before="240" w:after="60"/>
      <w:ind w:left="4073"/>
      <w:jc w:val="center"/>
      <w:outlineLvl w:val="0"/>
    </w:pPr>
    <w:rPr>
      <w:rFonts w:cs="Arial"/>
      <w:b/>
      <w:bCs/>
      <w:kern w:val="1"/>
      <w:szCs w:val="32"/>
    </w:rPr>
  </w:style>
  <w:style w:type="paragraph" w:styleId="Nadpis2">
    <w:name w:val="heading 2"/>
    <w:basedOn w:val="Normlny"/>
    <w:next w:val="Normlny"/>
    <w:qFormat/>
    <w:pPr>
      <w:keepNext/>
      <w:numPr>
        <w:ilvl w:val="1"/>
        <w:numId w:val="12"/>
      </w:numPr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2"/>
      </w:numPr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numPr>
        <w:ilvl w:val="3"/>
        <w:numId w:val="12"/>
      </w:numPr>
      <w:ind w:left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numPr>
        <w:ilvl w:val="4"/>
        <w:numId w:val="12"/>
      </w:numPr>
      <w:ind w:left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numPr>
        <w:ilvl w:val="5"/>
        <w:numId w:val="12"/>
      </w:numPr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3z0">
    <w:name w:val="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4z0">
    <w:name w:val="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5z0">
    <w:name w:val="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6z0">
    <w:name w:val="WW8Num6z0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rPr>
      <w:rFonts w:ascii="Times New Roman" w:hAnsi="Times New Roman" w:cs="Times New Roman"/>
      <w:sz w:val="24"/>
      <w:szCs w:val="24"/>
    </w:rPr>
  </w:style>
  <w:style w:type="character" w:customStyle="1" w:styleId="WW8Num9z0">
    <w:name w:val="WW8Num9z0"/>
    <w:rPr>
      <w:rFonts w:ascii="Times New Roman" w:hAnsi="Times New Roman" w:cs="Times New Roman"/>
      <w:sz w:val="24"/>
      <w:szCs w:val="24"/>
    </w:rPr>
  </w:style>
  <w:style w:type="character" w:customStyle="1" w:styleId="WW8Num12z0">
    <w:name w:val="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">
    <w:name w:val="WW-Absatz-Standardschriftart"/>
  </w:style>
  <w:style w:type="character" w:customStyle="1" w:styleId="WW-WW8Num3z0">
    <w:name w:val="WW-WW8Num3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">
    <w:name w:val="WW-WW8Num4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">
    <w:name w:val="WW-WW8Num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">
    <w:name w:val="WW-WW8Num6z0"/>
    <w:rPr>
      <w:rFonts w:ascii="Times New Roman" w:hAnsi="Times New Roman" w:cs="Times New Roman"/>
      <w:sz w:val="24"/>
      <w:szCs w:val="24"/>
    </w:rPr>
  </w:style>
  <w:style w:type="character" w:customStyle="1" w:styleId="WW-WW8Num8z0">
    <w:name w:val="WW-WW8Num8z0"/>
    <w:rPr>
      <w:rFonts w:ascii="Times New Roman" w:hAnsi="Times New Roman" w:cs="Times New Roman"/>
      <w:sz w:val="24"/>
      <w:szCs w:val="24"/>
    </w:rPr>
  </w:style>
  <w:style w:type="character" w:customStyle="1" w:styleId="WW-WW8Num9z0">
    <w:name w:val="WW-WW8Num9z0"/>
    <w:rPr>
      <w:rFonts w:ascii="Times New Roman" w:hAnsi="Times New Roman" w:cs="Times New Roman"/>
      <w:sz w:val="24"/>
      <w:szCs w:val="24"/>
    </w:rPr>
  </w:style>
  <w:style w:type="character" w:customStyle="1" w:styleId="WW-WW8Num12z0">
    <w:name w:val="WW-WW8Num12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">
    <w:name w:val="WW-Absatz-Standardschriftart1"/>
  </w:style>
  <w:style w:type="character" w:customStyle="1" w:styleId="WW-WW8Num3z01">
    <w:name w:val="WW-WW8Num3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4z01">
    <w:name w:val="WW-WW8Num4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5z01">
    <w:name w:val="WW-WW8Num5z0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">
    <w:name w:val="WW-WW8Num6z01"/>
    <w:rPr>
      <w:rFonts w:ascii="Times New Roman" w:hAnsi="Times New Roman" w:cs="Times New Roman"/>
      <w:sz w:val="24"/>
      <w:szCs w:val="24"/>
    </w:rPr>
  </w:style>
  <w:style w:type="character" w:customStyle="1" w:styleId="WW-WW8Num8z01">
    <w:name w:val="WW-WW8Num8z01"/>
    <w:rPr>
      <w:rFonts w:ascii="Times New Roman" w:hAnsi="Times New Roman" w:cs="Times New Roman"/>
      <w:sz w:val="24"/>
      <w:szCs w:val="24"/>
    </w:rPr>
  </w:style>
  <w:style w:type="character" w:customStyle="1" w:styleId="WW-WW8Num9z01">
    <w:name w:val="WW-WW8Num9z01"/>
    <w:rPr>
      <w:rFonts w:ascii="Times New Roman" w:hAnsi="Times New Roman" w:cs="Times New Roman"/>
      <w:sz w:val="24"/>
      <w:szCs w:val="24"/>
    </w:rPr>
  </w:style>
  <w:style w:type="character" w:customStyle="1" w:styleId="WW-WW8Num12z01">
    <w:name w:val="WW-WW8Num12z01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Absatz-Standardschriftart11">
    <w:name w:val="WW-Absatz-Standardschriftart11"/>
  </w:style>
  <w:style w:type="character" w:customStyle="1" w:styleId="WW8Num2z0">
    <w:name w:val="WW8Num2z0"/>
    <w:rPr>
      <w:rFonts w:ascii="Times New Roman" w:hAnsi="Times New Roman" w:cs="Times New Roman"/>
      <w:sz w:val="24"/>
      <w:szCs w:val="24"/>
    </w:rPr>
  </w:style>
  <w:style w:type="character" w:customStyle="1" w:styleId="WW-WW8Num5z011">
    <w:name w:val="WW-WW8Num5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6z011">
    <w:name w:val="WW-WW8Num6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7z0">
    <w:name w:val="WW8Num7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-WW8Num9z011">
    <w:name w:val="WW-WW8Num9z011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0z0">
    <w:name w:val="WW8Num10z0"/>
    <w:rPr>
      <w:rFonts w:ascii="Times New Roman" w:hAnsi="Times New Roman" w:cs="Times New Roman"/>
      <w:sz w:val="24"/>
      <w:szCs w:val="24"/>
    </w:rPr>
  </w:style>
  <w:style w:type="character" w:customStyle="1" w:styleId="WW8Num11z0">
    <w:name w:val="WW8Num11z0"/>
    <w:rPr>
      <w:rFonts w:ascii="Times New Roman" w:hAnsi="Times New Roman" w:cs="Times New Roman"/>
      <w:sz w:val="24"/>
      <w:szCs w:val="24"/>
    </w:rPr>
  </w:style>
  <w:style w:type="character" w:customStyle="1" w:styleId="WW8Num13z0">
    <w:name w:val="WW8Num13z0"/>
    <w:rPr>
      <w:rFonts w:ascii="Times New Roman" w:hAnsi="Times New Roman" w:cs="Times New Roman"/>
      <w:sz w:val="24"/>
      <w:szCs w:val="24"/>
    </w:rPr>
  </w:style>
  <w:style w:type="character" w:customStyle="1" w:styleId="WW8Num15z0">
    <w:name w:val="WW8Num15z0"/>
    <w:rPr>
      <w:rFonts w:ascii="Times New Roman" w:hAnsi="Times New Roman" w:cs="Times New Roman"/>
      <w:b w:val="0"/>
      <w:i w:val="0"/>
      <w:sz w:val="20"/>
      <w:szCs w:val="24"/>
    </w:rPr>
  </w:style>
  <w:style w:type="character" w:customStyle="1" w:styleId="WW8Num16z0">
    <w:name w:val="WW8Num16z0"/>
    <w:rPr>
      <w:rFonts w:ascii="Times New Roman" w:hAnsi="Times New Roman" w:cs="Times New Roman"/>
      <w:sz w:val="24"/>
      <w:szCs w:val="24"/>
    </w:rPr>
  </w:style>
  <w:style w:type="character" w:customStyle="1" w:styleId="WW8Num17z0">
    <w:name w:val="WW8Num17z0"/>
    <w:rPr>
      <w:rFonts w:ascii="Times New Roman" w:hAnsi="Times New Roman" w:cs="Times New Roman"/>
      <w:sz w:val="24"/>
      <w:szCs w:val="24"/>
    </w:rPr>
  </w:style>
  <w:style w:type="character" w:customStyle="1" w:styleId="WW8Num18z0">
    <w:name w:val="WW8Num18z0"/>
    <w:rPr>
      <w:rFonts w:ascii="Times New Roman" w:hAnsi="Times New Roman" w:cs="Times New Roman"/>
      <w:b/>
      <w:bCs/>
      <w:sz w:val="24"/>
      <w:szCs w:val="24"/>
      <w:lang w:val="x-none" w:eastAsia="x-none" w:bidi="x-none"/>
    </w:rPr>
  </w:style>
  <w:style w:type="character" w:customStyle="1" w:styleId="WW-Predvolenpsmoodseku">
    <w:name w:val="WW-Predvolené písmo odseku"/>
  </w:style>
  <w:style w:type="character" w:customStyle="1" w:styleId="Znakyprepoznmkupodiarou">
    <w:name w:val="Znaky pre poznámku pod čiarou"/>
  </w:style>
  <w:style w:type="character" w:customStyle="1" w:styleId="WW-Znakyprepoznmkupodiarou">
    <w:name w:val="WW-Znaky pre poznámku pod čiarou"/>
  </w:style>
  <w:style w:type="character" w:customStyle="1" w:styleId="WW-Znakyprepoznmkupodiarou1">
    <w:name w:val="WW-Znaky pre poznámku pod čiarou1"/>
  </w:style>
  <w:style w:type="character" w:customStyle="1" w:styleId="WW-Znakyprepoznmkupodiarou11">
    <w:name w:val="WW-Znaky pre poznámku pod čiarou11"/>
    <w:rPr>
      <w:vertAlign w:val="superscript"/>
    </w:rPr>
  </w:style>
  <w:style w:type="character" w:styleId="slostrany">
    <w:name w:val="page number"/>
    <w:basedOn w:val="WW-Predvolenpsmoodseku"/>
    <w:semiHidden/>
  </w:style>
  <w:style w:type="character" w:customStyle="1" w:styleId="PtaChar">
    <w:name w:val="Päta Char"/>
    <w:rPr>
      <w:sz w:val="24"/>
      <w:szCs w:val="24"/>
    </w:rPr>
  </w:style>
  <w:style w:type="character" w:customStyle="1" w:styleId="TextkoncovejpoznmkyChar">
    <w:name w:val="Text koncovej poznámky Char"/>
    <w:basedOn w:val="WW-Predvolenpsmoodseku"/>
  </w:style>
  <w:style w:type="character" w:customStyle="1" w:styleId="Znakyprevysvetlivky">
    <w:name w:val="Znaky pre vysvetlivky"/>
  </w:style>
  <w:style w:type="character" w:customStyle="1" w:styleId="WW-Znakyprevysvetlivky">
    <w:name w:val="WW-Znaky pre vysvetlivky"/>
  </w:style>
  <w:style w:type="character" w:customStyle="1" w:styleId="WW-Znakyprevysvetlivky1">
    <w:name w:val="WW-Znaky pre vysvetlivky1"/>
  </w:style>
  <w:style w:type="character" w:customStyle="1" w:styleId="WW-Znakyprevysvetlivky11">
    <w:name w:val="WW-Znaky pre vysvetlivky11"/>
    <w:rPr>
      <w:vertAlign w:val="superscript"/>
    </w:rPr>
  </w:style>
  <w:style w:type="character" w:customStyle="1" w:styleId="HlavikaChar">
    <w:name w:val="Hlavička Char"/>
    <w:rPr>
      <w:sz w:val="24"/>
      <w:szCs w:val="24"/>
    </w:rPr>
  </w:style>
  <w:style w:type="character" w:customStyle="1" w:styleId="TextbublinyChar">
    <w:name w:val="Text bubliny Char"/>
    <w:rPr>
      <w:rFonts w:ascii="Tahoma" w:hAnsi="Tahoma" w:cs="Tahoma"/>
      <w:sz w:val="16"/>
      <w:szCs w:val="16"/>
    </w:rPr>
  </w:style>
  <w:style w:type="character" w:customStyle="1" w:styleId="tl">
    <w:name w:val="tl"/>
    <w:basedOn w:val="WW-Predvolenpsmoodseku"/>
  </w:style>
  <w:style w:type="character" w:customStyle="1" w:styleId="tl1Char">
    <w:name w:val="Štýl1 Char"/>
    <w:basedOn w:val="PtaChar"/>
    <w:rPr>
      <w:sz w:val="24"/>
      <w:szCs w:val="24"/>
    </w:rPr>
  </w:style>
  <w:style w:type="character" w:customStyle="1" w:styleId="ra">
    <w:name w:val="ra"/>
    <w:basedOn w:val="WW-Predvolenpsmoodseku"/>
  </w:style>
  <w:style w:type="character" w:customStyle="1" w:styleId="OdsekzoznamuChar">
    <w:name w:val="Odsek zoznamu Char"/>
    <w:rPr>
      <w:sz w:val="24"/>
      <w:szCs w:val="24"/>
    </w:r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oznam">
    <w:name w:val="List"/>
    <w:basedOn w:val="Zkladntext"/>
    <w:semiHidden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Obsah">
    <w:name w:val="Obsah"/>
    <w:basedOn w:val="Normlny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lang w:eastAsia="ar-SA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Pta">
    <w:name w:val="footer"/>
    <w:basedOn w:val="Normlny"/>
    <w:semiHidden/>
    <w:pPr>
      <w:tabs>
        <w:tab w:val="center" w:pos="4536"/>
        <w:tab w:val="right" w:pos="9072"/>
      </w:tabs>
      <w:jc w:val="right"/>
    </w:pPr>
    <w:rPr>
      <w:lang w:val="x-none"/>
    </w:rPr>
  </w:style>
  <w:style w:type="paragraph" w:customStyle="1" w:styleId="WW-Zkladntext2">
    <w:name w:val="WW-Základný text 2"/>
    <w:basedOn w:val="Normlny"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customStyle="1" w:styleId="WW-Zarkazkladnhotextu2">
    <w:name w:val="WW-Zarážka základného textu 2"/>
    <w:basedOn w:val="Normlny"/>
    <w:pPr>
      <w:ind w:firstLine="360"/>
    </w:pPr>
  </w:style>
  <w:style w:type="paragraph" w:customStyle="1" w:styleId="WW-Zkladntext3">
    <w:name w:val="WW-Základný text 3"/>
    <w:basedOn w:val="Normlny"/>
    <w:pPr>
      <w:ind w:right="-468"/>
      <w:jc w:val="both"/>
    </w:pPr>
    <w:rPr>
      <w:b/>
      <w:bCs/>
    </w:rPr>
  </w:style>
  <w:style w:type="paragraph" w:customStyle="1" w:styleId="WW-Oznaitext">
    <w:name w:val="WW-Označiť text"/>
    <w:basedOn w:val="Normlny"/>
    <w:pPr>
      <w:ind w:left="1680" w:right="-468" w:hanging="240"/>
    </w:pPr>
  </w:style>
  <w:style w:type="paragraph" w:customStyle="1" w:styleId="WW-Zarkazkladnhotextu3">
    <w:name w:val="WW-Zarážka základného textu 3"/>
    <w:basedOn w:val="Normlny"/>
    <w:pPr>
      <w:ind w:right="-468" w:firstLine="720"/>
      <w:jc w:val="both"/>
    </w:pPr>
    <w:rPr>
      <w:bCs/>
    </w:rPr>
  </w:style>
  <w:style w:type="paragraph" w:styleId="Hlavika">
    <w:name w:val="header"/>
    <w:basedOn w:val="Normlny"/>
    <w:semiHidden/>
    <w:pPr>
      <w:tabs>
        <w:tab w:val="center" w:pos="4703"/>
        <w:tab w:val="right" w:pos="9406"/>
      </w:tabs>
    </w:pPr>
    <w:rPr>
      <w:lang w:val="x-none"/>
    </w:rPr>
  </w:style>
  <w:style w:type="paragraph" w:customStyle="1" w:styleId="WW-Odsekzoznamu">
    <w:name w:val="WW-Odsek zoznamu"/>
    <w:basedOn w:val="Normlny"/>
    <w:pPr>
      <w:ind w:left="708"/>
    </w:pPr>
    <w:rPr>
      <w:lang w:val="x-none"/>
    </w:rPr>
  </w:style>
  <w:style w:type="paragraph" w:styleId="Textvysvetlivky">
    <w:name w:val="endnote text"/>
    <w:basedOn w:val="Normlny"/>
    <w:semiHidden/>
    <w:rPr>
      <w:sz w:val="20"/>
      <w:szCs w:val="20"/>
    </w:rPr>
  </w:style>
  <w:style w:type="paragraph" w:customStyle="1" w:styleId="WW-Textbubliny">
    <w:name w:val="WW-Text bubliny"/>
    <w:basedOn w:val="Normlny"/>
    <w:rPr>
      <w:rFonts w:ascii="Tahoma" w:hAnsi="Tahoma"/>
      <w:sz w:val="16"/>
      <w:szCs w:val="16"/>
      <w:lang w:val="x-none"/>
    </w:rPr>
  </w:style>
  <w:style w:type="paragraph" w:customStyle="1" w:styleId="tl1">
    <w:name w:val="Štýl1"/>
    <w:basedOn w:val="Pta"/>
  </w:style>
  <w:style w:type="paragraph" w:customStyle="1" w:styleId="Obsahtabuky">
    <w:name w:val="Obsah tabuľky"/>
    <w:basedOn w:val="Zkladntext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17C3FD-48F5-4243-96FC-DD76F21F6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1458</Words>
  <Characters>8313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9752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ucto1</dc:creator>
  <cp:lastModifiedBy>ucto1</cp:lastModifiedBy>
  <cp:revision>2</cp:revision>
  <cp:lastPrinted>1900-12-31T23:00:00Z</cp:lastPrinted>
  <dcterms:created xsi:type="dcterms:W3CDTF">2017-02-09T09:42:00Z</dcterms:created>
  <dcterms:modified xsi:type="dcterms:W3CDTF">2017-02-09T09:42:00Z</dcterms:modified>
</cp:coreProperties>
</file>