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údaje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 TRINIX s.r.o.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Sídlo: Pivovarská 2514/11</w:t>
      </w:r>
    </w:p>
    <w:p>
      <w:pPr>
        <w:widowControl w:val="false"/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jeho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zostavuje </w:t>
        <w:tab/>
        <w:t xml:space="preserve">konsolidovanú 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jednotiek konsolidovaného </w:t>
        <w:tab/>
        <w:t xml:space="preserve">celku, ktorého sú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jednotka; uvádza sa aj obchodné meno a sídlo </w:t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jednotkou: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nie je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 konsolidovan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celku.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ávy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widowControl w:val="false"/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jednotky: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nie je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 konsolidovan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celku.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í):</w:t>
      </w:r>
    </w:p>
    <w:tbl>
      <w:tblPr>
        <w:tblInd w:w="93" w:type="dxa"/>
      </w:tblPr>
      <w:tblGrid>
        <w:gridCol w:w="5095"/>
        <w:gridCol w:w="3976"/>
      </w:tblGrid>
      <w:tr>
        <w:trPr>
          <w:trHeight w:val="1" w:hRule="atLeast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čte zamestnancov:</w:t>
      </w:r>
    </w:p>
    <w:tbl>
      <w:tblPr>
        <w:tblInd w:w="93" w:type="dxa"/>
      </w:tblPr>
      <w:tblGrid>
        <w:gridCol w:w="4116"/>
        <w:gridCol w:w="2407"/>
        <w:gridCol w:w="2549"/>
      </w:tblGrid>
      <w:tr>
        <w:trPr>
          <w:trHeight w:val="1" w:hRule="atLeast"/>
          <w:jc w:val="left"/>
        </w:trPr>
        <w:tc>
          <w:tcPr>
            <w:tcW w:w="411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40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54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1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240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4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žite pokračovať vo svojej činnosti:</w:t>
      </w:r>
    </w:p>
    <w:p>
      <w:pPr>
        <w:widowControl w:val="false"/>
        <w:spacing w:before="0" w:after="3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ab/>
        <w:tab/>
        <w:t xml:space="preserve">-  áno</w:t>
        <w:tab/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áväzkov:</w:t>
      </w:r>
    </w:p>
    <w:tbl>
      <w:tblPr/>
      <w:tblGrid>
        <w:gridCol w:w="3826"/>
        <w:gridCol w:w="2547"/>
        <w:gridCol w:w="2684"/>
      </w:tblGrid>
      <w:tr>
        <w:trPr>
          <w:trHeight w:val="1" w:hRule="atLeast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preprava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preprava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ávky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8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Záväzky vrátane rezerv, dlhopisov,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žičiek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widowControl w:val="false"/>
        <w:spacing w:before="0" w:after="160" w:line="240"/>
        <w:ind w:right="0" w:left="705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odpisového plánu pre dlhodobý hmotný majetok </w:t>
        <w:br/>
        <w:t xml:space="preserve">a dlhodobý nehmotný majetok, doba odpisovania a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odpisov:</w:t>
      </w:r>
    </w:p>
    <w:tbl>
      <w:tblPr/>
      <w:tblGrid>
        <w:gridCol w:w="2839"/>
        <w:gridCol w:w="2123"/>
        <w:gridCol w:w="1979"/>
        <w:gridCol w:w="2115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Osobné motorové vozidlo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           4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HIM v konzervácií 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Do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časne neodpisovan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705" w:hanging="705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vychádzal </w:t>
        <w:br/>
        <w:t xml:space="preserve">z odpisového plánu zostaveného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vychádzal </w:t>
        <w:br/>
        <w:t xml:space="preserve">z predpokladanej doby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bol ovplyvnený týmito rozhodnutiami: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Dlhodobý investi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majetok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osobn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motorové vozidlo je do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časne nepouž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ívaný na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podnikanie, a po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 konzerv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ácie nebude odpisovaný. </w:t>
      </w:r>
    </w:p>
    <w:p>
      <w:pPr>
        <w:widowControl w:val="false"/>
        <w:spacing w:before="24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</w:t>
        <w:tab/>
        <w:t xml:space="preserve">majetku zodpovedajúceho be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ívania. Odpisové </w:t>
        <w:tab/>
        <w:t xml:space="preserve">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</w:t>
        <w:tab/>
        <w:t xml:space="preserve">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</w:t>
        <w:tab/>
        <w:t xml:space="preserve">odpisov. Odpisové 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metód: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metódy a zásady boli aplikované v rámci platného zákona 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íctve po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 </w:t>
        <w:tab/>
        <w:t xml:space="preserve">cel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obdobia, s osobitos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ťami: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zásady a metódy neboli zmenené, a nemali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žiadne osobitosti. 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ásady  alebo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ódy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            V r. 2016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jednotkenebola poskytnut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dotácia na obstaranie majetku. </w:t>
      </w:r>
    </w:p>
    <w:tbl>
      <w:tblPr/>
      <w:tblGrid>
        <w:gridCol w:w="3011"/>
        <w:gridCol w:w="3017"/>
        <w:gridCol w:w="3014"/>
      </w:tblGrid>
      <w:tr>
        <w:trPr>
          <w:trHeight w:val="1" w:hRule="atLeast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5" w:hRule="auto"/>
          <w:jc w:val="left"/>
        </w:trPr>
        <w:tc>
          <w:tcPr>
            <w:tcW w:w="301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období </w:t>
        <w:tab/>
        <w:t xml:space="preserve">vykonaných v be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í: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0</w:t>
            </w:r>
          </w:p>
        </w:tc>
      </w:tr>
      <w:tr>
        <w:trPr>
          <w:trHeight w:val="70" w:hRule="auto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súvahu a výkaz ziskov a strát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 sume a dôvodoch vzniku jednotlivých polo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ákladov alebo výnosov, ktoré majú výnimo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 rozsah alebo výskyt: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           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v r. 2016 neú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čtovala o 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ákladoch a výnosoch s výnimo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ým rozsahom a výskytom. </w:t>
      </w:r>
    </w:p>
    <w:tbl>
      <w:tblPr/>
      <w:tblGrid>
        <w:gridCol w:w="3671"/>
        <w:gridCol w:w="2971"/>
        <w:gridCol w:w="2400"/>
      </w:tblGrid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9066,03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11 302,24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9066,03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11 302,24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96,77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96,77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ým právom: Neboli 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záväzky.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áväzku</w:t>
            </w:r>
          </w:p>
        </w:tc>
        <w:tc>
          <w:tcPr>
            <w:tcW w:w="565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ým právom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neú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čtovala o vlastn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</w:t>
        <w:br/>
        <w:t xml:space="preserve">            akciách.</w:t>
      </w:r>
    </w:p>
    <w:tbl>
      <w:tblPr>
        <w:tblInd w:w="199" w:type="dxa"/>
      </w:tblPr>
      <w:tblGrid>
        <w:gridCol w:w="1606"/>
        <w:gridCol w:w="1579"/>
        <w:gridCol w:w="2127"/>
        <w:gridCol w:w="1967"/>
        <w:gridCol w:w="1562"/>
      </w:tblGrid>
      <w:tr>
        <w:trPr>
          <w:trHeight w:val="1" w:hRule="atLeast"/>
          <w:jc w:val="left"/>
        </w:trPr>
        <w:tc>
          <w:tcPr>
            <w:tcW w:w="1606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7235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62" w:type="dxa"/>
            <w:vMerge w:val="restart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562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62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62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6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62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79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2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2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2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2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6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62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79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2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2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2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2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6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62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79" w:type="dxa"/>
            <w:vMerge w:val="restart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2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2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2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2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06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9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96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62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3"/>
        <w:gridCol w:w="1133"/>
        <w:gridCol w:w="1078"/>
        <w:gridCol w:w="1130"/>
        <w:gridCol w:w="1304"/>
        <w:gridCol w:w="1264"/>
        <w:gridCol w:w="1184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4644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  <w:tc>
          <w:tcPr>
            <w:tcW w:w="3752" w:type="dxa"/>
            <w:gridSpan w:val="3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Odpustené alebo odpísané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na súkr.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čtovanie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čenia </w:t>
        <w:tab/>
        <w:t xml:space="preserve">poskytnut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(pri pô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ách sa uvádzajú úrokové sadzby): xxxxx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povinností, ktoré sa nevykazujú v súvahe:</w:t>
      </w:r>
    </w:p>
    <w:tbl>
      <w:tblPr/>
      <w:tblGrid>
        <w:gridCol w:w="3813"/>
        <w:gridCol w:w="2546"/>
        <w:gridCol w:w="2683"/>
      </w:tblGrid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70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12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povinností: xxxx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vMerge w:val="restart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8" w:type="dxa"/>
            <w:gridSpan w:val="2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šeob. z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áväzn. právn. predpis.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12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 xxxxxx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ývajúcich z dôchodkových </w:t>
        <w:tab/>
        <w:t xml:space="preserve">programov pre zamestnancov: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     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nemá zamestnancov, t.j. nemá vypracované ani dôchodkové</w:t>
        <w:br/>
        <w:t xml:space="preserve">            programy pre  zamestnancov.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práva alebo osobitného práva, ktorým sa udelilo </w:t>
        <w:tab/>
        <w:t xml:space="preserve">právo poskytova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áujme (uvádza sa aj náhrada za túto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činnosť v akejkoľvek forme):  xxxx</w:t>
      </w:r>
    </w:p>
    <w:p>
      <w:pPr>
        <w:widowControl w:val="false"/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