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keepNext w:val="true"/>
        <w:numPr>
          <w:ilvl w:val="0"/>
          <w:numId w:val="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A. písm. c)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 počte zamestnancov</w:t>
      </w:r>
    </w:p>
    <w:tbl>
      <w:tblPr>
        <w:tblInd w:w="50" w:type="dxa"/>
      </w:tblPr>
      <w:tblGrid>
        <w:gridCol w:w="3693"/>
        <w:gridCol w:w="2645"/>
        <w:gridCol w:w="2874"/>
      </w:tblGrid>
      <w:tr>
        <w:trPr>
          <w:trHeight w:val="0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F. písm. a)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F. písm. c)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dlhodobom nehmotnom majetku </w:t>
      </w:r>
    </w:p>
    <w:tbl>
      <w:tblPr>
        <w:tblInd w:w="50" w:type="dxa"/>
      </w:tblPr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F. písm. a)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44 314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44314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44 314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44314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44314</w:t>
            </w: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44314</w:t>
            </w: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44314</w:t>
            </w: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44314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44 314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44314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44 314</w:t>
            </w: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44314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44314</w:t>
            </w: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44314</w:t>
            </w: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44314</w:t>
            </w: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44314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F. písm. c)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dlhodobom hmotnom majetku </w:t>
      </w:r>
    </w:p>
    <w:tbl>
      <w:tblPr>
        <w:tblInd w:w="50" w:type="dxa"/>
      </w:tblPr>
      <w:tblGrid>
        <w:gridCol w:w="6166"/>
        <w:gridCol w:w="3046"/>
      </w:tblGrid>
      <w:tr>
        <w:trPr>
          <w:trHeight w:val="0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F. písm. j)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F. písm. m)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dlhodobom finančnom majetku </w:t>
      </w:r>
    </w:p>
    <w:tbl>
      <w:tblPr>
        <w:tblInd w:w="50" w:type="dxa"/>
      </w:tblPr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č. 3  časti F. písm. i)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truktúre dlhodobého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>
        <w:tblInd w:w="50" w:type="dxa"/>
      </w:tblPr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0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  <w:br/>
              <w:t xml:space="preserve">DFM</w:t>
            </w:r>
          </w:p>
        </w:tc>
      </w:tr>
      <w:tr>
        <w:trPr>
          <w:trHeight w:val="-227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ti F. písm. j) a l) o dlhových CP držaných do splatnosti </w:t>
      </w:r>
    </w:p>
    <w:tbl>
      <w:tblPr>
        <w:tblInd w:w="50" w:type="dxa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účtov-ného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F. písm. j) a l) o poskytnutých dlhodobých pôžičkách</w:t>
      </w:r>
    </w:p>
    <w:tbl>
      <w:tblPr>
        <w:tblInd w:w="64" w:type="dxa"/>
      </w:tblPr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účtovného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č.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F. písm. o)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0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-277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č.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ktoré je zriadené záložné právo </w:t>
      </w:r>
    </w:p>
    <w:tbl>
      <w:tblPr>
        <w:tblInd w:w="50" w:type="dxa"/>
      </w:tblPr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F. písm. q)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3227"/>
        <w:gridCol w:w="1701"/>
        <w:gridCol w:w="2160"/>
        <w:gridCol w:w="2200"/>
      </w:tblGrid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4077"/>
        <w:gridCol w:w="2410"/>
        <w:gridCol w:w="2801"/>
      </w:tblGrid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3</w:t>
      </w:r>
    </w:p>
    <w:tbl>
      <w:tblPr>
        <w:tblInd w:w="50" w:type="dxa"/>
      </w:tblPr>
      <w:tblGrid>
        <w:gridCol w:w="2802"/>
        <w:gridCol w:w="1984"/>
        <w:gridCol w:w="1843"/>
        <w:gridCol w:w="2659"/>
      </w:tblGrid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4</w:t>
      </w:r>
    </w:p>
    <w:tbl>
      <w:tblPr>
        <w:tblInd w:w="50" w:type="dxa"/>
      </w:tblPr>
      <w:tblGrid>
        <w:gridCol w:w="4361"/>
        <w:gridCol w:w="2410"/>
        <w:gridCol w:w="2517"/>
      </w:tblGrid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F. písm. r)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vývoji opravnej položky k pohľadávkam </w:t>
      </w:r>
    </w:p>
    <w:tbl>
      <w:tblPr>
        <w:tblInd w:w="50" w:type="dxa"/>
      </w:tblPr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0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</w:t>
              <w:br/>
              <w:t xml:space="preserve">OP z dôvodu vyradenia majetku </w:t>
              <w:br/>
              <w:t xml:space="preserve">z účtovníctva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F. písm. s)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 vekovej štruktúre pohľadávok </w:t>
      </w:r>
    </w:p>
    <w:tbl>
      <w:tblPr>
        <w:tblInd w:w="50" w:type="dxa"/>
      </w:tblPr>
      <w:tblGrid>
        <w:gridCol w:w="3510"/>
        <w:gridCol w:w="1985"/>
        <w:gridCol w:w="1843"/>
        <w:gridCol w:w="1950"/>
      </w:tblGrid>
      <w:tr>
        <w:trPr>
          <w:trHeight w:val="0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</w:tr>
      <w:tr>
        <w:trPr>
          <w:trHeight w:val="-227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ti F. písm. t) a u) o pohľadávkach zabezpečených záložným právom alebo inou formou zabezpečenia  </w:t>
      </w:r>
    </w:p>
    <w:tbl>
      <w:tblPr>
        <w:tblInd w:w="50" w:type="dxa"/>
      </w:tblPr>
      <w:tblGrid>
        <w:gridCol w:w="4748"/>
        <w:gridCol w:w="2268"/>
        <w:gridCol w:w="2196"/>
      </w:tblGrid>
      <w:tr>
        <w:trPr>
          <w:trHeight w:val="0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F. písm. w)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 </w:t>
      </w:r>
    </w:p>
    <w:tbl>
      <w:tblPr>
        <w:tblInd w:w="50" w:type="dxa"/>
      </w:tblPr>
      <w:tblGrid>
        <w:gridCol w:w="4240"/>
        <w:gridCol w:w="2643"/>
        <w:gridCol w:w="2405"/>
      </w:tblGrid>
      <w:tr>
        <w:trPr>
          <w:trHeight w:val="825" w:hRule="auto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10259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5634</w:t>
            </w:r>
          </w:p>
        </w:tc>
      </w:tr>
      <w:tr>
        <w:trPr>
          <w:trHeight w:val="-52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279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638</w:t>
            </w:r>
          </w:p>
        </w:tc>
      </w:tr>
      <w:tr>
        <w:trPr>
          <w:trHeight w:val="-57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10538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6272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0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splatnosťou do  jedného roka držané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č.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 F. písm. x)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vývoji opravnej položky ku krátkodobému finančnému majetku</w:t>
      </w:r>
    </w:p>
    <w:tbl>
      <w:tblPr>
        <w:tblInd w:w="50" w:type="dxa"/>
      </w:tblPr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F. písm. y)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krátkodobom finančnom majetku, na ktorý bolo zriadené záložné právo </w:t>
      </w:r>
    </w:p>
    <w:tbl>
      <w:tblPr>
        <w:tblInd w:w="50" w:type="dxa"/>
      </w:tblPr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F. písm.  za)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ocenení krátkodobého finančného  majetku, ku dňu ku ktorému sa zostavuje účtovná závierka reálnou hodnotou</w:t>
      </w:r>
    </w:p>
    <w:tbl>
      <w:tblPr>
        <w:tblInd w:w="50" w:type="dxa"/>
      </w:tblPr>
      <w:tblGrid>
        <w:gridCol w:w="3400"/>
        <w:gridCol w:w="1811"/>
        <w:gridCol w:w="2268"/>
        <w:gridCol w:w="1809"/>
      </w:tblGrid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F. písm. zd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) o majetku prenajatom formou finančného prenájmu</w:t>
      </w:r>
    </w:p>
    <w:tbl>
      <w:tblPr>
        <w:tblInd w:w="50" w:type="dxa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G. pís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1393</w:t>
            </w: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1393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1393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G. písm. b)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48" w:type="dxa"/>
      </w:tblPr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48" w:type="dxa"/>
      </w:tblPr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č. 3  časti G. písm. c) a d) o záväzkoch</w:t>
      </w:r>
    </w:p>
    <w:tbl>
      <w:tblPr>
        <w:tblInd w:w="50" w:type="dxa"/>
      </w:tblPr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F. písm. v)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časti G. písm. f) o odloženej daňovej pohľadávke alebo o odloženom daňovom záväzku</w:t>
      </w:r>
    </w:p>
    <w:tbl>
      <w:tblPr>
        <w:tblInd w:w="50" w:type="dxa"/>
      </w:tblPr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G. písm. g)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záväzkoch zo sociálneho fondu</w:t>
      </w:r>
    </w:p>
    <w:tbl>
      <w:tblPr>
        <w:tblInd w:w="50" w:type="dxa"/>
      </w:tblPr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G. písm. h)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 vydaných dlhopisoch</w:t>
      </w:r>
    </w:p>
    <w:tbl>
      <w:tblPr>
        <w:tblInd w:w="50" w:type="dxa"/>
      </w:tblPr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 G. písm. k)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3963"/>
        <w:gridCol w:w="1491"/>
        <w:gridCol w:w="14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2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31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G. písm. l)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položkách zabezpečených derivátmi</w:t>
      </w:r>
    </w:p>
    <w:tbl>
      <w:tblPr>
        <w:tblInd w:w="50" w:type="dxa"/>
      </w:tblPr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G. písm. m)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majetku prenajatom formou finančného prenájmu</w:t>
      </w:r>
    </w:p>
    <w:tbl>
      <w:tblPr>
        <w:tblInd w:w="50" w:type="dxa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H. pí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zmene stavu vnútroorganizačných zásob</w:t>
      </w:r>
    </w:p>
    <w:tbl>
      <w:tblPr>
        <w:tblInd w:w="50" w:type="dxa"/>
      </w:tblPr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H. písm. g)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>
        <w:tblInd w:w="50" w:type="dxa"/>
      </w:tblPr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47059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45657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7633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4123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54692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49780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 I.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nákladoch voči audítorovi, audítorskej spoločnosti</w:t>
      </w:r>
    </w:p>
    <w:tbl>
      <w:tblPr>
        <w:tblInd w:w="50" w:type="dxa"/>
      </w:tblPr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č.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asti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J. písm. a) až e) o daniach z príjmov</w:t>
      </w:r>
    </w:p>
    <w:tbl>
      <w:tblPr>
        <w:tblInd w:w="50" w:type="dxa"/>
      </w:tblPr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záväzku, ktorý vznikol </w:t>
              <w:br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č. 3  časti J.  písm. f) a g) o daniach z príjmov</w:t>
      </w:r>
    </w:p>
    <w:tbl>
      <w:tblPr>
        <w:tblInd w:w="50" w:type="dxa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4130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1393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Pripadajúci na spolo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v.o.s.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4130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1393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Vysvetlivky k poznámkam:</w:t>
      </w:r>
    </w:p>
    <w:p>
      <w:pPr>
        <w:numPr>
          <w:ilvl w:val="0"/>
          <w:numId w:val="1563"/>
        </w:num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Daňové identifikačné číslo sa vyplňuje, ak ho má účtovná jednotka pridelené.</w:t>
      </w:r>
    </w:p>
    <w:p>
      <w:pPr>
        <w:numPr>
          <w:ilvl w:val="0"/>
          <w:numId w:val="1563"/>
        </w:num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Identifikačné číslo organizácie (IČO) sa vyplňuje podľa Registra organizácií vedeného Štatistickým úradom Slovenskej republiky.</w:t>
      </w:r>
    </w:p>
    <w:p>
      <w:pPr>
        <w:numPr>
          <w:ilvl w:val="0"/>
          <w:numId w:val="1563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Kód SK NACE sa vypĺňa podľa vyhlášky Štatistického úradu Slovenskej republiky </w:t>
        <w:br/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306/2007 Z. z., ktorou sa vydáva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Štatistick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 klasifikácia ekonomických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činnost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í.</w:t>
      </w:r>
    </w:p>
    <w:p>
      <w:pPr>
        <w:numPr>
          <w:ilvl w:val="0"/>
          <w:numId w:val="1563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numPr>
          <w:ilvl w:val="0"/>
          <w:numId w:val="1563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bodoch č. 2, 4 a 6 sa prvotným ocenením majetku rozumie jeho ocenenie podľa § 25 zákona.</w:t>
      </w:r>
    </w:p>
    <w:p>
      <w:pPr>
        <w:numPr>
          <w:ilvl w:val="0"/>
          <w:numId w:val="1563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bodoch 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-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num w:numId="1">
    <w:abstractNumId w:val="7"/>
  </w:num>
  <w:num w:numId="1563">
    <w:abstractNumId w:val="1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