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72" w:rsidRPr="00BD7C72" w:rsidRDefault="00BD7C72" w:rsidP="00BD7C72">
      <w:pPr>
        <w:pStyle w:val="Default"/>
        <w:rPr>
          <w:rFonts w:asciiTheme="minorHAnsi" w:hAnsiTheme="minorHAnsi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  <w:r w:rsidRPr="00BD7C72">
        <w:rPr>
          <w:rFonts w:asciiTheme="minorHAnsi" w:hAnsiTheme="minorHAnsi"/>
          <w:b/>
          <w:bCs/>
          <w:color w:val="auto"/>
        </w:rPr>
        <w:t xml:space="preserve">Čl. I </w:t>
      </w:r>
      <w:r>
        <w:rPr>
          <w:rFonts w:asciiTheme="minorHAnsi" w:hAnsiTheme="minorHAnsi"/>
          <w:color w:val="auto"/>
        </w:rPr>
        <w:t xml:space="preserve"> </w:t>
      </w:r>
      <w:r w:rsidRPr="00BD7C72">
        <w:rPr>
          <w:rFonts w:asciiTheme="minorHAnsi" w:hAnsiTheme="minorHAnsi"/>
          <w:b/>
          <w:bCs/>
          <w:color w:val="auto"/>
        </w:rPr>
        <w:t xml:space="preserve">Všeobecné údaje </w:t>
      </w:r>
    </w:p>
    <w:p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Názov pr</w:t>
      </w:r>
      <w:r>
        <w:rPr>
          <w:rFonts w:asciiTheme="minorHAnsi" w:hAnsiTheme="minorHAnsi"/>
          <w:color w:val="auto"/>
        </w:rPr>
        <w:t>ávnickej osoby a jej sídlo</w:t>
      </w:r>
      <w:r w:rsidRPr="00BD7C72">
        <w:rPr>
          <w:rFonts w:asciiTheme="minorHAnsi" w:hAnsiTheme="minorHAnsi"/>
          <w:color w:val="auto"/>
        </w:rPr>
        <w:t xml:space="preserve">. </w:t>
      </w:r>
    </w:p>
    <w:p w:rsidR="00BD7C72" w:rsidRPr="00BD7C72" w:rsidRDefault="00BD7C72" w:rsidP="00BD7C72">
      <w:pPr>
        <w:pStyle w:val="Default"/>
        <w:ind w:left="720"/>
        <w:rPr>
          <w:rFonts w:asciiTheme="minorHAnsi" w:hAnsiTheme="minorHAnsi"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886"/>
      </w:tblGrid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Názov</w:t>
            </w:r>
          </w:p>
        </w:tc>
        <w:tc>
          <w:tcPr>
            <w:tcW w:w="8886" w:type="dxa"/>
          </w:tcPr>
          <w:p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 xml:space="preserve">SW </w:t>
            </w:r>
            <w:proofErr w:type="spellStart"/>
            <w:r>
              <w:rPr>
                <w:rFonts w:asciiTheme="minorHAnsi" w:hAnsiTheme="minorHAnsi"/>
                <w:b/>
                <w:color w:val="auto"/>
              </w:rPr>
              <w:t>Consulting</w:t>
            </w:r>
            <w:proofErr w:type="spellEnd"/>
            <w:r>
              <w:rPr>
                <w:rFonts w:asciiTheme="minorHAnsi" w:hAnsiTheme="minorHAnsi"/>
                <w:b/>
                <w:color w:val="auto"/>
              </w:rPr>
              <w:t>, s.r.o.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Ulica</w:t>
            </w:r>
          </w:p>
        </w:tc>
        <w:tc>
          <w:tcPr>
            <w:tcW w:w="8886" w:type="dxa"/>
          </w:tcPr>
          <w:p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Cesta na Brús 237/21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Mesto</w:t>
            </w:r>
          </w:p>
        </w:tc>
        <w:tc>
          <w:tcPr>
            <w:tcW w:w="8886" w:type="dxa"/>
          </w:tcPr>
          <w:p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972 44 Kamenec pod Vtáčnikom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IČO:</w:t>
            </w:r>
          </w:p>
        </w:tc>
        <w:tc>
          <w:tcPr>
            <w:tcW w:w="8886" w:type="dxa"/>
          </w:tcPr>
          <w:p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44960841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DIČ:</w:t>
            </w:r>
          </w:p>
        </w:tc>
        <w:tc>
          <w:tcPr>
            <w:tcW w:w="8886" w:type="dxa"/>
          </w:tcPr>
          <w:p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2022886415</w:t>
            </w:r>
          </w:p>
        </w:tc>
      </w:tr>
    </w:tbl>
    <w:p w:rsidR="00BD7C72" w:rsidRPr="00BD7C72" w:rsidRDefault="00BD7C72" w:rsidP="000E4FE0">
      <w:pPr>
        <w:pStyle w:val="Default"/>
        <w:numPr>
          <w:ilvl w:val="0"/>
          <w:numId w:val="13"/>
        </w:numPr>
        <w:spacing w:before="120" w:after="27"/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Údaje o konsolidovanom celku, a to </w:t>
      </w:r>
    </w:p>
    <w:p w:rsidR="00BD7C72" w:rsidRPr="00161BE6" w:rsidRDefault="00BD7C72" w:rsidP="00BD7C72">
      <w:pPr>
        <w:pStyle w:val="Default"/>
        <w:spacing w:before="120" w:after="27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jednotka nie je súčasťou konsolidovaného celku a nie je ani materskou účtovnou jednotkou</w:t>
      </w:r>
    </w:p>
    <w:p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Priemerný prepočítaný počet zamestnancov. </w:t>
      </w:r>
    </w:p>
    <w:p w:rsidR="00BD7C72" w:rsidRPr="00161BE6" w:rsidRDefault="003E6370" w:rsidP="000E4FE0">
      <w:pPr>
        <w:pStyle w:val="Default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 xml:space="preserve">Účtovná jednotka </w:t>
      </w:r>
      <w:r w:rsidR="00B546CB">
        <w:rPr>
          <w:rFonts w:asciiTheme="minorHAnsi" w:hAnsiTheme="minorHAnsi"/>
          <w:i/>
          <w:color w:val="auto"/>
        </w:rPr>
        <w:t>ne</w:t>
      </w:r>
      <w:r w:rsidRPr="00161BE6">
        <w:rPr>
          <w:rFonts w:asciiTheme="minorHAnsi" w:hAnsiTheme="minorHAnsi"/>
          <w:i/>
          <w:color w:val="auto"/>
        </w:rPr>
        <w:t>za</w:t>
      </w:r>
      <w:r w:rsidR="00E105ED">
        <w:rPr>
          <w:rFonts w:asciiTheme="minorHAnsi" w:hAnsiTheme="minorHAnsi"/>
          <w:i/>
          <w:color w:val="auto"/>
        </w:rPr>
        <w:t xml:space="preserve">mestnávala v sledovanom období </w:t>
      </w:r>
      <w:r w:rsidR="00B546CB">
        <w:rPr>
          <w:rFonts w:asciiTheme="minorHAnsi" w:hAnsiTheme="minorHAnsi"/>
          <w:i/>
          <w:color w:val="auto"/>
        </w:rPr>
        <w:t>žiadneho</w:t>
      </w:r>
      <w:r w:rsidR="00E105ED">
        <w:rPr>
          <w:rFonts w:asciiTheme="minorHAnsi" w:hAnsiTheme="minorHAnsi"/>
          <w:i/>
          <w:color w:val="auto"/>
        </w:rPr>
        <w:t xml:space="preserve">  zamestnanca</w:t>
      </w:r>
      <w:r w:rsidRPr="00161BE6">
        <w:rPr>
          <w:rFonts w:asciiTheme="minorHAnsi" w:hAnsiTheme="minorHAnsi"/>
          <w:i/>
          <w:color w:val="auto"/>
        </w:rPr>
        <w:t>.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 </w:t>
      </w:r>
      <w:r w:rsidR="003E6370">
        <w:rPr>
          <w:rFonts w:asciiTheme="minorHAnsi" w:hAnsiTheme="minorHAnsi"/>
          <w:color w:val="auto"/>
        </w:rPr>
        <w:t xml:space="preserve"> </w:t>
      </w:r>
      <w:r w:rsidRPr="00BD7C72">
        <w:rPr>
          <w:rFonts w:asciiTheme="minorHAnsi" w:hAnsiTheme="minorHAnsi"/>
          <w:b/>
          <w:bCs/>
          <w:color w:val="auto"/>
        </w:rPr>
        <w:t xml:space="preserve">Informácie o prijatých postupoch </w:t>
      </w:r>
    </w:p>
    <w:p w:rsidR="009940AE" w:rsidRPr="00BD7C72" w:rsidRDefault="009940AE" w:rsidP="00BD7C72">
      <w:pPr>
        <w:pStyle w:val="Default"/>
        <w:rPr>
          <w:rFonts w:asciiTheme="minorHAnsi" w:hAnsiTheme="minorHAnsi"/>
          <w:color w:val="auto"/>
        </w:rPr>
      </w:pPr>
    </w:p>
    <w:p w:rsidR="000E4FE0" w:rsidRPr="00161BE6" w:rsidRDefault="003E6370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závierka účtovnej jednotky k 31. decembru 201</w:t>
      </w:r>
      <w:r w:rsidR="00B546CB">
        <w:rPr>
          <w:rFonts w:asciiTheme="minorHAnsi" w:hAnsiTheme="minorHAnsi"/>
          <w:i/>
          <w:color w:val="auto"/>
        </w:rPr>
        <w:t>6</w:t>
      </w:r>
      <w:r w:rsidRPr="00161BE6">
        <w:rPr>
          <w:rFonts w:asciiTheme="minorHAnsi" w:hAnsiTheme="minorHAnsi"/>
          <w:i/>
          <w:color w:val="auto"/>
        </w:rPr>
        <w:t xml:space="preserve"> je zostavená ako riadna účtovná závierka podľa § 17 ods. 6 zákona NR SR č. 431/2002 Z. z. o účtovníctve, za účtovné obdobie od 1. januára 201</w:t>
      </w:r>
      <w:r w:rsidR="00B546CB">
        <w:rPr>
          <w:rFonts w:asciiTheme="minorHAnsi" w:hAnsiTheme="minorHAnsi"/>
          <w:i/>
          <w:color w:val="auto"/>
        </w:rPr>
        <w:t>6</w:t>
      </w:r>
      <w:r w:rsidRPr="00161BE6">
        <w:rPr>
          <w:rFonts w:asciiTheme="minorHAnsi" w:hAnsiTheme="minorHAnsi"/>
          <w:i/>
          <w:color w:val="auto"/>
        </w:rPr>
        <w:t xml:space="preserve"> do 31. decembra 201</w:t>
      </w:r>
      <w:r w:rsidR="00B546CB">
        <w:rPr>
          <w:rFonts w:asciiTheme="minorHAnsi" w:hAnsiTheme="minorHAnsi"/>
          <w:i/>
          <w:color w:val="auto"/>
        </w:rPr>
        <w:t>6</w:t>
      </w:r>
      <w:r w:rsidRPr="00161BE6">
        <w:rPr>
          <w:rFonts w:asciiTheme="minorHAnsi" w:hAnsiTheme="minorHAnsi"/>
          <w:i/>
          <w:color w:val="auto"/>
        </w:rPr>
        <w:t>.</w:t>
      </w:r>
    </w:p>
    <w:p w:rsidR="00BD7C72" w:rsidRPr="000E4FE0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Spôsob oceňovania jednotlivých položiek majetku a záväzkov,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3801"/>
        <w:gridCol w:w="4468"/>
      </w:tblGrid>
      <w:tr w:rsidR="003E6370" w:rsidTr="003E6370">
        <w:tc>
          <w:tcPr>
            <w:tcW w:w="2219" w:type="dxa"/>
          </w:tcPr>
          <w:p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Druh majetku</w:t>
            </w:r>
          </w:p>
        </w:tc>
        <w:tc>
          <w:tcPr>
            <w:tcW w:w="3801" w:type="dxa"/>
          </w:tcPr>
          <w:p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4468" w:type="dxa"/>
          </w:tcPr>
          <w:p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Spôsob ocenenia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nehmotný majetok</w:t>
            </w:r>
          </w:p>
        </w:tc>
        <w:tc>
          <w:tcPr>
            <w:tcW w:w="3801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hmotný majetok</w:t>
            </w:r>
          </w:p>
        </w:tc>
        <w:tc>
          <w:tcPr>
            <w:tcW w:w="3801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Zásoby obstarané kúpou</w:t>
            </w:r>
          </w:p>
        </w:tc>
        <w:tc>
          <w:tcPr>
            <w:tcW w:w="3801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Pohľadávky</w:t>
            </w:r>
          </w:p>
        </w:tc>
        <w:tc>
          <w:tcPr>
            <w:tcW w:w="3801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Záväzky</w:t>
            </w:r>
          </w:p>
        </w:tc>
        <w:tc>
          <w:tcPr>
            <w:tcW w:w="3801" w:type="dxa"/>
          </w:tcPr>
          <w:p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</w:tbl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940AE" w:rsidRDefault="003844A8" w:rsidP="00BD7C72">
      <w:pPr>
        <w:pStyle w:val="Default"/>
        <w:rPr>
          <w:rFonts w:asciiTheme="minorHAnsi" w:hAnsiTheme="minorHAnsi"/>
          <w:i/>
          <w:color w:val="auto"/>
        </w:rPr>
      </w:pPr>
      <w:r>
        <w:rPr>
          <w:rFonts w:asciiTheme="minorHAnsi" w:hAnsiTheme="minorHAnsi"/>
          <w:i/>
          <w:color w:val="auto"/>
        </w:rPr>
        <w:t>UJ nemá dlhodobý hmotný  majetok</w:t>
      </w:r>
    </w:p>
    <w:p w:rsidR="003844A8" w:rsidRPr="00161BE6" w:rsidRDefault="003844A8" w:rsidP="00BD7C72">
      <w:pPr>
        <w:pStyle w:val="Default"/>
        <w:rPr>
          <w:rFonts w:asciiTheme="minorHAnsi" w:hAnsiTheme="minorHAnsi"/>
          <w:i/>
          <w:color w:val="auto"/>
        </w:rPr>
      </w:pPr>
    </w:p>
    <w:p w:rsidR="00BD7C72" w:rsidRDefault="00BD7C72" w:rsidP="000E4FE0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9940AE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 nezmenila účtovné metódy a účtovné zásady</w:t>
      </w:r>
      <w:r>
        <w:rPr>
          <w:rFonts w:asciiTheme="minorHAnsi" w:hAnsiTheme="minorHAnsi"/>
          <w:i/>
          <w:color w:val="auto"/>
        </w:rPr>
        <w:t>.</w:t>
      </w:r>
    </w:p>
    <w:p w:rsidR="00E105ED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</w:p>
    <w:p w:rsidR="000E4FE0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Informácie o dotáciách a ich oceňovanie v účtovníctve. </w:t>
      </w:r>
    </w:p>
    <w:p w:rsidR="000E4FE0" w:rsidRDefault="00E105ED" w:rsidP="000E4FE0">
      <w:pPr>
        <w:pStyle w:val="Default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neprijala dotáciu.</w:t>
      </w:r>
    </w:p>
    <w:p w:rsidR="000E4FE0" w:rsidRDefault="000E4FE0" w:rsidP="000E4FE0">
      <w:pPr>
        <w:pStyle w:val="Odsekzoznamu"/>
        <w:rPr>
          <w:rFonts w:asciiTheme="minorHAnsi" w:hAnsiTheme="minorHAnsi"/>
        </w:rPr>
      </w:pPr>
    </w:p>
    <w:p w:rsidR="00BD7C72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</w:t>
      </w:r>
      <w:r w:rsidRPr="000E4FE0">
        <w:rPr>
          <w:rFonts w:asciiTheme="minorHAnsi" w:hAnsiTheme="minorHAnsi"/>
          <w:color w:val="auto"/>
        </w:rPr>
        <w:lastRenderedPageBreak/>
        <w:t xml:space="preserve">súčasne sa môže uviesť aj účtovanie nevýznamných chýb minulých účtovných období v bežnom účtovnom období s uvedením vplyvu na výsledok hospodárenia bežného účtovného obdobia. </w:t>
      </w:r>
    </w:p>
    <w:p w:rsidR="000E4FE0" w:rsidRPr="003844A8" w:rsidRDefault="003844A8" w:rsidP="003844A8">
      <w:pPr>
        <w:pStyle w:val="Odsekzoznamu"/>
        <w:ind w:left="0"/>
        <w:rPr>
          <w:rFonts w:asciiTheme="minorHAnsi" w:hAnsiTheme="minorHAnsi"/>
          <w:i/>
        </w:rPr>
      </w:pPr>
      <w:r w:rsidRPr="003844A8">
        <w:rPr>
          <w:rFonts w:asciiTheme="minorHAnsi" w:hAnsiTheme="minorHAnsi"/>
          <w:i/>
        </w:rPr>
        <w:t>UJ neúčtovala o opravách chýb minulých období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III Informácie, ktoré vysvetľujú a dopĺňajú súvahu a výkaz ziskov a strát </w:t>
      </w:r>
    </w:p>
    <w:p w:rsidR="00161BE6" w:rsidRPr="00BD7C72" w:rsidRDefault="00161BE6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1)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D7C72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V účtovnom období sa neúčtovalo o mimoriadnych nákladoch a výnosoch.</w:t>
      </w:r>
    </w:p>
    <w:p w:rsidR="00E105ED" w:rsidRPr="00BD7C72" w:rsidRDefault="00E105ED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2)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Informácie o záväzkoch, a to </w:t>
      </w:r>
    </w:p>
    <w:p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záväzkov so zostatkovou dobou splatnosti dlhšou ako päť rokov,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969"/>
        <w:gridCol w:w="4634"/>
      </w:tblGrid>
      <w:tr w:rsidR="00161BE6" w:rsidTr="00161BE6">
        <w:tc>
          <w:tcPr>
            <w:tcW w:w="1809" w:type="dxa"/>
          </w:tcPr>
          <w:p w:rsidR="00161BE6" w:rsidRPr="00161BE6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Záväzky celkom</w:t>
            </w:r>
          </w:p>
        </w:tc>
        <w:tc>
          <w:tcPr>
            <w:tcW w:w="3969" w:type="dxa"/>
          </w:tcPr>
          <w:p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do 1 roka</w:t>
            </w:r>
          </w:p>
        </w:tc>
        <w:tc>
          <w:tcPr>
            <w:tcW w:w="4634" w:type="dxa"/>
          </w:tcPr>
          <w:p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viac ako 5 rokov</w:t>
            </w:r>
          </w:p>
        </w:tc>
      </w:tr>
      <w:tr w:rsidR="00161BE6" w:rsidTr="00161BE6">
        <w:tc>
          <w:tcPr>
            <w:tcW w:w="1809" w:type="dxa"/>
          </w:tcPr>
          <w:p w:rsidR="00161BE6" w:rsidRDefault="003844A8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             0,-</w:t>
            </w:r>
          </w:p>
        </w:tc>
        <w:tc>
          <w:tcPr>
            <w:tcW w:w="3969" w:type="dxa"/>
          </w:tcPr>
          <w:p w:rsidR="00161BE6" w:rsidRDefault="003844A8" w:rsidP="00B546CB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                                                    </w:t>
            </w:r>
            <w:r w:rsidR="00B546CB">
              <w:rPr>
                <w:rFonts w:asciiTheme="minorHAnsi" w:hAnsiTheme="minorHAnsi"/>
                <w:color w:val="auto"/>
              </w:rPr>
              <w:t>1 077</w:t>
            </w:r>
            <w:r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4634" w:type="dxa"/>
          </w:tcPr>
          <w:p w:rsidR="00161BE6" w:rsidRDefault="003844A8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                             </w:t>
            </w:r>
            <w:r w:rsidR="00E0570D"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:rsidR="00161BE6" w:rsidRPr="00BD7C72" w:rsidRDefault="00161BE6" w:rsidP="00BD7C72">
      <w:pPr>
        <w:pStyle w:val="Default"/>
        <w:spacing w:after="27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zabezpečených záväzkov, opis a spôsoby zabezpečenia záväzkov.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961"/>
        <w:gridCol w:w="2791"/>
      </w:tblGrid>
      <w:tr w:rsidR="00161BE6" w:rsidTr="00161BE6">
        <w:tc>
          <w:tcPr>
            <w:tcW w:w="2660" w:type="dxa"/>
          </w:tcPr>
          <w:p w:rsidR="00161BE6" w:rsidRPr="00161BE6" w:rsidRDefault="00161BE6" w:rsidP="00161BE6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Celková suma zabezpečených záväzkov</w:t>
            </w:r>
          </w:p>
        </w:tc>
        <w:tc>
          <w:tcPr>
            <w:tcW w:w="4961" w:type="dxa"/>
          </w:tcPr>
          <w:p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Opis záväzku</w:t>
            </w:r>
          </w:p>
        </w:tc>
        <w:tc>
          <w:tcPr>
            <w:tcW w:w="2791" w:type="dxa"/>
          </w:tcPr>
          <w:p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Spôsob zabezpečenia</w:t>
            </w:r>
          </w:p>
        </w:tc>
      </w:tr>
      <w:tr w:rsidR="00161BE6" w:rsidTr="00161BE6">
        <w:tc>
          <w:tcPr>
            <w:tcW w:w="2660" w:type="dxa"/>
          </w:tcPr>
          <w:p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4961" w:type="dxa"/>
          </w:tcPr>
          <w:p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2791" w:type="dxa"/>
          </w:tcPr>
          <w:p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E0570D" w:rsidP="00E0570D">
      <w:pPr>
        <w:pStyle w:val="Default"/>
        <w:numPr>
          <w:ilvl w:val="0"/>
          <w:numId w:val="18"/>
        </w:numPr>
        <w:spacing w:after="28"/>
        <w:ind w:hanging="50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>Infor</w:t>
      </w:r>
      <w:r w:rsidR="00161BE6">
        <w:rPr>
          <w:rFonts w:asciiTheme="minorHAnsi" w:hAnsiTheme="minorHAnsi"/>
          <w:color w:val="auto"/>
        </w:rPr>
        <w:t>mácie o vlastných akciách</w:t>
      </w:r>
    </w:p>
    <w:p w:rsidR="00BD7C72" w:rsidRPr="00BD7C72" w:rsidRDefault="00BD7C72" w:rsidP="00161BE6">
      <w:pPr>
        <w:pStyle w:val="Default"/>
        <w:spacing w:after="28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  <w:r w:rsidR="00E0570D" w:rsidRPr="00E105ED">
        <w:rPr>
          <w:rFonts w:asciiTheme="minorHAnsi" w:hAnsiTheme="minorHAnsi"/>
          <w:i/>
          <w:color w:val="auto"/>
        </w:rPr>
        <w:t>Účtovná jednotka v účtovnom období</w:t>
      </w:r>
      <w:r w:rsidR="00E0570D">
        <w:rPr>
          <w:rFonts w:asciiTheme="minorHAnsi" w:hAnsiTheme="minorHAnsi"/>
          <w:i/>
          <w:color w:val="auto"/>
        </w:rPr>
        <w:t xml:space="preserve"> neúčtovala o vlastných akciách.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4) 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Informácie o orgánoch účtovnej jednotky, a to </w:t>
      </w:r>
    </w:p>
    <w:p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161BE6" w:rsidTr="00C66BE0">
        <w:tc>
          <w:tcPr>
            <w:tcW w:w="3470" w:type="dxa"/>
          </w:tcPr>
          <w:p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Poskytnuté záruky</w:t>
            </w:r>
          </w:p>
        </w:tc>
        <w:tc>
          <w:tcPr>
            <w:tcW w:w="3471" w:type="dxa"/>
          </w:tcPr>
          <w:p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Druh záruky</w:t>
            </w:r>
          </w:p>
        </w:tc>
        <w:tc>
          <w:tcPr>
            <w:tcW w:w="3471" w:type="dxa"/>
          </w:tcPr>
          <w:p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Suma</w:t>
            </w:r>
          </w:p>
        </w:tc>
      </w:tr>
      <w:tr w:rsidR="00161BE6" w:rsidTr="00C66BE0">
        <w:tc>
          <w:tcPr>
            <w:tcW w:w="3470" w:type="dxa"/>
          </w:tcPr>
          <w:p w:rsidR="00161BE6" w:rsidRPr="00C66BE0" w:rsidRDefault="00C66BE0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</w:t>
            </w:r>
            <w:r w:rsidR="00161BE6" w:rsidRPr="00C66BE0">
              <w:rPr>
                <w:rFonts w:asciiTheme="minorHAnsi" w:hAnsiTheme="minorHAnsi"/>
                <w:b/>
                <w:color w:val="auto"/>
              </w:rPr>
              <w:t>onateľom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:rsidTr="00C66BE0">
        <w:tc>
          <w:tcPr>
            <w:tcW w:w="3470" w:type="dxa"/>
          </w:tcPr>
          <w:p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:rsidTr="00C66BE0">
        <w:tc>
          <w:tcPr>
            <w:tcW w:w="3470" w:type="dxa"/>
          </w:tcPr>
          <w:p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C66BE0" w:rsidTr="00C66BE0">
        <w:tc>
          <w:tcPr>
            <w:tcW w:w="3470" w:type="dxa"/>
          </w:tcPr>
          <w:p w:rsidR="00C66BE0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pôžičkách poskytnutých členom štatutárneho orgánu, dozorného orgánu a iného orgánu účtovnej jednotky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422279" w:rsidRPr="00C66BE0" w:rsidTr="00E801AF">
        <w:tc>
          <w:tcPr>
            <w:tcW w:w="3470" w:type="dxa"/>
          </w:tcPr>
          <w:p w:rsidR="00422279" w:rsidRPr="00C66BE0" w:rsidRDefault="00422279" w:rsidP="00422279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 xml:space="preserve">Poskytnuté </w:t>
            </w:r>
            <w:r>
              <w:rPr>
                <w:rFonts w:asciiTheme="minorHAnsi" w:hAnsiTheme="minorHAnsi"/>
                <w:b/>
                <w:color w:val="auto"/>
              </w:rPr>
              <w:t>pôžičky</w:t>
            </w:r>
          </w:p>
        </w:tc>
        <w:tc>
          <w:tcPr>
            <w:tcW w:w="3471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Celková suma k 31.12.</w:t>
            </w:r>
          </w:p>
        </w:tc>
        <w:tc>
          <w:tcPr>
            <w:tcW w:w="3471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Z toho splatené</w:t>
            </w:r>
          </w:p>
        </w:tc>
      </w:tr>
      <w:tr w:rsidR="00422279" w:rsidTr="00E801AF">
        <w:tc>
          <w:tcPr>
            <w:tcW w:w="3470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Konateľom</w:t>
            </w:r>
          </w:p>
        </w:tc>
        <w:tc>
          <w:tcPr>
            <w:tcW w:w="3471" w:type="dxa"/>
          </w:tcPr>
          <w:p w:rsidR="00422279" w:rsidRDefault="00B546CB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20 943</w:t>
            </w:r>
            <w:r w:rsidR="00E0570D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:rsidTr="00E801AF">
        <w:tc>
          <w:tcPr>
            <w:tcW w:w="3470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:rsidTr="00E801AF">
        <w:tc>
          <w:tcPr>
            <w:tcW w:w="3470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:rsidTr="00E801AF">
        <w:tc>
          <w:tcPr>
            <w:tcW w:w="3470" w:type="dxa"/>
          </w:tcPr>
          <w:p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  <w:p w:rsidR="003844A8" w:rsidRPr="00C66BE0" w:rsidRDefault="003844A8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71" w:type="dxa"/>
          </w:tcPr>
          <w:p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471" w:type="dxa"/>
          </w:tcPr>
          <w:p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</w:tr>
    </w:tbl>
    <w:p w:rsidR="00BD7C72" w:rsidRPr="00BD7C72" w:rsidRDefault="00422279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5) </w:t>
      </w:r>
      <w:r w:rsidR="00BD7C72" w:rsidRPr="00BD7C72">
        <w:rPr>
          <w:rFonts w:asciiTheme="minorHAnsi" w:hAnsiTheme="minorHAnsi"/>
          <w:color w:val="auto"/>
        </w:rPr>
        <w:t xml:space="preserve"> </w:t>
      </w:r>
      <w:r w:rsidR="00E0570D"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 xml:space="preserve">Informácie o povinnostiach účtovnej jednotky, a to </w:t>
      </w:r>
    </w:p>
    <w:p w:rsid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a)</w:t>
      </w:r>
    </w:p>
    <w:p w:rsidR="00E0570D" w:rsidRPr="00BD7C72" w:rsidRDefault="00E0570D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</w:p>
    <w:p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významných podmienených záväzkov, ktorými sa rozumie </w:t>
      </w:r>
    </w:p>
    <w:p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lastRenderedPageBreak/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existujúca povinnosť, ktorá vznikla ako dôsledok minulej udalosti, ale ktorá sa nevykazuje v súvahe, pretože </w:t>
      </w:r>
    </w:p>
    <w:p w:rsidR="00BD7C72" w:rsidRP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2a. nie je pravdepodobné, že na splnenie tejto povinnosti bude potrebný úbytok ekonomických úžitkov, alebo </w:t>
      </w:r>
    </w:p>
    <w:p w:rsid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2b. výška tejto povinnosti sa nedá spoľahlivo oceniť, </w:t>
      </w:r>
    </w:p>
    <w:p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b)</w:t>
      </w:r>
    </w:p>
    <w:p w:rsidR="00E0570D" w:rsidRPr="00BD7C72" w:rsidRDefault="00E0570D" w:rsidP="00E0570D">
      <w:pPr>
        <w:pStyle w:val="Default"/>
        <w:spacing w:after="27"/>
        <w:ind w:left="720"/>
        <w:rPr>
          <w:rFonts w:asciiTheme="minorHAnsi" w:hAnsiTheme="minorHAnsi"/>
          <w:color w:val="auto"/>
        </w:rPr>
      </w:pPr>
    </w:p>
    <w:p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c) opise významných finančných povinností a významných podmienených záväzkov, </w:t>
      </w:r>
    </w:p>
    <w:p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D7C72" w:rsidRPr="00BD7C72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e) opise významných povinností účtovnej jednotky vyplývajúcich z dôchodkových programov pre zamestnancov. </w:t>
      </w:r>
    </w:p>
    <w:p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c) až e)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6</w:t>
      </w:r>
      <w:r w:rsidRPr="00E0570D">
        <w:rPr>
          <w:rFonts w:asciiTheme="minorHAnsi" w:hAnsiTheme="minorHAnsi"/>
          <w:b/>
          <w:color w:val="auto"/>
        </w:rPr>
        <w:t xml:space="preserve">) </w:t>
      </w:r>
      <w:r w:rsidR="00E0570D">
        <w:rPr>
          <w:rFonts w:asciiTheme="minorHAnsi" w:hAnsiTheme="minorHAnsi"/>
          <w:b/>
          <w:color w:val="auto"/>
        </w:rPr>
        <w:tab/>
      </w:r>
      <w:r w:rsidRPr="00E0570D">
        <w:rPr>
          <w:rFonts w:asciiTheme="minorHAnsi" w:hAnsiTheme="minorHAnsi"/>
          <w:bCs/>
          <w:color w:val="auto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a) všetkých formách prijatej náhrady, </w:t>
      </w:r>
    </w:p>
    <w:p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b) účtovných zásadách použitých pri prideľovaní nákladov a výnosov, </w:t>
      </w:r>
    </w:p>
    <w:p w:rsidR="00BD7C72" w:rsidRPr="00E0570D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c) všetkých druhoch činností účtovnej jednotky. </w:t>
      </w:r>
    </w:p>
    <w:p w:rsidR="005A7AC1" w:rsidRDefault="00E0570D">
      <w:pPr>
        <w:rPr>
          <w:rFonts w:asciiTheme="minorHAnsi" w:hAnsiTheme="minorHAnsi"/>
          <w:i/>
          <w:sz w:val="24"/>
          <w:szCs w:val="24"/>
        </w:rPr>
      </w:pPr>
      <w:r w:rsidRPr="00E0570D">
        <w:rPr>
          <w:rFonts w:asciiTheme="minorHAnsi" w:hAnsiTheme="minorHAnsi"/>
          <w:i/>
          <w:sz w:val="24"/>
          <w:szCs w:val="24"/>
        </w:rPr>
        <w:t>Účtovnej jednotke nebolo udelené výlučné právo poskytovať služby vo verejnom záujme</w:t>
      </w:r>
      <w:r>
        <w:rPr>
          <w:rFonts w:asciiTheme="minorHAnsi" w:hAnsiTheme="minorHAnsi"/>
          <w:i/>
          <w:sz w:val="24"/>
          <w:szCs w:val="24"/>
        </w:rPr>
        <w:t>.</w:t>
      </w:r>
    </w:p>
    <w:p w:rsidR="00E0570D" w:rsidRDefault="00E0570D">
      <w:pPr>
        <w:rPr>
          <w:rFonts w:asciiTheme="minorHAnsi" w:hAnsiTheme="minorHAnsi"/>
          <w:i/>
          <w:sz w:val="24"/>
          <w:szCs w:val="24"/>
        </w:rPr>
      </w:pPr>
    </w:p>
    <w:p w:rsidR="00E0570D" w:rsidRPr="00E0570D" w:rsidRDefault="00E0570D">
      <w:p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V </w:t>
      </w:r>
      <w:r w:rsidR="003844A8">
        <w:rPr>
          <w:rFonts w:asciiTheme="minorHAnsi" w:hAnsiTheme="minorHAnsi"/>
          <w:i/>
          <w:sz w:val="24"/>
          <w:szCs w:val="24"/>
        </w:rPr>
        <w:t>K</w:t>
      </w:r>
      <w:r>
        <w:rPr>
          <w:rFonts w:asciiTheme="minorHAnsi" w:hAnsiTheme="minorHAnsi"/>
          <w:i/>
          <w:sz w:val="24"/>
          <w:szCs w:val="24"/>
        </w:rPr>
        <w:t xml:space="preserve">amenci pod Vtáčnikom, </w:t>
      </w:r>
      <w:r w:rsidR="00B546CB">
        <w:rPr>
          <w:rFonts w:asciiTheme="minorHAnsi" w:hAnsiTheme="minorHAnsi"/>
          <w:i/>
          <w:sz w:val="24"/>
          <w:szCs w:val="24"/>
        </w:rPr>
        <w:t>25.2.2017</w:t>
      </w:r>
      <w:bookmarkStart w:id="0" w:name="_GoBack"/>
      <w:bookmarkEnd w:id="0"/>
    </w:p>
    <w:sectPr w:rsidR="00E0570D" w:rsidRPr="00E0570D" w:rsidSect="00E801AF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BA" w:rsidRDefault="000974BA" w:rsidP="00E105ED">
      <w:r>
        <w:separator/>
      </w:r>
    </w:p>
  </w:endnote>
  <w:endnote w:type="continuationSeparator" w:id="0">
    <w:p w:rsidR="000974BA" w:rsidRDefault="000974BA" w:rsidP="00E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BA" w:rsidRDefault="000974BA" w:rsidP="00E105ED">
      <w:r>
        <w:separator/>
      </w:r>
    </w:p>
  </w:footnote>
  <w:footnote w:type="continuationSeparator" w:id="0">
    <w:p w:rsidR="000974BA" w:rsidRDefault="000974BA" w:rsidP="00E10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ED" w:rsidRDefault="00E105ED">
    <w:pPr>
      <w:pStyle w:val="Hlavika"/>
    </w:pPr>
    <w:r>
      <w:t>Poznámky ÚčMÚJ3-01                           IČO: 44960841</w:t>
    </w:r>
    <w:r>
      <w:tab/>
      <w:t>DIČ: 2022886415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BDE"/>
    <w:multiLevelType w:val="hybridMultilevel"/>
    <w:tmpl w:val="12B0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487A"/>
    <w:multiLevelType w:val="hybridMultilevel"/>
    <w:tmpl w:val="880468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10985985"/>
    <w:multiLevelType w:val="hybridMultilevel"/>
    <w:tmpl w:val="7FB0199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361"/>
    <w:multiLevelType w:val="hybridMultilevel"/>
    <w:tmpl w:val="87BEFA18"/>
    <w:lvl w:ilvl="0" w:tplc="5CB29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115C1"/>
    <w:multiLevelType w:val="hybridMultilevel"/>
    <w:tmpl w:val="044077EA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209B0"/>
    <w:multiLevelType w:val="hybridMultilevel"/>
    <w:tmpl w:val="D1A4F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56171"/>
    <w:multiLevelType w:val="hybridMultilevel"/>
    <w:tmpl w:val="E272B43E"/>
    <w:lvl w:ilvl="0" w:tplc="95F2017A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  <w:num w:numId="16">
    <w:abstractNumId w:val="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C72"/>
    <w:rsid w:val="000974BA"/>
    <w:rsid w:val="000E4FE0"/>
    <w:rsid w:val="00161BE6"/>
    <w:rsid w:val="00183AAE"/>
    <w:rsid w:val="001901C0"/>
    <w:rsid w:val="00212AF0"/>
    <w:rsid w:val="0022307C"/>
    <w:rsid w:val="00307BFC"/>
    <w:rsid w:val="003844A8"/>
    <w:rsid w:val="003E6370"/>
    <w:rsid w:val="00422279"/>
    <w:rsid w:val="0054015B"/>
    <w:rsid w:val="005A7AC1"/>
    <w:rsid w:val="005C52FB"/>
    <w:rsid w:val="007A1E23"/>
    <w:rsid w:val="0087561F"/>
    <w:rsid w:val="008C359B"/>
    <w:rsid w:val="00993930"/>
    <w:rsid w:val="009940AE"/>
    <w:rsid w:val="009D419D"/>
    <w:rsid w:val="00A114F0"/>
    <w:rsid w:val="00AE4D09"/>
    <w:rsid w:val="00B546CB"/>
    <w:rsid w:val="00BD7C72"/>
    <w:rsid w:val="00BE1BB6"/>
    <w:rsid w:val="00C66BE0"/>
    <w:rsid w:val="00CC2980"/>
    <w:rsid w:val="00D67B5A"/>
    <w:rsid w:val="00D95D3B"/>
    <w:rsid w:val="00DE132C"/>
    <w:rsid w:val="00E0570D"/>
    <w:rsid w:val="00E105ED"/>
    <w:rsid w:val="00F7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32C"/>
  </w:style>
  <w:style w:type="paragraph" w:styleId="Nadpis1">
    <w:name w:val="heading 1"/>
    <w:basedOn w:val="Normlny"/>
    <w:next w:val="Normlny"/>
    <w:link w:val="Nadpis1Char"/>
    <w:uiPriority w:val="9"/>
    <w:qFormat/>
    <w:rsid w:val="00DE132C"/>
    <w:pPr>
      <w:numPr>
        <w:numId w:val="11"/>
      </w:num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132C"/>
    <w:pPr>
      <w:numPr>
        <w:ilvl w:val="1"/>
        <w:numId w:val="11"/>
      </w:num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132C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DE132C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asciiTheme="minorHAnsi" w:eastAsiaTheme="minorEastAsia" w:hAnsiTheme="minorHAnsi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asciiTheme="minorHAnsi" w:eastAsiaTheme="minorEastAsia" w:hAnsiTheme="minorHAnsi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Sil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Intenzvny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customStyle="1" w:styleId="Default">
    <w:name w:val="Default"/>
    <w:rsid w:val="00BD7C7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D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3E6370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E6370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5ED"/>
  </w:style>
  <w:style w:type="paragraph" w:styleId="Pta">
    <w:name w:val="footer"/>
    <w:basedOn w:val="Normlny"/>
    <w:link w:val="Pt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5ED"/>
  </w:style>
  <w:style w:type="paragraph" w:styleId="Textbubliny">
    <w:name w:val="Balloon Text"/>
    <w:basedOn w:val="Normlny"/>
    <w:link w:val="TextbublinyChar"/>
    <w:uiPriority w:val="99"/>
    <w:semiHidden/>
    <w:unhideWhenUsed/>
    <w:rsid w:val="00E105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Košťálová</dc:creator>
  <cp:lastModifiedBy>martin</cp:lastModifiedBy>
  <cp:revision>4</cp:revision>
  <dcterms:created xsi:type="dcterms:W3CDTF">2015-02-16T11:51:00Z</dcterms:created>
  <dcterms:modified xsi:type="dcterms:W3CDTF">2017-02-25T17:44:00Z</dcterms:modified>
</cp:coreProperties>
</file>