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240" w:before="0" w:after="12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POZNÁMKY K ÚČTOVNEJ ZÁVIERKE 2016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pre malé účtovné jednotky</w:t>
      </w: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 – VŠEOBECNÉ INFORMÁCIE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1) Základné informácie o účtovnej jednotke:</w:t>
      </w:r>
    </w:p>
    <w:p>
      <w:pPr>
        <w:pStyle w:val="Normal"/>
        <w:spacing w:lineRule="auto" w:line="240"/>
        <w:rPr/>
      </w:pPr>
      <w:r>
        <w:rPr/>
      </w:r>
    </w:p>
    <w:tbl>
      <w:tblPr>
        <w:tblStyle w:val="a"/>
        <w:tblW w:w="9714" w:type="dxa"/>
        <w:jc w:val="left"/>
        <w:tblInd w:w="-11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35"/>
        <w:gridCol w:w="6878"/>
      </w:tblGrid>
      <w:tr>
        <w:trPr>
          <w:trHeight w:val="34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Obchodné meno: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MEDIKOR s.r.o.</w:t>
            </w:r>
          </w:p>
        </w:tc>
      </w:tr>
      <w:tr>
        <w:trPr>
          <w:trHeight w:val="3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Sídlo: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02201 Čadca, Podzávoz 1148</w:t>
            </w:r>
          </w:p>
        </w:tc>
      </w:tr>
      <w:tr>
        <w:trPr>
          <w:trHeight w:val="1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Právna forma: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s ručením obmedzeným</w:t>
            </w:r>
          </w:p>
        </w:tc>
      </w:tr>
      <w:tr>
        <w:trPr>
          <w:trHeight w:val="2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Dátum vzniku: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Zápis do obchodného registra: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1.1.2006</w:t>
            </w:r>
          </w:p>
        </w:tc>
      </w:tr>
      <w:tr>
        <w:trPr>
          <w:trHeight w:val="26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ind w:right="1027" w:hanging="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Hlavný predmet podnikania: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/>
              <w:jc w:val="both"/>
              <w:rPr/>
            </w:pPr>
            <w:bookmarkStart w:id="0" w:name="_GoBack"/>
            <w:bookmarkEnd w:id="0"/>
            <w:r>
              <w:rPr>
                <w:rFonts w:eastAsia="Calibri" w:cs="Calibri" w:ascii="Calibri" w:hAnsi="Calibri"/>
                <w:sz w:val="24"/>
                <w:szCs w:val="24"/>
              </w:rPr>
              <w:t>Činnosť všeobecnej lekárskej praxe</w:t>
            </w:r>
          </w:p>
        </w:tc>
      </w:tr>
      <w:tr>
        <w:trPr>
          <w:trHeight w:val="5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Subjekt verejného záujmu: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 nie je subjektom verejného záujmu (§ 2/14 ZoU).</w:t>
            </w:r>
          </w:p>
        </w:tc>
      </w:tr>
      <w:tr>
        <w:trPr>
          <w:trHeight w:val="30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Účtovné obdobie: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Kalendárny rok 2016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UJ bola v účtovnom období roku </w:t>
      </w:r>
      <w:r>
        <w:rPr>
          <w:rFonts w:eastAsia="Calibri" w:cs="Calibri" w:ascii="Calibri" w:hAnsi="Calibri"/>
          <w:sz w:val="24"/>
          <w:szCs w:val="24"/>
        </w:rPr>
        <w:t xml:space="preserve">2014, </w:t>
      </w:r>
      <w:r>
        <w:rPr>
          <w:rFonts w:eastAsia="Calibri" w:cs="Calibri" w:ascii="Calibri" w:hAnsi="Calibri"/>
          <w:sz w:val="24"/>
          <w:szCs w:val="24"/>
        </w:rPr>
        <w:t>2015 – malá účtovná jednotka, ale nespĺňa zákonom stanovené požiadavky, takže bola v roku 2016 preradená do mikro účtovnej jednotky.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2) Dátum schválenia účtovnej závierky za bezprostredne predchádzajúce účtovné obdobie príslušným orgánom účtovnej jednotky: </w:t>
      </w:r>
      <w:r>
        <w:rPr>
          <w:rFonts w:eastAsia="Calibri" w:cs="Calibri" w:ascii="Calibri" w:hAnsi="Calibri"/>
          <w:sz w:val="24"/>
          <w:szCs w:val="24"/>
        </w:rPr>
        <w:t>6.3.2017</w:t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3) Právny dôvod na zostavenie účtovnej závierky: Účtovná závierka Spoločnosti k 31.12.2016je zostavená ako riadna účtovná závierka podľa §17 ods. 6 Zákona č. 431/2002 Z.z. o účtovníctve za účtovné obdobie od 01. januára 2016 do 31. decembra 2016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nie je v skupine účtovných jednotiek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jc w:val="left"/>
        <w:tblInd w:w="-11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5"/>
        <w:gridCol w:w="2523"/>
        <w:gridCol w:w="2369"/>
      </w:tblGrid>
      <w:tr>
        <w:trPr>
          <w:trHeight w:val="520" w:hRule="atLeast"/>
        </w:trPr>
        <w:tc>
          <w:tcPr>
            <w:tcW w:w="4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ind w:right="459" w:hanging="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160" w:hRule="atLeast"/>
        </w:trPr>
        <w:tc>
          <w:tcPr>
            <w:tcW w:w="4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  <w:tc>
          <w:tcPr>
            <w:tcW w:w="2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</w:tr>
    </w:tbl>
    <w:p>
      <w:pPr>
        <w:pStyle w:val="Normal"/>
        <w:spacing w:lineRule="auto" w:line="240"/>
        <w:ind w:left="928"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 – INFORMÁCIE O ORGÁNOCH SPOLOČNOSTI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b/>
          <w:sz w:val="24"/>
          <w:szCs w:val="24"/>
        </w:rPr>
        <w:t>Informácie o orgánoch účtovnej jednotky</w:t>
      </w:r>
      <w:r>
        <w:rPr>
          <w:rFonts w:eastAsia="Calibri" w:cs="Calibri" w:ascii="Calibri" w:hAnsi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69"/>
        <w:gridCol w:w="2488"/>
        <w:gridCol w:w="2360"/>
      </w:tblGrid>
      <w:tr>
        <w:trPr>
          <w:trHeight w:val="8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MUDr.Korduliaková Marta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MUDr.Korduliaková Marta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 </w:t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ind w:left="720" w:hanging="0"/>
              <w:rPr/>
            </w:pPr>
            <w:r>
              <w:rPr/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</w:tbl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III – INFORMÁCIE O PRIJATÝCH POSTUPOCH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neeviduje žiadne transakcie, ktoré sa neuvádzajú v súvahe.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Spôsob a určenie oceňovania majetku a záväzkov (vrátane rozhodujúcich odhadov):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a) Spôsob oceňovania majetku a záväzkov (§ 25 ZoU):</w:t>
      </w:r>
    </w:p>
    <w:p>
      <w:pPr>
        <w:pStyle w:val="Normal"/>
        <w:widowControl w:val="false"/>
        <w:tabs>
          <w:tab w:val="left" w:pos="808" w:leader="none"/>
        </w:tabs>
        <w:spacing w:lineRule="auto" w:line="240"/>
        <w:jc w:val="both"/>
        <w:rPr/>
      </w:pPr>
      <w:r>
        <w:rPr/>
      </w:r>
    </w:p>
    <w:tbl>
      <w:tblPr>
        <w:tblStyle w:val="a2"/>
        <w:tblW w:w="9606" w:type="dxa"/>
        <w:jc w:val="left"/>
        <w:tblInd w:w="-11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b) Trvalé zníženie hodnoty majetku nebolo účtované.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c) Záväzky účtovná jednotka ocenila menovitou hodnotou záväzkov.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d) Účtovná jednotka nepoužila dobrovoľné oceňovanie obchodných podielov metódou vlastného imania (§ 27/9 ZoU).</w:t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/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jc w:val="left"/>
        <w:tblInd w:w="-11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4"/>
        <w:gridCol w:w="2107"/>
        <w:gridCol w:w="2267"/>
      </w:tblGrid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Dlhodobý hmotný a nehmotný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číslo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doba odpisovania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 xml:space="preserve">odpisová sadzba 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 w:before="0" w:after="120"/>
        <w:rPr/>
      </w:pPr>
      <w:r>
        <w:rPr>
          <w:rFonts w:eastAsia="Calibri" w:cs="Calibri" w:ascii="Calibri" w:hAnsi="Calibri"/>
          <w:sz w:val="24"/>
          <w:szCs w:val="24"/>
        </w:rPr>
        <w:t xml:space="preserve">Komentár k odpisovému plánu: 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nepoužila jednorazový odpis</w:t>
      </w:r>
      <w:r>
        <w:rPr>
          <w:rFonts w:eastAsia="Calibri" w:cs="Calibri" w:ascii="Calibri" w:hAnsi="Calibri"/>
          <w:b/>
          <w:sz w:val="24"/>
          <w:szCs w:val="24"/>
        </w:rPr>
        <w:t xml:space="preserve"> </w:t>
      </w:r>
      <w:r>
        <w:rPr>
          <w:rFonts w:eastAsia="Calibri" w:cs="Calibri" w:ascii="Calibri" w:hAnsi="Calibri"/>
          <w:sz w:val="24"/>
          <w:szCs w:val="24"/>
        </w:rPr>
        <w:t>dlhodobého majetku z dôvodu jednorazového trvalého zníženia hodnoty majetku (§ 21/5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360" w:hanging="360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g) ÚJ neboli v zdaňovacom období roku 2015 poskytnuté žiadne dotácie</w:t>
      </w:r>
    </w:p>
    <w:p>
      <w:pPr>
        <w:pStyle w:val="Normal"/>
        <w:keepNext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5) ÚJ v zdaňovacom období roku 2015 nevykonala žiadne opravy významných chýb.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IV – INFORMÁCIE, KTORÉ VYSVETĽUJÚ A DOPĹŇAJÚ SÚVAHU A VÝKAZ ZISKOV A STRÁT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neeviduje žiadne položky nehmotného majetku.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položky významných derivátov, majetku a záväzkoch zabezpečených derivátmi.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3a) ÚJ neeviduje žiadne položky zabezpečených záväzkov so zostatkovou dobou splatnosti dlhšou </w:t>
        <w:tab/>
        <w:tab/>
        <w:tab/>
        <w:tab/>
        <w:tab/>
        <w:t xml:space="preserve"> ako 5 rokov:  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tbl>
      <w:tblPr>
        <w:tblStyle w:val="a4"/>
        <w:tblW w:w="9714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1"/>
        <w:gridCol w:w="2378"/>
      </w:tblGrid>
      <w:tr>
        <w:trPr>
          <w:trHeight w:val="68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0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3b) ÚJ neeviduje žiadne položky zabezpečených záväzkov.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neeviduje žiadne vlastné akcie.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ÚJ neeviduje žiadne položky nákladov alebo výnosov, ktoré majú výnimočný rozsah alebo výskyt.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 – INFORMÁCIE O INÝCH AKTÍVACH A INÝCH PASÍVACH</w:t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1a) ÚJ neeviduje žiadne položky podmieneného majetku.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1b) ÚJ neeviduje žiadne položky podmienených záväzkov.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ostatné finančné povinnosti, ktoré a nevykazujú v účtovných výkazoch.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3 V účtovníctve ÚJ sa nenachádzajú žiadne položky evidované na podsúvahových účtoch.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 – UDALOSTI, KTORÉ NASTALI PO ZÁVIERKOVOM DNI</w:t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(Následné udalosti)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ÚJ neeviduje žiadne udalosti, ktoré nastali po závierkovom dni.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VII – OSTATNÉ INFORMÁCIE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nemá žiadne právo poskytovať služby vo verejnom záujme.</w:t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nemá žiadnu priemyselnú výrobu.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nemá žiadne finančné vzťahy s orgánmi verejnej moci.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sectPr>
      <w:headerReference w:type="default" r:id="rId2"/>
      <w:footerReference w:type="default" r:id="rId3"/>
      <w:type w:val="nextPage"/>
      <w:pgSz w:w="11906" w:h="16838"/>
      <w:pgMar w:left="1417" w:right="992" w:header="708" w:top="1417" w:footer="708" w:bottom="1417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Georgi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536" w:leader="none"/>
        <w:tab w:val="right" w:pos="9072" w:leader="none"/>
      </w:tabs>
      <w:spacing w:lineRule="auto" w:line="24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6</w:t>
    </w:r>
    <w:r>
      <w:fldChar w:fldCharType="end"/>
    </w:r>
  </w:p>
  <w:p>
    <w:pPr>
      <w:pStyle w:val="Normal"/>
      <w:tabs>
        <w:tab w:val="center" w:pos="4536" w:leader="none"/>
        <w:tab w:val="right" w:pos="9072" w:leader="none"/>
      </w:tabs>
      <w:spacing w:lineRule="auto" w:line="240" w:before="0" w:after="56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 xml:space="preserve">Poznámky Úč POD 3 – 01          </w:t>
    </w:r>
    <w:r>
      <w:rPr>
        <w:color w:val="707070"/>
        <w:sz w:val="18"/>
        <w:szCs w:val="18"/>
        <w:highlight w:val="white"/>
      </w:rPr>
      <w:tab/>
    </w:r>
    <w:r>
      <w:rPr/>
      <w:t xml:space="preserve">                 IČO: 36438049</w:t>
    </w:r>
  </w:p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>DIČ: 2022109243</w:t>
      <w:tab/>
    </w:r>
  </w:p>
  <w:p>
    <w:pPr>
      <w:pStyle w:val="Normal"/>
      <w:tabs>
        <w:tab w:val="center" w:pos="4703" w:leader="none"/>
        <w:tab w:val="right" w:pos="9406" w:leader="none"/>
      </w:tabs>
      <w:spacing w:lineRule="auto" w:line="2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6"/>
      <w:numFmt w:val="bullet"/>
      <w:lvlText w:val="-"/>
      <w:lvlJc w:val="left"/>
      <w:pPr>
        <w:ind w:left="7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2">
    <w:lvl w:ilvl="0">
      <w:start w:val="1"/>
      <w:numFmt w:val="bullet"/>
      <w:lvlText w:val="➢"/>
      <w:lvlJc w:val="left"/>
      <w:pPr>
        <w:ind w:left="3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0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18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5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2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39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46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4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1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compat>
    <w:compatSetting w:name="compatibilityMode" w:uri="http://schemas.microsoft.com/office/word" w:val="14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0"/>
        <w:szCs w:val="22"/>
        <w:lang w:val="sk-SK" w:eastAsia="sk-SK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000000"/>
      <w:sz w:val="22"/>
      <w:szCs w:val="22"/>
      <w:lang w:val="sk-SK" w:eastAsia="sk-SK" w:bidi="ar-SA"/>
    </w:rPr>
  </w:style>
  <w:style w:type="paragraph" w:styleId="Nadpis1">
    <w:name w:val="Nadpis 1"/>
    <w:basedOn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Nadpis 2"/>
    <w:basedOn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Nadpis 3"/>
    <w:basedOn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Nadpis 4"/>
    <w:basedOn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Nadpis 5"/>
    <w:basedOn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Nadpis 6"/>
    <w:basedOn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" w:cs="Arial"/>
      <w:position w:val="0"/>
      <w:sz w:val="24"/>
      <w:sz w:val="24"/>
      <w:vertAlign w:val="baseline"/>
    </w:rPr>
  </w:style>
  <w:style w:type="character" w:styleId="ListLabel2">
    <w:name w:val="ListLabel 2"/>
    <w:qFormat/>
    <w:rPr>
      <w:rFonts w:cs="Arial"/>
      <w:position w:val="0"/>
      <w:sz w:val="24"/>
      <w:sz w:val="24"/>
      <w:vertAlign w:val="baseline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zov">
    <w:name w:val="Názov"/>
    <w:basedOn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nzov">
    <w:name w:val="Podnázov"/>
    <w:basedOn w:val="Normal"/>
    <w:pPr>
      <w:keepNext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lavika">
    <w:name w:val="Hlavička"/>
    <w:basedOn w:val="Normal"/>
    <w:pPr/>
    <w:rPr/>
  </w:style>
  <w:style w:type="paragraph" w:styleId="Pta">
    <w:name w:val="Pät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Application>LibreOffice/5.0.4.2$Windows_x86 LibreOffice_project/2b9802c1994aa0b7dc6079e128979269cf95bc78</Application>
  <Paragraphs>201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2016-03-30T09:56:00Z</dcterms:created>
  <dc:language>sk-SK</dc:language>
  <dcterms:modified xsi:type="dcterms:W3CDTF">2017-03-06T09:50:20Z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