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ackground w:color="FFFFFF"/>
  <w:body>
    <w:p>
      <w:pPr>
        <w:pStyle w:val="Normal"/>
        <w:spacing w:lineRule="auto" w:line="240" w:before="0" w:after="120"/>
        <w:jc w:val="center"/>
        <w:rPr/>
      </w:pPr>
      <w:r>
        <w:rPr>
          <w:rFonts w:eastAsia="Calibri" w:cs="Calibri" w:ascii="Calibri" w:hAnsi="Calibri"/>
          <w:b/>
          <w:sz w:val="24"/>
          <w:szCs w:val="24"/>
        </w:rPr>
        <w:t>POZNÁMKY K ÚČTOVNEJ ZÁVIERKE 2016</w:t>
      </w:r>
    </w:p>
    <w:p>
      <w:pPr>
        <w:pStyle w:val="Normal"/>
        <w:spacing w:lineRule="auto" w:line="240"/>
        <w:jc w:val="center"/>
        <w:rPr/>
      </w:pPr>
      <w:r>
        <w:rPr>
          <w:rFonts w:eastAsia="Calibri" w:cs="Calibri" w:ascii="Calibri" w:hAnsi="Calibri"/>
          <w:sz w:val="24"/>
          <w:szCs w:val="24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>
      <w:pPr>
        <w:pStyle w:val="Normal"/>
        <w:spacing w:lineRule="auto" w:line="240"/>
        <w:jc w:val="center"/>
        <w:rPr/>
      </w:pPr>
      <w:r>
        <w:rPr>
          <w:rFonts w:eastAsia="Calibri" w:cs="Calibri" w:ascii="Calibri" w:hAnsi="Calibri"/>
          <w:b/>
          <w:sz w:val="24"/>
          <w:szCs w:val="24"/>
        </w:rPr>
        <w:t>pre malé účtovné jednotky</w:t>
      </w:r>
      <w:r>
        <w:rPr>
          <w:rFonts w:eastAsia="Calibri" w:cs="Calibri" w:ascii="Calibri" w:hAnsi="Calibri"/>
          <w:sz w:val="24"/>
          <w:szCs w:val="24"/>
        </w:rPr>
        <w:t xml:space="preserve"> </w:t>
      </w:r>
    </w:p>
    <w:p>
      <w:pPr>
        <w:pStyle w:val="Normal"/>
        <w:spacing w:lineRule="auto" w:line="240"/>
        <w:rPr/>
      </w:pPr>
      <w:r>
        <w:rPr/>
      </w:r>
    </w:p>
    <w:p>
      <w:pPr>
        <w:pStyle w:val="Normal"/>
        <w:spacing w:lineRule="auto" w:line="240"/>
        <w:jc w:val="center"/>
        <w:rPr/>
      </w:pPr>
      <w:r>
        <w:rPr>
          <w:rFonts w:eastAsia="Calibri" w:cs="Calibri" w:ascii="Calibri" w:hAnsi="Calibri"/>
          <w:b/>
          <w:sz w:val="24"/>
          <w:szCs w:val="24"/>
        </w:rPr>
        <w:t>Článok I – VŠEOBECNÉ INFORMÁCIE</w:t>
      </w:r>
    </w:p>
    <w:p>
      <w:pPr>
        <w:pStyle w:val="Normal"/>
        <w:spacing w:lineRule="auto" w:line="240"/>
        <w:rPr/>
      </w:pPr>
      <w:r>
        <w:rPr/>
      </w:r>
    </w:p>
    <w:p>
      <w:pPr>
        <w:pStyle w:val="Normal"/>
        <w:spacing w:lineRule="auto" w:line="240"/>
        <w:rPr/>
      </w:pPr>
      <w:r>
        <w:rPr>
          <w:rFonts w:eastAsia="Calibri" w:cs="Calibri" w:ascii="Calibri" w:hAnsi="Calibri"/>
          <w:sz w:val="24"/>
          <w:szCs w:val="24"/>
        </w:rPr>
        <w:t>1) Základné informácie o účtovnej jednotke:</w:t>
      </w:r>
    </w:p>
    <w:p>
      <w:pPr>
        <w:pStyle w:val="Normal"/>
        <w:spacing w:lineRule="auto" w:line="240"/>
        <w:rPr/>
      </w:pPr>
      <w:r>
        <w:rPr/>
      </w:r>
    </w:p>
    <w:tbl>
      <w:tblPr>
        <w:tblStyle w:val="a"/>
        <w:tblW w:w="9714" w:type="dxa"/>
        <w:jc w:val="left"/>
        <w:tblInd w:w="-119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top w:w="0" w:type="dxa"/>
          <w:left w:w="93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2835"/>
        <w:gridCol w:w="6878"/>
      </w:tblGrid>
      <w:tr>
        <w:trPr>
          <w:trHeight w:val="340" w:hRule="atLeast"/>
        </w:trPr>
        <w:tc>
          <w:tcPr>
            <w:tcW w:w="283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Obchodné meno:</w:t>
            </w:r>
          </w:p>
        </w:tc>
        <w:tc>
          <w:tcPr>
            <w:tcW w:w="68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  <w:highlight w:val="white"/>
              </w:rPr>
              <w:t>M</w:t>
            </w:r>
            <w:r>
              <w:rPr>
                <w:rFonts w:eastAsia="Calibri" w:cs="Calibri" w:ascii="Calibri" w:hAnsi="Calibri"/>
                <w:sz w:val="24"/>
                <w:szCs w:val="24"/>
                <w:highlight w:val="white"/>
              </w:rPr>
              <w:t>UDr. Cesnek Miloslav, s.r.o.</w:t>
            </w:r>
          </w:p>
        </w:tc>
      </w:tr>
      <w:tr>
        <w:trPr>
          <w:trHeight w:val="380" w:hRule="atLeast"/>
        </w:trPr>
        <w:tc>
          <w:tcPr>
            <w:tcW w:w="283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Sídlo:</w:t>
            </w:r>
          </w:p>
        </w:tc>
        <w:tc>
          <w:tcPr>
            <w:tcW w:w="68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  <w:highlight w:val="white"/>
              </w:rPr>
              <w:t xml:space="preserve">02201 Čadca, </w:t>
            </w:r>
            <w:r>
              <w:rPr>
                <w:rFonts w:eastAsia="Calibri" w:cs="Calibri" w:ascii="Calibri" w:hAnsi="Calibri"/>
                <w:sz w:val="24"/>
                <w:szCs w:val="24"/>
                <w:highlight w:val="white"/>
              </w:rPr>
              <w:t>Palárikova 2311</w:t>
            </w:r>
          </w:p>
        </w:tc>
      </w:tr>
      <w:tr>
        <w:trPr>
          <w:trHeight w:val="180" w:hRule="atLeast"/>
        </w:trPr>
        <w:tc>
          <w:tcPr>
            <w:tcW w:w="283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Právna forma:</w:t>
            </w:r>
          </w:p>
        </w:tc>
        <w:tc>
          <w:tcPr>
            <w:tcW w:w="68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Spoločnosť s ručením obmedzeným</w:t>
            </w:r>
          </w:p>
        </w:tc>
      </w:tr>
      <w:tr>
        <w:trPr>
          <w:trHeight w:val="220" w:hRule="atLeast"/>
        </w:trPr>
        <w:tc>
          <w:tcPr>
            <w:tcW w:w="2835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Dátum vzniku:</w:t>
            </w:r>
          </w:p>
        </w:tc>
        <w:tc>
          <w:tcPr>
            <w:tcW w:w="6878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 xml:space="preserve">Zápis do obchodného registra: </w:t>
            </w:r>
            <w:r>
              <w:rPr>
                <w:rFonts w:eastAsia="Calibri" w:cs="Calibri" w:ascii="Calibri" w:hAnsi="Calibri"/>
                <w:sz w:val="24"/>
                <w:szCs w:val="24"/>
                <w:highlight w:val="white"/>
              </w:rPr>
              <w:t>31.1.2009</w:t>
            </w:r>
          </w:p>
        </w:tc>
      </w:tr>
      <w:tr>
        <w:trPr>
          <w:trHeight w:val="260" w:hRule="atLeast"/>
        </w:trPr>
        <w:tc>
          <w:tcPr>
            <w:tcW w:w="2835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/>
              <w:ind w:right="1027" w:hanging="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Hlavný predmet podnikania:</w:t>
            </w:r>
          </w:p>
        </w:tc>
        <w:tc>
          <w:tcPr>
            <w:tcW w:w="6878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/>
            </w:r>
          </w:p>
          <w:p>
            <w:pPr>
              <w:pStyle w:val="Normal"/>
              <w:spacing w:lineRule="auto" w:line="240"/>
              <w:jc w:val="both"/>
              <w:rPr/>
            </w:pPr>
            <w:bookmarkStart w:id="0" w:name="_GoBack"/>
            <w:bookmarkEnd w:id="0"/>
            <w:r>
              <w:rPr>
                <w:rFonts w:eastAsia="Calibri" w:cs="Calibri" w:ascii="Calibri" w:hAnsi="Calibri"/>
                <w:sz w:val="24"/>
                <w:szCs w:val="24"/>
              </w:rPr>
              <w:t xml:space="preserve">Činnosť </w:t>
            </w:r>
            <w:r>
              <w:rPr>
                <w:rFonts w:eastAsia="Calibri" w:cs="Calibri" w:ascii="Calibri" w:hAnsi="Calibri"/>
                <w:sz w:val="24"/>
                <w:szCs w:val="24"/>
              </w:rPr>
              <w:t>špeciálnej lekárskej praxe</w:t>
            </w:r>
          </w:p>
        </w:tc>
      </w:tr>
      <w:tr>
        <w:trPr>
          <w:trHeight w:val="520" w:hRule="atLeast"/>
        </w:trPr>
        <w:tc>
          <w:tcPr>
            <w:tcW w:w="2835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Subjekt verejného záujmu:</w:t>
            </w:r>
          </w:p>
        </w:tc>
        <w:tc>
          <w:tcPr>
            <w:tcW w:w="6878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Spoločnosť  nie je subjektom verejného záujmu (§ 2/14 ZoU).</w:t>
            </w:r>
          </w:p>
        </w:tc>
      </w:tr>
      <w:tr>
        <w:trPr>
          <w:trHeight w:val="300" w:hRule="atLeast"/>
        </w:trPr>
        <w:tc>
          <w:tcPr>
            <w:tcW w:w="2835" w:type="dxa"/>
            <w:tcBorders>
              <w:top w:val="single" w:sz="4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Účtovné obdobie:</w:t>
            </w:r>
          </w:p>
        </w:tc>
        <w:tc>
          <w:tcPr>
            <w:tcW w:w="6878" w:type="dxa"/>
            <w:tcBorders>
              <w:top w:val="single" w:sz="4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Kalendárny rok 2016</w:t>
            </w:r>
          </w:p>
        </w:tc>
      </w:tr>
    </w:tbl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>
          <w:rFonts w:eastAsia="Calibri" w:cs="Calibri" w:ascii="Calibri" w:hAnsi="Calibri"/>
          <w:sz w:val="24"/>
          <w:szCs w:val="24"/>
        </w:rPr>
        <w:t>UJ bola v účtovnom období roku 2014, 2015 – malá účtovná jednotka, ale nespĺňa zákonom stanovené požiadavky, takže bola v roku 2016 preradená do mikro účtovnej jednotky.</w:t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>
          <w:rFonts w:eastAsia="Calibri" w:cs="Calibri" w:ascii="Calibri" w:hAnsi="Calibri"/>
          <w:sz w:val="24"/>
          <w:szCs w:val="24"/>
        </w:rPr>
        <w:t xml:space="preserve">2) Dátum schválenia účtovnej závierky za bezprostredne predchádzajúce účtovné obdobie príslušným orgánom účtovnej jednotky: </w:t>
      </w:r>
      <w:r>
        <w:rPr>
          <w:rFonts w:eastAsia="Calibri" w:cs="Calibri" w:ascii="Calibri" w:hAnsi="Calibri"/>
          <w:sz w:val="24"/>
          <w:szCs w:val="24"/>
        </w:rPr>
        <w:t>8</w:t>
      </w:r>
      <w:r>
        <w:rPr>
          <w:rFonts w:eastAsia="Calibri" w:cs="Calibri" w:ascii="Calibri" w:hAnsi="Calibri"/>
          <w:sz w:val="24"/>
          <w:szCs w:val="24"/>
        </w:rPr>
        <w:t>.3.2017</w:t>
      </w:r>
    </w:p>
    <w:p>
      <w:pPr>
        <w:pStyle w:val="Normal"/>
        <w:spacing w:lineRule="auto" w:line="240" w:before="0" w:after="120"/>
        <w:jc w:val="both"/>
        <w:rPr/>
      </w:pPr>
      <w:r>
        <w:rPr>
          <w:rFonts w:eastAsia="Calibri" w:cs="Calibri" w:ascii="Calibri" w:hAnsi="Calibri"/>
          <w:sz w:val="24"/>
          <w:szCs w:val="24"/>
        </w:rPr>
        <w:t xml:space="preserve"> </w:t>
      </w:r>
    </w:p>
    <w:p>
      <w:pPr>
        <w:pStyle w:val="Normal"/>
        <w:widowControl w:val="false"/>
        <w:spacing w:lineRule="auto" w:line="240"/>
        <w:rPr/>
      </w:pPr>
      <w:r>
        <w:rPr>
          <w:rFonts w:eastAsia="Calibri" w:cs="Calibri" w:ascii="Calibri" w:hAnsi="Calibri"/>
          <w:sz w:val="24"/>
          <w:szCs w:val="24"/>
        </w:rPr>
        <w:t>3) Právny dôvod na zostavenie účtovnej závierky: Účtovná závierka Spoločnosti k 31.12.2016je zostavená ako riadna účtovná závierka podľa §17 ods. 6 Zákona č. 431/2002 Z.z. o účtovníctve za účtovné obdobie od 01. januára 2016 do 31. decembra 2016</w:t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>
          <w:rFonts w:eastAsia="Calibri" w:cs="Calibri" w:ascii="Calibri" w:hAnsi="Calibri"/>
          <w:sz w:val="24"/>
          <w:szCs w:val="24"/>
        </w:rPr>
        <w:t>4) ÚJ nie je v skupine účtovných jednotiek</w:t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 w:before="0" w:after="120"/>
        <w:jc w:val="both"/>
        <w:rPr/>
      </w:pPr>
      <w:r>
        <w:rPr>
          <w:rFonts w:eastAsia="Calibri" w:cs="Calibri" w:ascii="Calibri" w:hAnsi="Calibri"/>
          <w:sz w:val="24"/>
          <w:szCs w:val="24"/>
        </w:rPr>
        <w:t>5) Priemerný prepočítaný počet zamestnancov účtovnej jednotky:</w:t>
      </w:r>
    </w:p>
    <w:tbl>
      <w:tblPr>
        <w:tblStyle w:val="a0"/>
        <w:tblW w:w="9747" w:type="dxa"/>
        <w:jc w:val="left"/>
        <w:tblInd w:w="-119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top w:w="0" w:type="dxa"/>
          <w:left w:w="9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854"/>
        <w:gridCol w:w="2523"/>
        <w:gridCol w:w="2370"/>
      </w:tblGrid>
      <w:tr>
        <w:trPr>
          <w:trHeight w:val="520" w:hRule="atLeast"/>
        </w:trPr>
        <w:tc>
          <w:tcPr>
            <w:tcW w:w="485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/>
              <w:ind w:right="459" w:hanging="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Názov položky</w:t>
            </w:r>
          </w:p>
        </w:tc>
        <w:tc>
          <w:tcPr>
            <w:tcW w:w="25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37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Bezprostredne predchádzajúce účtovné obdobie</w:t>
            </w:r>
          </w:p>
        </w:tc>
      </w:tr>
      <w:tr>
        <w:trPr>
          <w:trHeight w:val="160" w:hRule="atLeast"/>
        </w:trPr>
        <w:tc>
          <w:tcPr>
            <w:tcW w:w="485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Priemerný prepočítaný počet počas účtovného obdobia</w:t>
            </w:r>
          </w:p>
        </w:tc>
        <w:tc>
          <w:tcPr>
            <w:tcW w:w="25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2</w:t>
            </w:r>
          </w:p>
        </w:tc>
        <w:tc>
          <w:tcPr>
            <w:tcW w:w="237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2</w:t>
            </w:r>
          </w:p>
        </w:tc>
      </w:tr>
    </w:tbl>
    <w:p>
      <w:pPr>
        <w:pStyle w:val="Normal"/>
        <w:spacing w:lineRule="auto" w:line="240"/>
        <w:ind w:left="928"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center"/>
        <w:rPr/>
      </w:pPr>
      <w:r>
        <w:rPr>
          <w:rFonts w:eastAsia="Calibri" w:cs="Calibri" w:ascii="Calibri" w:hAnsi="Calibri"/>
          <w:b/>
          <w:sz w:val="24"/>
          <w:szCs w:val="24"/>
        </w:rPr>
        <w:t>Článok II – INFORMÁCIE O ORGÁNOCH SPOLOČNOSTI</w:t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 w:before="0" w:after="120"/>
        <w:jc w:val="both"/>
        <w:rPr/>
      </w:pPr>
      <w:r>
        <w:rPr>
          <w:rFonts w:eastAsia="Calibri" w:cs="Calibri" w:ascii="Calibri" w:hAnsi="Calibri"/>
          <w:b/>
          <w:sz w:val="24"/>
          <w:szCs w:val="24"/>
        </w:rPr>
        <w:t>Informácie o orgánoch účtovnej jednotky</w:t>
      </w:r>
      <w:r>
        <w:rPr>
          <w:rFonts w:eastAsia="Calibri" w:cs="Calibri" w:ascii="Calibri" w:hAnsi="Calibri"/>
          <w:sz w:val="24"/>
          <w:szCs w:val="24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</w:t>
      </w:r>
    </w:p>
    <w:tbl>
      <w:tblPr>
        <w:tblStyle w:val="a1"/>
        <w:tblW w:w="9817" w:type="dxa"/>
        <w:jc w:val="center"/>
        <w:tblInd w:w="0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top w:w="0" w:type="dxa"/>
          <w:left w:w="9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969"/>
        <w:gridCol w:w="2488"/>
        <w:gridCol w:w="2360"/>
      </w:tblGrid>
      <w:tr>
        <w:trPr>
          <w:trHeight w:val="860" w:hRule="atLeast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Orgány účtovnej jednotky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Bezprostredne predchádzajúce účtovné obdobie</w:t>
            </w:r>
          </w:p>
        </w:tc>
      </w:tr>
      <w:tr>
        <w:trPr>
          <w:trHeight w:val="240" w:hRule="atLeast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Štatutárny orgán/Spoločník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MUDr.</w:t>
            </w:r>
            <w:r>
              <w:rPr>
                <w:rFonts w:eastAsia="Calibri" w:cs="Calibri" w:ascii="Calibri" w:hAnsi="Calibri"/>
                <w:sz w:val="24"/>
                <w:szCs w:val="24"/>
              </w:rPr>
              <w:t>Cesnek Miloslav</w:t>
            </w: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MUDr.</w:t>
            </w:r>
            <w:r>
              <w:rPr>
                <w:rFonts w:eastAsia="Calibri" w:cs="Calibri" w:ascii="Calibri" w:hAnsi="Calibri"/>
                <w:sz w:val="24"/>
                <w:szCs w:val="24"/>
              </w:rPr>
              <w:t>Cesnek Miloslav</w:t>
            </w:r>
          </w:p>
        </w:tc>
      </w:tr>
      <w:tr>
        <w:trPr>
          <w:trHeight w:val="240" w:hRule="atLeast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numPr>
                <w:ilvl w:val="0"/>
                <w:numId w:val="3"/>
              </w:numPr>
              <w:spacing w:lineRule="auto" w:line="240"/>
              <w:ind w:left="720" w:hanging="360"/>
              <w:rPr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pôžička celkovo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</w:tr>
      <w:tr>
        <w:trPr>
          <w:trHeight w:val="140" w:hRule="atLeast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numPr>
                <w:ilvl w:val="0"/>
                <w:numId w:val="1"/>
              </w:numPr>
              <w:spacing w:lineRule="auto" w:line="240"/>
              <w:ind w:left="720" w:hanging="360"/>
              <w:rPr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druh príjmu (výhody):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 </w:t>
            </w:r>
          </w:p>
        </w:tc>
      </w:tr>
      <w:tr>
        <w:trPr>
          <w:trHeight w:val="160" w:hRule="atLeast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Spoločník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</w:tr>
      <w:tr>
        <w:trPr>
          <w:trHeight w:val="160" w:hRule="atLeast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numPr>
                <w:ilvl w:val="0"/>
                <w:numId w:val="1"/>
              </w:numPr>
              <w:spacing w:lineRule="auto" w:line="240"/>
              <w:ind w:left="720" w:hanging="360"/>
              <w:rPr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pôžička celkovo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</w:tr>
      <w:tr>
        <w:trPr>
          <w:trHeight w:val="160" w:hRule="atLeast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numPr>
                <w:ilvl w:val="0"/>
                <w:numId w:val="1"/>
              </w:numPr>
              <w:spacing w:lineRule="auto" w:line="240"/>
              <w:ind w:left="720" w:hanging="360"/>
              <w:rPr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druh príjmu (výhody):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</w:tr>
      <w:tr>
        <w:trPr>
          <w:trHeight w:val="160" w:hRule="atLeast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/>
              <w:ind w:left="720" w:hanging="0"/>
              <w:rPr/>
            </w:pPr>
            <w:r>
              <w:rPr/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</w:tr>
    </w:tbl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center"/>
        <w:rPr/>
      </w:pPr>
      <w:r>
        <w:rPr>
          <w:rFonts w:eastAsia="Calibri" w:cs="Calibri" w:ascii="Calibri" w:hAnsi="Calibri"/>
          <w:b/>
          <w:sz w:val="24"/>
          <w:szCs w:val="24"/>
        </w:rPr>
        <w:t>Článok III – INFORMÁCIE O PRIJATÝCH POSTUPOCH</w:t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1) Účtovná závierka je zostavená za splnenia predpokladu, že ÚJ bude nepretržite pokračovať vo svojej činnosti minimálne 12 mesiacov po závierkovom dni v zmysle § 7 ods. 4 zákona o účtovníctve.</w:t>
      </w:r>
    </w:p>
    <w:p>
      <w:pPr>
        <w:pStyle w:val="Normal"/>
        <w:spacing w:lineRule="auto" w:line="24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 xml:space="preserve"> </w:t>
      </w:r>
    </w:p>
    <w:p>
      <w:pPr>
        <w:pStyle w:val="Normal"/>
        <w:spacing w:lineRule="auto" w:line="24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2) Účtovné metódy vychádzajúce z interných smerníc spoločnosti a všeobecné účtovné zásady boli účtovnou jednotkou konzistentne aplikované</w:t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3) ÚJ neeviduje žiadne transakcie, ktoré sa neuvádzajú v súvahe.</w:t>
      </w:r>
    </w:p>
    <w:p>
      <w:pPr>
        <w:pStyle w:val="Normal"/>
        <w:spacing w:lineRule="auto" w:line="24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ab/>
        <w:tab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4) Spôsob a určenie oceňovania majetku a záväzkov (vrátane rozhodujúcich odhadov):</w:t>
      </w:r>
    </w:p>
    <w:p>
      <w:pPr>
        <w:pStyle w:val="Normal"/>
        <w:spacing w:lineRule="auto" w:line="24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a) Spôsob oceňovania majetku a záväzkov (§ 25 ZoU):</w:t>
      </w:r>
    </w:p>
    <w:p>
      <w:pPr>
        <w:pStyle w:val="Normal"/>
        <w:widowControl w:val="false"/>
        <w:tabs>
          <w:tab w:val="left" w:pos="808" w:leader="none"/>
        </w:tabs>
        <w:spacing w:lineRule="auto" w:line="240"/>
        <w:jc w:val="both"/>
        <w:rPr/>
      </w:pPr>
      <w:r>
        <w:rPr/>
      </w:r>
    </w:p>
    <w:tbl>
      <w:tblPr>
        <w:tblStyle w:val="a2"/>
        <w:tblW w:w="9606" w:type="dxa"/>
        <w:jc w:val="left"/>
        <w:tblInd w:w="-119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top w:w="0" w:type="dxa"/>
          <w:left w:w="9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706"/>
        <w:gridCol w:w="5300"/>
        <w:gridCol w:w="3600"/>
      </w:tblGrid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Spôsob oceňovania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Dlhodobý nehmotný majetok externe kúpený: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2.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Dlhodobý nehmotný majetok interne vytvorený: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Vlastné náklady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3.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Dlhodobý nehmotný majetok obstaraný inak (darom):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Reprodukčná 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5.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Dlhodobý hmotný majetok interne vytvorený: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Vlastné náklady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6.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Dlhodobý nehmotný majetok obstaraný inak (darom):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Reprodukčná 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7.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8.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Zásoby obstarané kúpou: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9.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Zásoby vytvorené vlastnou činnosťou: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Vlastné náklady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10.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Zásoby obstarané inak (darom):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Reprodukčná 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11.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ZV a zákazková výstavba nehnuteľnosti určenej na predaj: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Vlastné pohľadávky: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Kúpené pohľadávky: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Krátkodobý finančný majetok: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17.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Deriváty: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18.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 xml:space="preserve">Majetok a záväzky zabezpečené derivátmi: 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19.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20.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Splatná daň z príjmov a odložená daň z príjmov: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Menovitá hodnota</w:t>
            </w:r>
          </w:p>
        </w:tc>
      </w:tr>
    </w:tbl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 w:before="0" w:after="120"/>
        <w:jc w:val="both"/>
        <w:rPr/>
      </w:pPr>
      <w:r>
        <w:rPr>
          <w:rFonts w:eastAsia="Calibri" w:cs="Calibri" w:ascii="Calibri" w:hAnsi="Calibri"/>
          <w:sz w:val="24"/>
          <w:szCs w:val="24"/>
        </w:rPr>
        <w:t xml:space="preserve">b) Trvalé zníženie hodnoty majetku nebolo účtované. </w:t>
      </w:r>
    </w:p>
    <w:p>
      <w:pPr>
        <w:pStyle w:val="Normal"/>
        <w:spacing w:lineRule="auto" w:line="240" w:before="0" w:after="120"/>
        <w:jc w:val="both"/>
        <w:rPr/>
      </w:pPr>
      <w:r>
        <w:rPr/>
      </w:r>
    </w:p>
    <w:p>
      <w:pPr>
        <w:pStyle w:val="Normal"/>
        <w:spacing w:lineRule="auto" w:line="240" w:before="0" w:after="120"/>
        <w:jc w:val="both"/>
        <w:rPr/>
      </w:pPr>
      <w:r>
        <w:rPr>
          <w:rFonts w:eastAsia="Calibri" w:cs="Calibri" w:ascii="Calibri" w:hAnsi="Calibri"/>
          <w:sz w:val="24"/>
          <w:szCs w:val="24"/>
        </w:rPr>
        <w:t xml:space="preserve">c) Záväzky účtovná jednotka ocenila menovitou hodnotou záväzkov. </w:t>
      </w:r>
    </w:p>
    <w:p>
      <w:pPr>
        <w:pStyle w:val="Normal"/>
        <w:spacing w:lineRule="auto" w:line="240" w:before="0" w:after="120"/>
        <w:jc w:val="both"/>
        <w:rPr/>
      </w:pPr>
      <w:r>
        <w:rPr/>
      </w:r>
    </w:p>
    <w:p>
      <w:pPr>
        <w:pStyle w:val="Normal"/>
        <w:spacing w:lineRule="auto" w:line="240" w:before="0" w:after="120"/>
        <w:jc w:val="both"/>
        <w:rPr/>
      </w:pPr>
      <w:r>
        <w:rPr>
          <w:rFonts w:eastAsia="Calibri" w:cs="Calibri" w:ascii="Calibri" w:hAnsi="Calibri"/>
          <w:sz w:val="24"/>
          <w:szCs w:val="24"/>
        </w:rPr>
        <w:t>d) Účtovná jednotka nepoužila dobrovoľné oceňovanie obchodných podielov metódou vlastného imania (§ 27/9 ZoU).</w:t>
      </w:r>
    </w:p>
    <w:p>
      <w:pPr>
        <w:pStyle w:val="Normal"/>
        <w:keepNext/>
        <w:tabs>
          <w:tab w:val="left" w:pos="1005" w:leader="none"/>
        </w:tabs>
        <w:spacing w:lineRule="auto" w:line="240" w:before="0" w:after="120"/>
        <w:jc w:val="both"/>
        <w:rPr/>
      </w:pPr>
      <w:r>
        <w:rPr/>
      </w:r>
    </w:p>
    <w:p>
      <w:pPr>
        <w:pStyle w:val="Normal"/>
        <w:keepNext/>
        <w:tabs>
          <w:tab w:val="left" w:pos="1005" w:leader="none"/>
        </w:tabs>
        <w:spacing w:lineRule="auto" w:line="240" w:before="0" w:after="120"/>
        <w:jc w:val="both"/>
        <w:rPr/>
      </w:pPr>
      <w:r>
        <w:rPr>
          <w:rFonts w:eastAsia="Calibri" w:cs="Calibri" w:ascii="Calibri" w:hAnsi="Calibri"/>
          <w:sz w:val="24"/>
          <w:szCs w:val="24"/>
        </w:rPr>
        <w:t>f) Tvorba odpisového plánu pre dlhodobý majetok, pričom sa uvádza doba odpisovania, sadzby odpisov a odpisové metódy pre účtovné odpisy:</w:t>
      </w:r>
    </w:p>
    <w:tbl>
      <w:tblPr>
        <w:tblStyle w:val="a3"/>
        <w:tblW w:w="9606" w:type="dxa"/>
        <w:jc w:val="left"/>
        <w:tblInd w:w="-119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top w:w="0" w:type="dxa"/>
          <w:left w:w="9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217"/>
        <w:gridCol w:w="1014"/>
        <w:gridCol w:w="2107"/>
        <w:gridCol w:w="2267"/>
      </w:tblGrid>
      <w:tr>
        <w:trPr/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Dlhodobý hmotný a nehmotný</w:t>
            </w:r>
          </w:p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odpisovaný majetok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číslo</w:t>
            </w:r>
          </w:p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doba odpisovania</w:t>
            </w:r>
          </w:p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(počet rokov)</w:t>
            </w:r>
          </w:p>
        </w:tc>
        <w:tc>
          <w:tcPr>
            <w:tcW w:w="22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 xml:space="preserve">odpisová sadzba </w:t>
            </w:r>
          </w:p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(%)</w:t>
            </w:r>
          </w:p>
        </w:tc>
      </w:tr>
      <w:tr>
        <w:trPr/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Software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013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4</w:t>
            </w:r>
          </w:p>
        </w:tc>
        <w:tc>
          <w:tcPr>
            <w:tcW w:w="22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25</w:t>
            </w:r>
          </w:p>
        </w:tc>
      </w:tr>
      <w:tr>
        <w:trPr/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 xml:space="preserve">Ostatný DNM 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019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4</w:t>
            </w:r>
          </w:p>
        </w:tc>
        <w:tc>
          <w:tcPr>
            <w:tcW w:w="22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25</w:t>
            </w:r>
          </w:p>
        </w:tc>
      </w:tr>
      <w:tr>
        <w:trPr/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Stavby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021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20</w:t>
            </w:r>
          </w:p>
        </w:tc>
        <w:tc>
          <w:tcPr>
            <w:tcW w:w="22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5</w:t>
            </w:r>
          </w:p>
        </w:tc>
      </w:tr>
      <w:tr>
        <w:trPr/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Počítače s príslušenstvom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022.A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4</w:t>
            </w:r>
          </w:p>
        </w:tc>
        <w:tc>
          <w:tcPr>
            <w:tcW w:w="22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25</w:t>
            </w:r>
          </w:p>
        </w:tc>
      </w:tr>
      <w:tr>
        <w:trPr/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Dopravné prostriedky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4</w:t>
            </w:r>
          </w:p>
        </w:tc>
        <w:tc>
          <w:tcPr>
            <w:tcW w:w="22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25</w:t>
            </w:r>
          </w:p>
        </w:tc>
      </w:tr>
      <w:tr>
        <w:trPr/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Ostatné stroje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022.A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4</w:t>
            </w:r>
          </w:p>
        </w:tc>
        <w:tc>
          <w:tcPr>
            <w:tcW w:w="22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25</w:t>
            </w:r>
          </w:p>
        </w:tc>
      </w:tr>
      <w:tr>
        <w:trPr/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Ostatný dlhodobý hmotný majetok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4</w:t>
            </w:r>
          </w:p>
        </w:tc>
        <w:tc>
          <w:tcPr>
            <w:tcW w:w="22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25</w:t>
            </w:r>
          </w:p>
        </w:tc>
      </w:tr>
    </w:tbl>
    <w:p>
      <w:pPr>
        <w:pStyle w:val="Normal"/>
        <w:spacing w:lineRule="auto" w:line="240"/>
        <w:jc w:val="both"/>
        <w:rPr/>
      </w:pPr>
      <w:r>
        <w:rPr>
          <w:rFonts w:eastAsia="Calibri" w:cs="Calibri" w:ascii="Calibri" w:hAnsi="Calibri"/>
          <w:sz w:val="24"/>
          <w:szCs w:val="24"/>
        </w:rPr>
        <w:t xml:space="preserve"> </w:t>
      </w:r>
    </w:p>
    <w:p>
      <w:pPr>
        <w:pStyle w:val="Normal"/>
        <w:spacing w:lineRule="auto" w:line="240" w:before="0" w:after="120"/>
        <w:rPr/>
      </w:pPr>
      <w:r>
        <w:rPr>
          <w:rFonts w:eastAsia="Calibri" w:cs="Calibri" w:ascii="Calibri" w:hAnsi="Calibri"/>
          <w:sz w:val="24"/>
          <w:szCs w:val="24"/>
        </w:rPr>
        <w:t xml:space="preserve">Komentár k odpisovému plánu: </w:t>
      </w:r>
    </w:p>
    <w:p>
      <w:pPr>
        <w:pStyle w:val="Normal"/>
        <w:numPr>
          <w:ilvl w:val="0"/>
          <w:numId w:val="2"/>
        </w:numPr>
        <w:spacing w:lineRule="auto" w:line="240" w:before="0" w:after="120"/>
        <w:ind w:left="227" w:hanging="227"/>
        <w:jc w:val="both"/>
        <w:rPr>
          <w:sz w:val="24"/>
          <w:szCs w:val="24"/>
        </w:rPr>
      </w:pPr>
      <w:r>
        <w:rPr>
          <w:rFonts w:eastAsia="Calibri" w:cs="Calibri" w:ascii="Calibri" w:hAnsi="Calibri"/>
          <w:sz w:val="24"/>
          <w:szCs w:val="24"/>
        </w:rPr>
        <w:t>UJ používa účtovné odpisy nezávisle na daňových odpisoch. Majetok sa začína odpisovať v mesiaci, kedy bol zaradený do užívania. Účtovné odpisy vychádzajú z predpokladanej doby používania majetku. Dlhodobý nehmotný majetok sa odpisuje počas 4 rokov od jeho obstarania.</w:t>
      </w:r>
    </w:p>
    <w:p>
      <w:pPr>
        <w:pStyle w:val="Normal"/>
        <w:numPr>
          <w:ilvl w:val="0"/>
          <w:numId w:val="2"/>
        </w:numPr>
        <w:spacing w:lineRule="auto" w:line="240" w:before="0" w:after="120"/>
        <w:ind w:left="227" w:hanging="227"/>
        <w:jc w:val="both"/>
        <w:rPr>
          <w:sz w:val="24"/>
          <w:szCs w:val="24"/>
        </w:rPr>
      </w:pPr>
      <w:r>
        <w:rPr>
          <w:rFonts w:eastAsia="Calibri" w:cs="Calibri" w:ascii="Calibri" w:hAnsi="Calibri"/>
          <w:sz w:val="24"/>
          <w:szCs w:val="24"/>
        </w:rPr>
        <w:t>UJ používa rovnomerné odpisovanie dlhodobého hmotného majetku a dlhodobého nehmotného majetku. Podrobný účtovný odpisový plán po položkách sa vedie v podsystéme Majetok (taktiež daňové odpisy podľa zákona o dani z príjmov).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ind w:left="227" w:hanging="227"/>
        <w:jc w:val="both"/>
        <w:rPr>
          <w:sz w:val="24"/>
          <w:szCs w:val="24"/>
        </w:rPr>
      </w:pPr>
      <w:r>
        <w:rPr>
          <w:rFonts w:eastAsia="Calibri" w:cs="Calibri" w:ascii="Calibri" w:hAnsi="Calibri"/>
          <w:sz w:val="24"/>
          <w:szCs w:val="24"/>
        </w:rPr>
        <w:t>UJ odpisuje jednotlivé veci alebo relevantné súbory hnuteľných vecí (napr. počítačová sieť, nábytková zostava). UJ nepoužíva komponentné odpisovanie (odpisovanie častí majetku - komponentov).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ind w:left="227" w:hanging="227"/>
        <w:jc w:val="both"/>
        <w:rPr>
          <w:sz w:val="24"/>
          <w:szCs w:val="24"/>
        </w:rPr>
      </w:pPr>
      <w:r>
        <w:rPr>
          <w:rFonts w:eastAsia="Calibri" w:cs="Calibri" w:ascii="Calibri" w:hAnsi="Calibri"/>
          <w:sz w:val="24"/>
          <w:szCs w:val="24"/>
        </w:rPr>
        <w:t>UJ nepoužila jednorazový odpis</w:t>
      </w:r>
      <w:r>
        <w:rPr>
          <w:rFonts w:eastAsia="Calibri" w:cs="Calibri" w:ascii="Calibri" w:hAnsi="Calibri"/>
          <w:b/>
          <w:sz w:val="24"/>
          <w:szCs w:val="24"/>
        </w:rPr>
        <w:t xml:space="preserve"> </w:t>
      </w:r>
      <w:r>
        <w:rPr>
          <w:rFonts w:eastAsia="Calibri" w:cs="Calibri" w:ascii="Calibri" w:hAnsi="Calibri"/>
          <w:sz w:val="24"/>
          <w:szCs w:val="24"/>
        </w:rPr>
        <w:t>dlhodobého majetku z dôvodu jednorazového trvalého zníženia hodnoty majetku (§ 21/5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ind w:left="227" w:hanging="227"/>
        <w:jc w:val="both"/>
        <w:rPr>
          <w:sz w:val="24"/>
          <w:szCs w:val="24"/>
        </w:rPr>
      </w:pPr>
      <w:r>
        <w:rPr>
          <w:rFonts w:eastAsia="Calibri" w:cs="Calibri" w:ascii="Calibri" w:hAnsi="Calibri"/>
          <w:sz w:val="24"/>
          <w:szCs w:val="24"/>
        </w:rPr>
        <w:t>ÚJ nepoužíva kategóriu drobného dlhodobého nehmotného majetku - položky pod 2 400 eur jednotkovej ceny so životnosťou nad jeden rok (§ 13/2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ind w:left="227" w:hanging="227"/>
        <w:jc w:val="both"/>
        <w:rPr>
          <w:sz w:val="24"/>
          <w:szCs w:val="24"/>
        </w:rPr>
      </w:pPr>
      <w:r>
        <w:rPr>
          <w:rFonts w:eastAsia="Calibri" w:cs="Calibri" w:ascii="Calibri" w:hAnsi="Calibri"/>
          <w:sz w:val="24"/>
          <w:szCs w:val="24"/>
        </w:rPr>
        <w:t>ÚJ nepoužíva kategóriu drobného dlhodobého hmotného majetku - položky pod 1 700 eur jednotkovej ceny so životnosťou nad jeden rok (§ 13/6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ind w:left="227" w:hanging="227"/>
        <w:jc w:val="both"/>
        <w:rPr>
          <w:sz w:val="24"/>
          <w:szCs w:val="24"/>
        </w:rPr>
      </w:pPr>
      <w:r>
        <w:rPr>
          <w:rFonts w:eastAsia="Calibri" w:cs="Calibri" w:ascii="Calibri" w:hAnsi="Calibri"/>
          <w:sz w:val="24"/>
          <w:szCs w:val="24"/>
        </w:rPr>
        <w:t>ÚJ nepoužíva dobrovoľné účtovanie podlimitného technického zhodnotenia do odpisovaného dlhodobého majetku – technické zhodnotenie pod 1 700 eur za účtovné obdobie (§ 21/3 PU; § 29/2 ZDP).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ind w:left="360" w:hanging="360"/>
        <w:jc w:val="both"/>
        <w:rPr>
          <w:sz w:val="24"/>
          <w:szCs w:val="24"/>
        </w:rPr>
      </w:pPr>
      <w:r>
        <w:rPr>
          <w:rFonts w:eastAsia="Calibri" w:cs="Calibri" w:ascii="Calibri" w:hAnsi="Calibri"/>
          <w:sz w:val="24"/>
          <w:szCs w:val="24"/>
        </w:rPr>
        <w:t>ÚJ nepoužíva dobrovoľnú kapitalizáciu úrokov do obstarávacej ceny odpisovaného dlhodobého hmotného majetku alebo dlhodobého nehmotného majetku (§ 34/1 PU; § 35/2/h PU).</w:t>
      </w:r>
    </w:p>
    <w:p>
      <w:pPr>
        <w:pStyle w:val="Normal"/>
        <w:spacing w:lineRule="auto" w:line="240" w:before="0" w:after="120"/>
        <w:jc w:val="both"/>
        <w:rPr/>
      </w:pPr>
      <w:r>
        <w:rPr/>
      </w:r>
    </w:p>
    <w:p>
      <w:pPr>
        <w:pStyle w:val="Normal"/>
        <w:spacing w:lineRule="auto" w:line="240"/>
        <w:rPr/>
      </w:pPr>
      <w:r>
        <w:rPr>
          <w:rFonts w:eastAsia="Calibri" w:cs="Calibri" w:ascii="Calibri" w:hAnsi="Calibri"/>
          <w:sz w:val="24"/>
          <w:szCs w:val="24"/>
        </w:rPr>
        <w:t>g) ÚJ neboli v zdaňovacom období roku 2015 poskytnuté žiadne dotácie</w:t>
      </w:r>
    </w:p>
    <w:p>
      <w:pPr>
        <w:pStyle w:val="Normal"/>
        <w:keepNext/>
        <w:spacing w:lineRule="auto" w:line="240" w:before="0" w:after="120"/>
        <w:jc w:val="both"/>
        <w:rPr/>
      </w:pPr>
      <w:r>
        <w:rPr/>
      </w:r>
    </w:p>
    <w:p>
      <w:pPr>
        <w:pStyle w:val="Normal"/>
        <w:spacing w:lineRule="auto" w:line="240"/>
        <w:rPr/>
      </w:pPr>
      <w:r>
        <w:rPr>
          <w:rFonts w:eastAsia="Calibri" w:cs="Calibri" w:ascii="Calibri" w:hAnsi="Calibri"/>
          <w:sz w:val="24"/>
          <w:szCs w:val="24"/>
        </w:rPr>
        <w:t>5) ÚJ v zdaňovacom období roku 2015 nevykonala žiadne opravy významných chýb.</w:t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center"/>
        <w:rPr/>
      </w:pPr>
      <w:r>
        <w:rPr>
          <w:rFonts w:eastAsia="Calibri" w:cs="Calibri" w:ascii="Calibri" w:hAnsi="Calibri"/>
          <w:b/>
          <w:sz w:val="24"/>
          <w:szCs w:val="24"/>
        </w:rPr>
        <w:t>Článok IV – INFORMÁCIE, KTORÉ VYSVETĽUJÚ A DOPĹŇAJÚ SÚVAHU A VÝKAZ ZISKOV A STRÁT</w:t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1) ÚJ neeviduje žiadne položky nehmotného majetku.</w:t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2) ÚJ neeviduje žiadne položky významných derivátov, majetku a záväzkoch zabezpečených derivátmi.</w:t>
      </w:r>
    </w:p>
    <w:p>
      <w:pPr>
        <w:pStyle w:val="Normal"/>
        <w:spacing w:lineRule="auto" w:line="240" w:before="0" w:after="120"/>
        <w:jc w:val="both"/>
        <w:rPr/>
      </w:pPr>
      <w:r>
        <w:rPr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 xml:space="preserve">3a) ÚJ neeviduje žiadne položky zabezpečených záväzkov so zostatkovou dobou splatnosti dlhšou </w:t>
        <w:tab/>
        <w:tab/>
        <w:tab/>
        <w:tab/>
        <w:tab/>
        <w:t xml:space="preserve"> ako 5 rokov:  </w:t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/>
      </w:r>
    </w:p>
    <w:tbl>
      <w:tblPr>
        <w:tblStyle w:val="a4"/>
        <w:tblW w:w="9714" w:type="dxa"/>
        <w:jc w:val="center"/>
        <w:tblInd w:w="0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top w:w="0" w:type="dxa"/>
          <w:left w:w="9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785"/>
        <w:gridCol w:w="2551"/>
        <w:gridCol w:w="2378"/>
      </w:tblGrid>
      <w:tr>
        <w:trPr>
          <w:trHeight w:val="680" w:hRule="atLeast"/>
        </w:trPr>
        <w:tc>
          <w:tcPr>
            <w:tcW w:w="47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Názov položky</w:t>
            </w:r>
          </w:p>
        </w:tc>
        <w:tc>
          <w:tcPr>
            <w:tcW w:w="255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3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Bezprostredne predchádzajúce účtovné obdobie</w:t>
            </w:r>
          </w:p>
        </w:tc>
      </w:tr>
      <w:tr>
        <w:trPr>
          <w:trHeight w:val="200" w:hRule="atLeast"/>
        </w:trPr>
        <w:tc>
          <w:tcPr>
            <w:tcW w:w="47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Záväzky so zostatkovou dobou splatnosti nad 5 rokov</w:t>
            </w:r>
          </w:p>
        </w:tc>
        <w:tc>
          <w:tcPr>
            <w:tcW w:w="255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0</w:t>
            </w:r>
          </w:p>
        </w:tc>
        <w:tc>
          <w:tcPr>
            <w:tcW w:w="23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0</w:t>
            </w:r>
          </w:p>
        </w:tc>
      </w:tr>
    </w:tbl>
    <w:p>
      <w:pPr>
        <w:pStyle w:val="Normal"/>
        <w:spacing w:lineRule="auto" w:line="240" w:before="120" w:after="0"/>
        <w:ind w:right="0" w:hanging="0"/>
        <w:jc w:val="both"/>
        <w:rPr/>
      </w:pPr>
      <w:r>
        <w:rPr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3b) ÚJ neeviduje žiadne položky zabezpečených záväzkov.</w:t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4) ÚJ neeviduje žiadne vlastné akcie.</w:t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>
          <w:rFonts w:eastAsia="Calibri" w:cs="Calibri" w:ascii="Calibri" w:hAnsi="Calibri"/>
          <w:sz w:val="24"/>
          <w:szCs w:val="24"/>
        </w:rPr>
        <w:t>5) ÚJ neeviduje žiadne položky nákladov alebo výnosov, ktoré majú výnimočný rozsah alebo výskyt.</w:t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/>
      </w:r>
    </w:p>
    <w:p>
      <w:pPr>
        <w:pStyle w:val="Normal"/>
        <w:spacing w:lineRule="auto" w:line="240" w:before="0" w:after="120"/>
        <w:ind w:right="0" w:hanging="0"/>
        <w:jc w:val="center"/>
        <w:rPr/>
      </w:pPr>
      <w:r>
        <w:rPr>
          <w:rFonts w:eastAsia="Calibri" w:cs="Calibri" w:ascii="Calibri" w:hAnsi="Calibri"/>
          <w:b/>
          <w:sz w:val="24"/>
          <w:szCs w:val="24"/>
        </w:rPr>
        <w:t>Článok V – INFORMÁCIE O INÝCH AKTÍVACH A INÝCH PASÍVACH</w:t>
      </w:r>
    </w:p>
    <w:p>
      <w:pPr>
        <w:pStyle w:val="Normal"/>
        <w:spacing w:lineRule="auto" w:line="240" w:before="0" w:after="120"/>
        <w:ind w:right="0" w:hanging="0"/>
        <w:jc w:val="center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>
          <w:rFonts w:eastAsia="Calibri" w:cs="Calibri" w:ascii="Calibri" w:hAnsi="Calibri"/>
          <w:sz w:val="24"/>
          <w:szCs w:val="24"/>
        </w:rPr>
        <w:t>1a) ÚJ neeviduje žiadne položky podmieneného majetku.</w:t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>
          <w:rFonts w:eastAsia="Calibri" w:cs="Calibri" w:ascii="Calibri" w:hAnsi="Calibri"/>
          <w:sz w:val="24"/>
          <w:szCs w:val="24"/>
        </w:rPr>
        <w:t>1b) ÚJ neeviduje žiadne položky podmienených záväzkov.</w:t>
      </w:r>
    </w:p>
    <w:p>
      <w:pPr>
        <w:pStyle w:val="Normal"/>
        <w:spacing w:lineRule="auto" w:line="240" w:before="0" w:after="12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>
          <w:rFonts w:eastAsia="Calibri" w:cs="Calibri" w:ascii="Calibri" w:hAnsi="Calibri"/>
          <w:sz w:val="24"/>
          <w:szCs w:val="24"/>
        </w:rPr>
        <w:t>2) ÚJ neeviduje žiadne ostatné finančné povinnosti, ktoré a nevykazujú v účtovných výkazoch.</w:t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 w:before="0" w:after="120"/>
        <w:jc w:val="both"/>
        <w:rPr/>
      </w:pPr>
      <w:r>
        <w:rPr>
          <w:rFonts w:eastAsia="Calibri" w:cs="Calibri" w:ascii="Calibri" w:hAnsi="Calibri"/>
          <w:sz w:val="24"/>
          <w:szCs w:val="24"/>
        </w:rPr>
        <w:t>3 V účtovníctve ÚJ sa nenachádzajú žiadne položky evidované na podsúvahových účtoch.</w:t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center"/>
        <w:rPr/>
      </w:pPr>
      <w:r>
        <w:rPr/>
      </w:r>
    </w:p>
    <w:p>
      <w:pPr>
        <w:pStyle w:val="Normal"/>
        <w:spacing w:lineRule="auto" w:line="240"/>
        <w:ind w:right="0" w:hanging="0"/>
        <w:jc w:val="center"/>
        <w:rPr/>
      </w:pPr>
      <w:r>
        <w:rPr>
          <w:rFonts w:eastAsia="Calibri" w:cs="Calibri" w:ascii="Calibri" w:hAnsi="Calibri"/>
          <w:b/>
          <w:sz w:val="24"/>
          <w:szCs w:val="24"/>
        </w:rPr>
        <w:t>Článok VI – UDALOSTI, KTORÉ NASTALI PO ZÁVIERKOVOM DNI</w:t>
      </w:r>
    </w:p>
    <w:p>
      <w:pPr>
        <w:pStyle w:val="Normal"/>
        <w:spacing w:lineRule="auto" w:line="240"/>
        <w:ind w:right="0" w:hanging="0"/>
        <w:jc w:val="center"/>
        <w:rPr/>
      </w:pPr>
      <w:r>
        <w:rPr>
          <w:rFonts w:eastAsia="Calibri" w:cs="Calibri" w:ascii="Calibri" w:hAnsi="Calibri"/>
          <w:b/>
          <w:sz w:val="24"/>
          <w:szCs w:val="24"/>
        </w:rPr>
        <w:t>(Následné udalosti)</w:t>
      </w:r>
    </w:p>
    <w:p>
      <w:pPr>
        <w:pStyle w:val="Normal"/>
        <w:spacing w:lineRule="auto" w:line="240"/>
        <w:ind w:right="0" w:hanging="0"/>
        <w:jc w:val="center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>
          <w:rFonts w:eastAsia="Calibri" w:cs="Calibri" w:ascii="Calibri" w:hAnsi="Calibri"/>
          <w:sz w:val="24"/>
          <w:szCs w:val="24"/>
        </w:rPr>
        <w:t>ÚJ neeviduje žiadne udalosti, ktoré nastali po závierkovom dni.</w:t>
      </w:r>
    </w:p>
    <w:p>
      <w:pPr>
        <w:pStyle w:val="Normal"/>
        <w:spacing w:lineRule="auto" w:line="240"/>
        <w:ind w:right="0" w:hanging="0"/>
        <w:jc w:val="center"/>
        <w:rPr/>
      </w:pPr>
      <w:r>
        <w:rPr/>
      </w:r>
    </w:p>
    <w:p>
      <w:pPr>
        <w:pStyle w:val="Normal"/>
        <w:spacing w:lineRule="auto" w:line="240"/>
        <w:ind w:right="0" w:hanging="0"/>
        <w:jc w:val="center"/>
        <w:rPr/>
      </w:pPr>
      <w:r>
        <w:rPr/>
      </w:r>
    </w:p>
    <w:p>
      <w:pPr>
        <w:pStyle w:val="Normal"/>
        <w:spacing w:lineRule="auto" w:line="240"/>
        <w:ind w:right="0" w:hanging="0"/>
        <w:jc w:val="center"/>
        <w:rPr/>
      </w:pPr>
      <w:r>
        <w:rPr>
          <w:rFonts w:eastAsia="Calibri" w:cs="Calibri" w:ascii="Calibri" w:hAnsi="Calibri"/>
          <w:b/>
          <w:sz w:val="24"/>
          <w:szCs w:val="24"/>
        </w:rPr>
        <w:t>Článok VII – OSTATNÉ INFORMÁCIE</w:t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1) ÚJ nemá žiadne právo poskytovať služby vo verejnom záujme.</w:t>
        <w:tab/>
        <w:tab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2) ÚJ nemá žiadnu priemyselnú výrobu. (§ 23d/6 ZoU)</w:t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ab/>
        <w:tab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3) ÚJ nemá žiadne finančné vzťahy s orgánmi verejnej moci. (§ 23d/6 ZoU)</w:t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/>
      </w:r>
    </w:p>
    <w:p>
      <w:pPr>
        <w:pStyle w:val="Normal"/>
        <w:spacing w:lineRule="auto" w:line="240" w:before="0" w:after="120"/>
        <w:rPr/>
      </w:pPr>
      <w:r>
        <w:rPr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ab/>
        <w:tab/>
      </w:r>
    </w:p>
    <w:sectPr>
      <w:headerReference w:type="default" r:id="rId2"/>
      <w:footerReference w:type="default" r:id="rId3"/>
      <w:type w:val="nextPage"/>
      <w:pgSz w:w="11906" w:h="16838"/>
      <w:pgMar w:left="1417" w:right="992" w:header="708" w:top="1417" w:footer="708" w:bottom="1417" w:gutter="0"/>
      <w:pgNumType w:start="1" w:fmt="decimal"/>
      <w:formProt w:val="false"/>
      <w:textDirection w:val="lrTb"/>
      <w:docGrid w:type="default" w:linePitch="240" w:charSpace="4294965247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Arial"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Georgia">
    <w:charset w:val="ee"/>
    <w:family w:val="roman"/>
    <w:pitch w:val="variable"/>
  </w:font>
  <w:font w:name="Calibri">
    <w:charset w:val="ee"/>
    <w:family w:val="roman"/>
    <w:pitch w:val="variable"/>
  </w:font>
  <w:font w:name="Arial">
    <w:charset w:val="01"/>
    <w:family w:val="swiss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tabs>
        <w:tab w:val="center" w:pos="4536" w:leader="none"/>
        <w:tab w:val="right" w:pos="9072" w:leader="none"/>
      </w:tabs>
      <w:spacing w:lineRule="auto" w:line="240"/>
      <w:jc w:val="right"/>
      <w:rPr/>
    </w:pPr>
    <w:r>
      <w:rPr/>
      <w:fldChar w:fldCharType="begin"/>
    </w:r>
    <w:r>
      <w:instrText> PAGE </w:instrText>
    </w:r>
    <w:r>
      <w:fldChar w:fldCharType="separate"/>
    </w:r>
    <w:r>
      <w:t>6</w:t>
    </w:r>
    <w:r>
      <w:fldChar w:fldCharType="end"/>
    </w:r>
  </w:p>
  <w:p>
    <w:pPr>
      <w:pStyle w:val="Normal"/>
      <w:tabs>
        <w:tab w:val="center" w:pos="4536" w:leader="none"/>
        <w:tab w:val="right" w:pos="9072" w:leader="none"/>
      </w:tabs>
      <w:spacing w:lineRule="auto" w:line="240" w:before="0" w:after="567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widowControl w:val="false"/>
      <w:tabs>
        <w:tab w:val="left" w:pos="2990" w:leader="none"/>
        <w:tab w:val="left" w:pos="6348" w:leader="none"/>
      </w:tabs>
      <w:spacing w:lineRule="auto" w:line="240" w:before="567" w:after="0"/>
      <w:ind w:left="0" w:hanging="0"/>
      <w:jc w:val="center"/>
      <w:rPr/>
    </w:pPr>
    <w:r>
      <w:rPr/>
      <w:t xml:space="preserve"> </w:t>
    </w:r>
    <w:r>
      <w:rPr/>
      <w:t xml:space="preserve">Poznámky Úč POD 3 – 01          </w:t>
    </w:r>
    <w:r>
      <w:rPr>
        <w:color w:val="707070"/>
        <w:sz w:val="18"/>
        <w:szCs w:val="18"/>
        <w:highlight w:val="white"/>
      </w:rPr>
      <w:tab/>
    </w:r>
    <w:r>
      <w:rPr/>
      <w:t xml:space="preserve">                 IČO: </w:t>
    </w:r>
    <w:r>
      <w:rPr/>
      <w:t>3686118</w:t>
    </w:r>
  </w:p>
  <w:p>
    <w:pPr>
      <w:pStyle w:val="Normal"/>
      <w:widowControl w:val="false"/>
      <w:tabs>
        <w:tab w:val="left" w:pos="2990" w:leader="none"/>
        <w:tab w:val="left" w:pos="6348" w:leader="none"/>
      </w:tabs>
      <w:spacing w:lineRule="auto" w:line="240" w:before="567" w:after="0"/>
      <w:ind w:left="0" w:hanging="0"/>
      <w:jc w:val="center"/>
      <w:rPr/>
    </w:pPr>
    <w:r>
      <w:rPr/>
      <w:t xml:space="preserve"> </w:t>
    </w:r>
    <w:r>
      <w:rPr/>
      <w:t xml:space="preserve">DIČ: </w:t>
    </w:r>
    <w:r>
      <w:rPr/>
      <w:t>2022754855</w:t>
      <w:tab/>
    </w:r>
    <w:r>
      <w:rPr/>
      <w:tab/>
    </w:r>
  </w:p>
  <w:p>
    <w:pPr>
      <w:pStyle w:val="Normal"/>
      <w:tabs>
        <w:tab w:val="center" w:pos="4703" w:leader="none"/>
        <w:tab w:val="right" w:pos="9406" w:leader="none"/>
      </w:tabs>
      <w:spacing w:lineRule="auto" w:line="240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6"/>
      <w:numFmt w:val="bullet"/>
      <w:lvlText w:val="-"/>
      <w:lvlJc w:val="left"/>
      <w:pPr>
        <w:ind w:left="72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1">
      <w:start w:val="1"/>
      <w:numFmt w:val="bullet"/>
      <w:lvlText w:val="o"/>
      <w:lvlJc w:val="left"/>
      <w:pPr>
        <w:ind w:left="144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2">
      <w:start w:val="1"/>
      <w:numFmt w:val="bullet"/>
      <w:lvlText w:val="▪"/>
      <w:lvlJc w:val="left"/>
      <w:pPr>
        <w:ind w:left="216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3">
      <w:start w:val="1"/>
      <w:numFmt w:val="bullet"/>
      <w:lvlText w:val="●"/>
      <w:lvlJc w:val="left"/>
      <w:pPr>
        <w:ind w:left="288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4">
      <w:start w:val="1"/>
      <w:numFmt w:val="bullet"/>
      <w:lvlText w:val="o"/>
      <w:lvlJc w:val="left"/>
      <w:pPr>
        <w:ind w:left="360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5">
      <w:start w:val="1"/>
      <w:numFmt w:val="bullet"/>
      <w:lvlText w:val="▪"/>
      <w:lvlJc w:val="left"/>
      <w:pPr>
        <w:ind w:left="432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6">
      <w:start w:val="1"/>
      <w:numFmt w:val="bullet"/>
      <w:lvlText w:val="●"/>
      <w:lvlJc w:val="left"/>
      <w:pPr>
        <w:ind w:left="504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7">
      <w:start w:val="1"/>
      <w:numFmt w:val="bullet"/>
      <w:lvlText w:val="o"/>
      <w:lvlJc w:val="left"/>
      <w:pPr>
        <w:ind w:left="576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8">
      <w:start w:val="1"/>
      <w:numFmt w:val="bullet"/>
      <w:lvlText w:val="▪"/>
      <w:lvlJc w:val="left"/>
      <w:pPr>
        <w:ind w:left="648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</w:abstractNum>
  <w:abstractNum w:abstractNumId="2">
    <w:lvl w:ilvl="0">
      <w:start w:val="1"/>
      <w:numFmt w:val="bullet"/>
      <w:lvlText w:val="➢"/>
      <w:lvlJc w:val="left"/>
      <w:pPr>
        <w:ind w:left="36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1">
      <w:start w:val="1"/>
      <w:numFmt w:val="bullet"/>
      <w:lvlText w:val="o"/>
      <w:lvlJc w:val="left"/>
      <w:pPr>
        <w:ind w:left="108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2">
      <w:start w:val="1"/>
      <w:numFmt w:val="bullet"/>
      <w:lvlText w:val="▪"/>
      <w:lvlJc w:val="left"/>
      <w:pPr>
        <w:ind w:left="180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3">
      <w:start w:val="1"/>
      <w:numFmt w:val="bullet"/>
      <w:lvlText w:val="●"/>
      <w:lvlJc w:val="left"/>
      <w:pPr>
        <w:ind w:left="252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4">
      <w:start w:val="1"/>
      <w:numFmt w:val="bullet"/>
      <w:lvlText w:val="o"/>
      <w:lvlJc w:val="left"/>
      <w:pPr>
        <w:ind w:left="324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5">
      <w:start w:val="1"/>
      <w:numFmt w:val="bullet"/>
      <w:lvlText w:val="▪"/>
      <w:lvlJc w:val="left"/>
      <w:pPr>
        <w:ind w:left="396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6">
      <w:start w:val="1"/>
      <w:numFmt w:val="bullet"/>
      <w:lvlText w:val="●"/>
      <w:lvlJc w:val="left"/>
      <w:pPr>
        <w:ind w:left="468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7">
      <w:start w:val="1"/>
      <w:numFmt w:val="bullet"/>
      <w:lvlText w:val="o"/>
      <w:lvlJc w:val="left"/>
      <w:pPr>
        <w:ind w:left="540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8">
      <w:start w:val="1"/>
      <w:numFmt w:val="bullet"/>
      <w:lvlText w:val="▪"/>
      <w:lvlJc w:val="left"/>
      <w:pPr>
        <w:ind w:left="612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</w:abstractNum>
  <w:abstractNum w:abstractNumId="3">
    <w:lvl w:ilvl="0">
      <w:start w:val="1"/>
      <w:numFmt w:val="bullet"/>
      <w:lvlText w:val="-"/>
      <w:lvlJc w:val="left"/>
      <w:pPr>
        <w:ind w:left="72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1">
      <w:start w:val="1"/>
      <w:numFmt w:val="bullet"/>
      <w:lvlText w:val="o"/>
      <w:lvlJc w:val="left"/>
      <w:pPr>
        <w:ind w:left="144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2">
      <w:start w:val="1"/>
      <w:numFmt w:val="bullet"/>
      <w:lvlText w:val="▪"/>
      <w:lvlJc w:val="left"/>
      <w:pPr>
        <w:ind w:left="216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3">
      <w:start w:val="1"/>
      <w:numFmt w:val="bullet"/>
      <w:lvlText w:val="●"/>
      <w:lvlJc w:val="left"/>
      <w:pPr>
        <w:ind w:left="288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4">
      <w:start w:val="1"/>
      <w:numFmt w:val="bullet"/>
      <w:lvlText w:val="o"/>
      <w:lvlJc w:val="left"/>
      <w:pPr>
        <w:ind w:left="360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5">
      <w:start w:val="1"/>
      <w:numFmt w:val="bullet"/>
      <w:lvlText w:val="▪"/>
      <w:lvlJc w:val="left"/>
      <w:pPr>
        <w:ind w:left="432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6">
      <w:start w:val="1"/>
      <w:numFmt w:val="bullet"/>
      <w:lvlText w:val="●"/>
      <w:lvlJc w:val="left"/>
      <w:pPr>
        <w:ind w:left="504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7">
      <w:start w:val="1"/>
      <w:numFmt w:val="bullet"/>
      <w:lvlText w:val="o"/>
      <w:lvlJc w:val="left"/>
      <w:pPr>
        <w:ind w:left="576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8">
      <w:start w:val="1"/>
      <w:numFmt w:val="bullet"/>
      <w:lvlText w:val="▪"/>
      <w:lvlJc w:val="left"/>
      <w:pPr>
        <w:ind w:left="648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</w:abstractNum>
  <w:abstractNum w:abstractNumId="4"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</w:numbering>
</file>

<file path=word/settings.xml><?xml version="1.0" encoding="utf-8"?>
<w:settings xmlns:w="http://schemas.openxmlformats.org/wordprocessingml/2006/main">
  <w:zoom w:percent="100"/>
  <w:displayBackgroundShape/>
  <w:defaultTabStop w:val="720"/>
  <w:compat>
    <w:compatSetting w:name="compatibilityMode" w:uri="http://schemas.microsoft.com/office/word" w:val="14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Arial" w:hAnsi="Arial" w:eastAsia="Arial" w:cs="Arial"/>
        <w:color w:val="000000"/>
        <w:szCs w:val="22"/>
        <w:lang w:val="sk-SK" w:eastAsia="sk-SK" w:bidi="ar-SA"/>
      </w:rPr>
    </w:rPrDefault>
    <w:pPrDefault>
      <w:pPr>
        <w:spacing w:lineRule="auto" w:line="276"/>
      </w:pPr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pPr>
      <w:widowControl/>
      <w:bidi w:val="0"/>
      <w:spacing w:lineRule="auto" w:line="276"/>
      <w:jc w:val="left"/>
    </w:pPr>
    <w:rPr>
      <w:rFonts w:ascii="Arial" w:hAnsi="Arial" w:eastAsia="Arial" w:cs="Arial"/>
      <w:color w:val="000000"/>
      <w:sz w:val="22"/>
      <w:szCs w:val="22"/>
      <w:lang w:val="sk-SK" w:eastAsia="sk-SK" w:bidi="ar-SA"/>
    </w:rPr>
  </w:style>
  <w:style w:type="paragraph" w:styleId="Nadpis1">
    <w:name w:val="Nadpis 1"/>
    <w:basedOn w:val="Normal"/>
    <w:pPr>
      <w:keepNext/>
      <w:keepLines/>
      <w:spacing w:before="480" w:after="120"/>
      <w:contextualSpacing/>
      <w:outlineLvl w:val="0"/>
    </w:pPr>
    <w:rPr>
      <w:b/>
      <w:sz w:val="48"/>
      <w:szCs w:val="48"/>
    </w:rPr>
  </w:style>
  <w:style w:type="paragraph" w:styleId="Nadpis2">
    <w:name w:val="Nadpis 2"/>
    <w:basedOn w:val="Normal"/>
    <w:pPr>
      <w:keepNext/>
      <w:keepLines/>
      <w:spacing w:before="360" w:after="80"/>
      <w:contextualSpacing/>
      <w:outlineLvl w:val="1"/>
    </w:pPr>
    <w:rPr>
      <w:b/>
      <w:sz w:val="36"/>
      <w:szCs w:val="36"/>
    </w:rPr>
  </w:style>
  <w:style w:type="paragraph" w:styleId="Nadpis3">
    <w:name w:val="Nadpis 3"/>
    <w:basedOn w:val="Normal"/>
    <w:pPr>
      <w:keepNext/>
      <w:keepLines/>
      <w:spacing w:before="280" w:after="80"/>
      <w:contextualSpacing/>
      <w:outlineLvl w:val="2"/>
    </w:pPr>
    <w:rPr>
      <w:b/>
      <w:sz w:val="28"/>
      <w:szCs w:val="28"/>
    </w:rPr>
  </w:style>
  <w:style w:type="paragraph" w:styleId="Nadpis4">
    <w:name w:val="Nadpis 4"/>
    <w:basedOn w:val="Normal"/>
    <w:pPr>
      <w:keepNext/>
      <w:keepLines/>
      <w:spacing w:before="240" w:after="40"/>
      <w:contextualSpacing/>
      <w:outlineLvl w:val="3"/>
    </w:pPr>
    <w:rPr>
      <w:b/>
      <w:sz w:val="24"/>
      <w:szCs w:val="24"/>
    </w:rPr>
  </w:style>
  <w:style w:type="paragraph" w:styleId="Nadpis5">
    <w:name w:val="Nadpis 5"/>
    <w:basedOn w:val="Normal"/>
    <w:pPr>
      <w:keepNext/>
      <w:keepLines/>
      <w:spacing w:before="220" w:after="40"/>
      <w:contextualSpacing/>
      <w:outlineLvl w:val="4"/>
    </w:pPr>
    <w:rPr>
      <w:b/>
    </w:rPr>
  </w:style>
  <w:style w:type="paragraph" w:styleId="Nadpis6">
    <w:name w:val="Nadpis 6"/>
    <w:basedOn w:val="Normal"/>
    <w:pPr>
      <w:keepNext/>
      <w:keepLines/>
      <w:spacing w:before="200" w:after="40"/>
      <w:contextualSpacing/>
      <w:outlineLvl w:val="5"/>
    </w:pPr>
    <w:rPr>
      <w:b/>
      <w:sz w:val="20"/>
      <w:szCs w:val="20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ListLabel1">
    <w:name w:val="ListLabel 1"/>
    <w:qFormat/>
    <w:rPr>
      <w:rFonts w:eastAsia="Arial" w:cs="Arial"/>
      <w:position w:val="0"/>
      <w:sz w:val="24"/>
      <w:sz w:val="24"/>
      <w:vertAlign w:val="baseline"/>
    </w:rPr>
  </w:style>
  <w:style w:type="character" w:styleId="ListLabel2">
    <w:name w:val="ListLabel 2"/>
    <w:qFormat/>
    <w:rPr>
      <w:rFonts w:cs="Arial"/>
      <w:position w:val="0"/>
      <w:sz w:val="24"/>
      <w:sz w:val="24"/>
      <w:vertAlign w:val="baseline"/>
    </w:rPr>
  </w:style>
  <w:style w:type="character" w:styleId="ListLabel3">
    <w:name w:val="ListLabel 3"/>
    <w:qFormat/>
    <w:rPr>
      <w:rFonts w:cs="Arial"/>
      <w:position w:val="0"/>
      <w:sz w:val="24"/>
      <w:sz w:val="24"/>
      <w:vertAlign w:val="baseline"/>
    </w:rPr>
  </w:style>
  <w:style w:type="paragraph" w:styleId="Nadpis">
    <w:name w:val="Nadpis"/>
    <w:basedOn w:val="Normal"/>
    <w:next w:val="Telotextu"/>
    <w:qFormat/>
    <w:pPr>
      <w:keepNext/>
      <w:spacing w:before="240" w:after="120"/>
    </w:pPr>
    <w:rPr>
      <w:rFonts w:ascii="Liberation Sans" w:hAnsi="Liberation Sans" w:eastAsia="Arial Unicode MS" w:cs="Mangal"/>
      <w:sz w:val="28"/>
      <w:szCs w:val="28"/>
    </w:rPr>
  </w:style>
  <w:style w:type="paragraph" w:styleId="Telotextu">
    <w:name w:val="Telo textu"/>
    <w:basedOn w:val="Normal"/>
    <w:pPr>
      <w:spacing w:lineRule="auto" w:line="288" w:before="0" w:after="140"/>
    </w:pPr>
    <w:rPr/>
  </w:style>
  <w:style w:type="paragraph" w:styleId="Zoznam">
    <w:name w:val="Zoznam"/>
    <w:basedOn w:val="Telotextu"/>
    <w:pPr/>
    <w:rPr>
      <w:rFonts w:cs="Mangal"/>
    </w:rPr>
  </w:style>
  <w:style w:type="paragraph" w:styleId="Popis">
    <w:name w:val="Popis"/>
    <w:basedOn w:val="Normal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Mangal"/>
    </w:rPr>
  </w:style>
  <w:style w:type="paragraph" w:styleId="Nzov">
    <w:name w:val="Názov"/>
    <w:basedOn w:val="Normal"/>
    <w:pPr>
      <w:keepNext/>
      <w:keepLines/>
      <w:spacing w:before="480" w:after="120"/>
      <w:contextualSpacing/>
    </w:pPr>
    <w:rPr>
      <w:b/>
      <w:sz w:val="72"/>
      <w:szCs w:val="72"/>
    </w:rPr>
  </w:style>
  <w:style w:type="paragraph" w:styleId="Podnzov">
    <w:name w:val="Podnázov"/>
    <w:basedOn w:val="Normal"/>
    <w:pPr>
      <w:keepNext/>
      <w:keepLines/>
      <w:spacing w:before="360" w:after="80"/>
      <w:contextualSpacing/>
    </w:pPr>
    <w:rPr>
      <w:rFonts w:ascii="Georgia" w:hAnsi="Georgia" w:eastAsia="Georgia" w:cs="Georgia"/>
      <w:i/>
      <w:color w:val="666666"/>
      <w:sz w:val="48"/>
      <w:szCs w:val="48"/>
    </w:rPr>
  </w:style>
  <w:style w:type="paragraph" w:styleId="Hlavika">
    <w:name w:val="Hlavička"/>
    <w:basedOn w:val="Normal"/>
    <w:pPr/>
    <w:rPr/>
  </w:style>
  <w:style w:type="paragraph" w:styleId="Pta">
    <w:name w:val="Päta"/>
    <w:basedOn w:val="Normal"/>
    <w:pPr/>
    <w:rPr/>
  </w:style>
  <w:style w:type="numbering" w:styleId="NoList" w:default="1">
    <w:name w:val="No List"/>
    <w:uiPriority w:val="99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Application>LibreOffice/5.0.4.2$Windows_x86 LibreOffice_project/2b9802c1994aa0b7dc6079e128979269cf95bc78</Application>
  <Paragraphs>201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2016-03-30T09:56:00Z</dcterms:created>
  <dc:language>sk-SK</dc:language>
  <dcterms:modified xsi:type="dcterms:W3CDTF">2017-03-08T09:55:17Z</dcterms:modified>
  <cp:revision>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