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F72" w:rsidRDefault="00347F72">
      <w:pPr>
        <w:keepNext/>
        <w:jc w:val="center"/>
        <w:rPr>
          <w:b/>
          <w:bCs/>
          <w:sz w:val="20"/>
        </w:rPr>
      </w:pPr>
      <w:r>
        <w:rPr>
          <w:b/>
          <w:bCs/>
          <w:sz w:val="20"/>
        </w:rPr>
        <w:t>Čl. I</w:t>
      </w:r>
    </w:p>
    <w:p w:rsidR="00347F72" w:rsidRDefault="00347F72">
      <w:pPr>
        <w:keepNext/>
        <w:tabs>
          <w:tab w:val="left" w:pos="2635"/>
          <w:tab w:val="center" w:pos="4734"/>
        </w:tabs>
        <w:rPr>
          <w:b/>
          <w:bCs/>
          <w:sz w:val="20"/>
        </w:rPr>
      </w:pP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>Všeobecné údaje</w:t>
      </w:r>
    </w:p>
    <w:p w:rsidR="00347F72" w:rsidRDefault="00347F72">
      <w:pPr>
        <w:keepNext/>
        <w:jc w:val="center"/>
        <w:rPr>
          <w:b/>
          <w:bCs/>
          <w:sz w:val="18"/>
          <w:szCs w:val="22"/>
        </w:rPr>
      </w:pPr>
    </w:p>
    <w:p w:rsidR="00347F72" w:rsidRDefault="00347F72">
      <w:pPr>
        <w:numPr>
          <w:ilvl w:val="0"/>
          <w:numId w:val="4"/>
        </w:numPr>
        <w:ind w:left="360"/>
        <w:jc w:val="both"/>
        <w:rPr>
          <w:sz w:val="20"/>
        </w:rPr>
      </w:pPr>
      <w:r>
        <w:rPr>
          <w:sz w:val="20"/>
        </w:rPr>
        <w:t>Názov právnickej osoby a jej sídlo alebo meno a priezvisko fyzickej osoby.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514"/>
      </w:tblGrid>
      <w:tr w:rsidR="00347F72">
        <w:trPr>
          <w:cantSplit/>
          <w:trHeight w:val="1656"/>
        </w:trPr>
        <w:tc>
          <w:tcPr>
            <w:tcW w:w="95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D8571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C&amp;C PRODUCTION s.r.o.</w:t>
            </w:r>
          </w:p>
          <w:p w:rsidR="00D8571D" w:rsidRDefault="00D8571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Lazaretská 23</w:t>
            </w:r>
          </w:p>
          <w:p w:rsidR="00D8571D" w:rsidRDefault="00D8571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811 09 Bratislava</w:t>
            </w:r>
          </w:p>
        </w:tc>
      </w:tr>
    </w:tbl>
    <w:p w:rsidR="00347F72" w:rsidRDefault="00347F72">
      <w:pPr>
        <w:jc w:val="both"/>
      </w:pPr>
    </w:p>
    <w:p w:rsidR="00347F72" w:rsidRDefault="00347F72">
      <w:pPr>
        <w:numPr>
          <w:ilvl w:val="0"/>
          <w:numId w:val="4"/>
        </w:numPr>
        <w:ind w:left="502"/>
        <w:jc w:val="both"/>
        <w:rPr>
          <w:sz w:val="20"/>
        </w:rPr>
      </w:pPr>
      <w:r>
        <w:rPr>
          <w:sz w:val="20"/>
        </w:rPr>
        <w:t xml:space="preserve">Údaje o konsolidovanom celku:   Účtovná jednotka </w:t>
      </w:r>
      <w:r>
        <w:rPr>
          <w:b/>
          <w:sz w:val="20"/>
        </w:rPr>
        <w:t>nie je</w:t>
      </w:r>
      <w:r>
        <w:rPr>
          <w:sz w:val="20"/>
        </w:rPr>
        <w:t xml:space="preserve"> súčasťou konsolidovaného celku.</w:t>
      </w:r>
    </w:p>
    <w:p w:rsidR="00347F72" w:rsidRDefault="00347F72">
      <w:pPr>
        <w:numPr>
          <w:ilvl w:val="0"/>
          <w:numId w:val="4"/>
        </w:numPr>
        <w:ind w:left="360"/>
        <w:jc w:val="both"/>
        <w:rPr>
          <w:sz w:val="20"/>
        </w:rPr>
      </w:pPr>
      <w:r>
        <w:rPr>
          <w:sz w:val="20"/>
        </w:rPr>
        <w:t xml:space="preserve">Priemerný prepočítaný počet zamestnancov:     0 </w:t>
      </w:r>
    </w:p>
    <w:p w:rsidR="00347F72" w:rsidRDefault="00347F72">
      <w:pPr>
        <w:ind w:left="2870"/>
        <w:jc w:val="both"/>
        <w:rPr>
          <w:sz w:val="20"/>
        </w:rPr>
      </w:pPr>
    </w:p>
    <w:p w:rsidR="00347F72" w:rsidRDefault="00347F72">
      <w:pPr>
        <w:jc w:val="center"/>
        <w:rPr>
          <w:b/>
          <w:sz w:val="20"/>
        </w:rPr>
      </w:pPr>
      <w:r>
        <w:rPr>
          <w:b/>
          <w:sz w:val="20"/>
        </w:rPr>
        <w:t>Čl. II</w:t>
      </w:r>
    </w:p>
    <w:p w:rsidR="00347F72" w:rsidRDefault="00347F72">
      <w:pPr>
        <w:jc w:val="center"/>
        <w:rPr>
          <w:b/>
          <w:sz w:val="20"/>
        </w:rPr>
      </w:pPr>
      <w:r>
        <w:rPr>
          <w:b/>
          <w:sz w:val="20"/>
        </w:rPr>
        <w:t>Informácie o prijatých postupoch</w:t>
      </w:r>
    </w:p>
    <w:p w:rsidR="00347F72" w:rsidRDefault="00347F72">
      <w:pPr>
        <w:ind w:left="1121"/>
        <w:jc w:val="both"/>
        <w:rPr>
          <w:b/>
          <w:sz w:val="20"/>
        </w:rPr>
      </w:pPr>
    </w:p>
    <w:p w:rsidR="00347F72" w:rsidRDefault="00347F72">
      <w:pPr>
        <w:numPr>
          <w:ilvl w:val="0"/>
          <w:numId w:val="5"/>
        </w:numPr>
        <w:ind w:left="502"/>
        <w:jc w:val="both"/>
        <w:rPr>
          <w:sz w:val="20"/>
        </w:rPr>
      </w:pPr>
      <w:r>
        <w:rPr>
          <w:sz w:val="20"/>
        </w:rPr>
        <w:t xml:space="preserve">Účtovná závierka zostavená za splnenia predpokladu, že účtovná jednotka </w:t>
      </w:r>
      <w:r w:rsidR="00195935">
        <w:rPr>
          <w:b/>
          <w:sz w:val="20"/>
        </w:rPr>
        <w:t>ne</w:t>
      </w:r>
      <w:r w:rsidRPr="00195935">
        <w:rPr>
          <w:b/>
          <w:sz w:val="20"/>
        </w:rPr>
        <w:t>bude</w:t>
      </w:r>
      <w:r w:rsidR="00195935">
        <w:rPr>
          <w:sz w:val="20"/>
        </w:rPr>
        <w:t xml:space="preserve"> </w:t>
      </w:r>
      <w:r>
        <w:rPr>
          <w:sz w:val="20"/>
        </w:rPr>
        <w:t xml:space="preserve"> pokračovať vo svojej činnosti</w:t>
      </w:r>
      <w:r w:rsidR="00195935">
        <w:rPr>
          <w:sz w:val="20"/>
        </w:rPr>
        <w:t xml:space="preserve"> </w:t>
      </w:r>
      <w:r w:rsidR="00195935" w:rsidRPr="00195935">
        <w:rPr>
          <w:b/>
          <w:sz w:val="20"/>
        </w:rPr>
        <w:t>– zrušenie spoločnosti bez likvidácie zlúčením s inou spoločnosťou</w:t>
      </w:r>
      <w:r w:rsidR="00195935">
        <w:rPr>
          <w:sz w:val="20"/>
        </w:rPr>
        <w:t>.</w:t>
      </w:r>
    </w:p>
    <w:p w:rsidR="00195935" w:rsidRDefault="00195935" w:rsidP="00195935">
      <w:pPr>
        <w:ind w:left="502"/>
        <w:jc w:val="both"/>
        <w:rPr>
          <w:sz w:val="20"/>
        </w:rPr>
      </w:pPr>
    </w:p>
    <w:p w:rsidR="00347F72" w:rsidRDefault="00347F72">
      <w:pPr>
        <w:numPr>
          <w:ilvl w:val="0"/>
          <w:numId w:val="5"/>
        </w:numPr>
        <w:ind w:left="502"/>
        <w:jc w:val="both"/>
        <w:rPr>
          <w:sz w:val="20"/>
        </w:rPr>
      </w:pPr>
      <w:r>
        <w:rPr>
          <w:sz w:val="20"/>
        </w:rPr>
        <w:t xml:space="preserve">Spôsob oceňovania jednotlivých položiek majetku a záväzkov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549"/>
        <w:gridCol w:w="539"/>
      </w:tblGrid>
      <w:tr w:rsidR="00347F72">
        <w:trPr>
          <w:cantSplit/>
        </w:trPr>
        <w:tc>
          <w:tcPr>
            <w:tcW w:w="90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Obstarávacou cenou</w:t>
            </w: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6. záväzky pri ich prevzatí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</w:tbl>
    <w:p w:rsidR="00347F72" w:rsidRDefault="00347F72">
      <w:pPr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549"/>
        <w:gridCol w:w="539"/>
      </w:tblGrid>
      <w:tr w:rsidR="00347F72">
        <w:trPr>
          <w:cantSplit/>
        </w:trPr>
        <w:tc>
          <w:tcPr>
            <w:tcW w:w="90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Vlastnými nákladmi</w:t>
            </w: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4. príchovky a prírastky zvierat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  <w:szCs w:val="22"/>
              </w:rPr>
            </w:pPr>
          </w:p>
        </w:tc>
      </w:tr>
    </w:tbl>
    <w:p w:rsidR="00347F72" w:rsidRDefault="00347F72">
      <w:pPr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549"/>
        <w:gridCol w:w="539"/>
      </w:tblGrid>
      <w:tr w:rsidR="00347F72">
        <w:trPr>
          <w:cantSplit/>
        </w:trPr>
        <w:tc>
          <w:tcPr>
            <w:tcW w:w="90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Menovitou hodnotou</w:t>
            </w: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widowControl w:val="0"/>
              <w:autoSpaceDE w:val="0"/>
              <w:ind w:right="-468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1. peňažné prostriedky a ceniny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widowControl w:val="0"/>
              <w:autoSpaceDE w:val="0"/>
              <w:ind w:right="-468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2. pohľadávky pri ich vzniku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widowControl w:val="0"/>
              <w:autoSpaceDE w:val="0"/>
              <w:ind w:right="-468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3. záväzky pri ich vzniku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widowControl w:val="0"/>
              <w:autoSpaceDE w:val="0"/>
              <w:ind w:right="-468"/>
              <w:jc w:val="both"/>
              <w:rPr>
                <w:bCs/>
                <w:sz w:val="20"/>
              </w:rPr>
            </w:pP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  <w:szCs w:val="22"/>
              </w:rPr>
            </w:pPr>
          </w:p>
        </w:tc>
      </w:tr>
    </w:tbl>
    <w:p w:rsidR="00347F72" w:rsidRDefault="00347F72">
      <w:pPr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549"/>
        <w:gridCol w:w="539"/>
      </w:tblGrid>
      <w:tr w:rsidR="00347F72">
        <w:trPr>
          <w:cantSplit/>
        </w:trPr>
        <w:tc>
          <w:tcPr>
            <w:tcW w:w="90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Reprodukčnou obstarávacou cenou</w:t>
            </w: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1. majetok v prípade bezodplatného nadobudnutia s výnimkou peňažných prostriedkov a cenín</w:t>
            </w:r>
          </w:p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a pohľadávok ocenených menovitými hodnotami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2. nehmotný majetok vytvorený vlastnou činnosťou, ak sú vlastné náklady vyššie ako reprodukčná obstarávacia cena tohto majetku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3. príchovky a prírastky zvierat, ak nie je možné zistiť vlastné náklady,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4. majetok preradený z osobného vlastníctva do podnikania s výnimkou peňažných prostriedkov a cenín a pohľadávok ocenených menovitými hodnotami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5. nehmotný a hmotný majetok novozistený pri inventarizácii a v účtovníctve doteraz nezachytený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</w:tbl>
    <w:p w:rsidR="00347F72" w:rsidRDefault="00347F72">
      <w:pPr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549"/>
        <w:gridCol w:w="539"/>
      </w:tblGrid>
      <w:tr w:rsidR="00347F72">
        <w:trPr>
          <w:cantSplit/>
        </w:trPr>
        <w:tc>
          <w:tcPr>
            <w:tcW w:w="90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Úbytok zásob rovnakého druhu sa účtuje v ocenení: </w:t>
            </w: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Cenou zistenou váženým aritmetickým priemerom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Metódou FIFO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Obstarávacia cena zásob sa rozdeľuje na cenu za ktoré sa zásoby obstarali</w:t>
            </w:r>
          </w:p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</w:tbl>
    <w:p w:rsidR="00347F72" w:rsidRDefault="00347F72">
      <w:pPr>
        <w:jc w:val="both"/>
      </w:pPr>
    </w:p>
    <w:p w:rsidR="00347F72" w:rsidRDefault="00347F72">
      <w:pPr>
        <w:jc w:val="both"/>
        <w:rPr>
          <w:sz w:val="20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549"/>
        <w:gridCol w:w="539"/>
      </w:tblGrid>
      <w:tr w:rsidR="00347F72">
        <w:trPr>
          <w:cantSplit/>
        </w:trPr>
        <w:tc>
          <w:tcPr>
            <w:tcW w:w="90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spacing w:before="280" w:after="280"/>
              <w:ind w:right="-468"/>
              <w:jc w:val="both"/>
              <w:rPr>
                <w:bCs/>
                <w:sz w:val="20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sz w:val="20"/>
              </w:rPr>
            </w:pPr>
            <w:r>
              <w:rPr>
                <w:sz w:val="20"/>
              </w:rPr>
              <w:t xml:space="preserve">Výdavky budúcich období a príjmy budúcich období  sa vykazujú vo výške, ktorá je potrebná </w:t>
            </w:r>
          </w:p>
          <w:p w:rsidR="00347F72" w:rsidRDefault="00347F72">
            <w:pPr>
              <w:widowControl w:val="0"/>
              <w:autoSpaceDE w:val="0"/>
              <w:ind w:right="-468"/>
              <w:rPr>
                <w:sz w:val="20"/>
              </w:rPr>
            </w:pPr>
            <w:r>
              <w:rPr>
                <w:sz w:val="20"/>
              </w:rPr>
              <w:t>na dodržanie zásady vecnej a časovej súvislosti s účtovným obdobím.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Rezervy sú záväzky s neurčitým časovým vymedzením alebo výškou; tvoria sa na krytie známych</w:t>
            </w:r>
          </w:p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X</w:t>
            </w: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ind w:right="-468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Prenajatý  majetok a majetok obstaraný na základe  zmluvy o kúpe prenajatej veci - v ocenení</w:t>
            </w:r>
          </w:p>
          <w:p w:rsidR="00347F72" w:rsidRDefault="00347F72">
            <w:pPr>
              <w:ind w:right="-468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  <w:szCs w:val="22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ind w:right="-468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Daň z príjmov splatná – daň sa  určuje z účtovného zisku pred zdanením, po úpravách na daňové účely</w:t>
            </w:r>
          </w:p>
          <w:p w:rsidR="00347F72" w:rsidRDefault="00347F72">
            <w:pPr>
              <w:ind w:right="-468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 xml:space="preserve"> podľa zákona o daniach z príjmov pri sadzbe 22 %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X</w:t>
            </w: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ind w:right="-468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 xml:space="preserve">Náklady a výnosy časovo rozlišujú. Časovo sa ne nerozlišujú náklady a výnosy, ak ide o nevýznamný </w:t>
            </w:r>
          </w:p>
          <w:p w:rsidR="00347F72" w:rsidRDefault="00347F72">
            <w:pPr>
              <w:ind w:right="-468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347F72" w:rsidRDefault="00347F72">
            <w:pPr>
              <w:ind w:right="-468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X</w:t>
            </w: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before="280" w:after="280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kvót.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</w:tbl>
    <w:p w:rsidR="00347F72" w:rsidRDefault="00347F72">
      <w:pPr>
        <w:jc w:val="both"/>
        <w:rPr>
          <w:sz w:val="20"/>
        </w:rPr>
      </w:pPr>
      <w:r>
        <w:rPr>
          <w:sz w:val="20"/>
        </w:rPr>
        <w:t>(ak má ÚJ náplň pre jednotlivú položku = X)</w:t>
      </w:r>
    </w:p>
    <w:p w:rsidR="00347F72" w:rsidRDefault="00347F72">
      <w:pPr>
        <w:jc w:val="both"/>
        <w:rPr>
          <w:sz w:val="20"/>
          <w:szCs w:val="22"/>
        </w:rPr>
      </w:pPr>
    </w:p>
    <w:p w:rsidR="00347F72" w:rsidRDefault="00347F72">
      <w:pPr>
        <w:numPr>
          <w:ilvl w:val="0"/>
          <w:numId w:val="5"/>
        </w:numPr>
        <w:ind w:left="502"/>
        <w:jc w:val="both"/>
        <w:rPr>
          <w:sz w:val="20"/>
        </w:rPr>
      </w:pPr>
      <w:r>
        <w:rPr>
          <w:sz w:val="20"/>
        </w:rPr>
        <w:t>Spôsob zostavenia odpisového plánu pre jednotlivé druhy dlhodobého hmotného majetku  a dlhodobého nehmotného majetku,</w:t>
      </w:r>
      <w:r w:rsidR="00195935">
        <w:rPr>
          <w:sz w:val="20"/>
        </w:rPr>
        <w:t xml:space="preserve"> </w:t>
      </w:r>
      <w:r>
        <w:rPr>
          <w:sz w:val="20"/>
        </w:rPr>
        <w:t xml:space="preserve">doba odpisovania, použité sadzby odpisov a odpisové metódy pri určení odpisov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070"/>
        <w:gridCol w:w="1539"/>
        <w:gridCol w:w="479"/>
      </w:tblGrid>
      <w:tr w:rsidR="00347F72">
        <w:trPr>
          <w:cantSplit/>
        </w:trPr>
        <w:tc>
          <w:tcPr>
            <w:tcW w:w="860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widowControl w:val="0"/>
              <w:autoSpaceDE w:val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rPr>
                <w:sz w:val="18"/>
              </w:rPr>
            </w:pPr>
          </w:p>
          <w:p w:rsidR="00347F72" w:rsidRDefault="00347F72">
            <w:pPr>
              <w:rPr>
                <w:sz w:val="18"/>
              </w:rPr>
            </w:pPr>
          </w:p>
          <w:p w:rsidR="00347F72" w:rsidRDefault="00347F72">
            <w:pPr>
              <w:rPr>
                <w:sz w:val="20"/>
                <w:szCs w:val="22"/>
              </w:rPr>
            </w:pPr>
          </w:p>
        </w:tc>
      </w:tr>
      <w:tr w:rsidR="00347F72">
        <w:trPr>
          <w:cantSplit/>
          <w:trHeight w:val="963"/>
        </w:trPr>
        <w:tc>
          <w:tcPr>
            <w:tcW w:w="86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widowControl w:val="0"/>
              <w:autoSpaceDE w:val="0"/>
              <w:jc w:val="both"/>
              <w:rPr>
                <w:b/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>
              <w:rPr>
                <w:b/>
                <w:sz w:val="20"/>
                <w:szCs w:val="22"/>
              </w:rPr>
              <w:t>rovnajú.</w:t>
            </w:r>
          </w:p>
        </w:tc>
        <w:tc>
          <w:tcPr>
            <w:tcW w:w="4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rPr>
                <w:sz w:val="18"/>
              </w:rPr>
            </w:pPr>
          </w:p>
          <w:p w:rsidR="00347F72" w:rsidRDefault="00347F72">
            <w:pPr>
              <w:rPr>
                <w:sz w:val="18"/>
              </w:rPr>
            </w:pPr>
          </w:p>
          <w:p w:rsidR="00347F72" w:rsidRDefault="00195935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X</w:t>
            </w:r>
          </w:p>
        </w:tc>
      </w:tr>
      <w:tr w:rsidR="00347F72">
        <w:trPr>
          <w:cantSplit/>
          <w:trHeight w:val="1217"/>
        </w:trPr>
        <w:tc>
          <w:tcPr>
            <w:tcW w:w="86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widowControl w:val="0"/>
              <w:autoSpaceDE w:val="0"/>
              <w:jc w:val="both"/>
              <w:rPr>
                <w:b/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>
              <w:rPr>
                <w:b/>
                <w:sz w:val="20"/>
                <w:szCs w:val="22"/>
              </w:rPr>
              <w:t>nerovnajú.</w:t>
            </w:r>
          </w:p>
        </w:tc>
        <w:tc>
          <w:tcPr>
            <w:tcW w:w="4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rPr>
                <w:sz w:val="20"/>
                <w:szCs w:val="22"/>
              </w:rPr>
            </w:pPr>
          </w:p>
        </w:tc>
      </w:tr>
      <w:tr w:rsidR="00347F72">
        <w:trPr>
          <w:cantSplit/>
          <w:trHeight w:val="64"/>
        </w:trPr>
        <w:tc>
          <w:tcPr>
            <w:tcW w:w="70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widowControl w:val="0"/>
              <w:autoSpaceDE w:val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Dlhodobý nehmotný majetok =doba použiteľnosti viac ako rok a vstupná cena je  viac ako :</w:t>
            </w:r>
          </w:p>
        </w:tc>
        <w:tc>
          <w:tcPr>
            <w:tcW w:w="1539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widowControl w:val="0"/>
              <w:autoSpaceDE w:val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2400,-eur</w:t>
            </w:r>
          </w:p>
        </w:tc>
        <w:tc>
          <w:tcPr>
            <w:tcW w:w="4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</w:tr>
      <w:tr w:rsidR="00347F72">
        <w:trPr>
          <w:cantSplit/>
          <w:trHeight w:val="64"/>
        </w:trPr>
        <w:tc>
          <w:tcPr>
            <w:tcW w:w="70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widowControl w:val="0"/>
              <w:autoSpaceDE w:val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widowControl w:val="0"/>
              <w:autoSpaceDE w:val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1700,-eur</w:t>
            </w:r>
          </w:p>
        </w:tc>
        <w:tc>
          <w:tcPr>
            <w:tcW w:w="4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</w:tr>
    </w:tbl>
    <w:p w:rsidR="00347F72" w:rsidRDefault="00347F72">
      <w:pPr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111"/>
        <w:gridCol w:w="977"/>
        <w:gridCol w:w="1164"/>
        <w:gridCol w:w="1180"/>
        <w:gridCol w:w="980"/>
        <w:gridCol w:w="1676"/>
      </w:tblGrid>
      <w:tr w:rsidR="00347F72">
        <w:trPr>
          <w:cantSplit/>
        </w:trPr>
        <w:tc>
          <w:tcPr>
            <w:tcW w:w="3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Majetok</w:t>
            </w:r>
          </w:p>
        </w:tc>
        <w:tc>
          <w:tcPr>
            <w:tcW w:w="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 xml:space="preserve">Odpisová skupina </w:t>
            </w:r>
          </w:p>
        </w:tc>
        <w:tc>
          <w:tcPr>
            <w:tcW w:w="11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Doba odpisovania</w:t>
            </w:r>
          </w:p>
        </w:tc>
        <w:tc>
          <w:tcPr>
            <w:tcW w:w="11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Lineárne odpisy</w:t>
            </w:r>
          </w:p>
        </w:tc>
        <w:tc>
          <w:tcPr>
            <w:tcW w:w="9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Zrýchlené odpisy</w:t>
            </w:r>
          </w:p>
        </w:tc>
        <w:tc>
          <w:tcPr>
            <w:tcW w:w="1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</w:tr>
      <w:tr w:rsidR="00347F72">
        <w:trPr>
          <w:cantSplit/>
        </w:trPr>
        <w:tc>
          <w:tcPr>
            <w:tcW w:w="311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195935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Osobné autá</w:t>
            </w:r>
          </w:p>
        </w:tc>
        <w:tc>
          <w:tcPr>
            <w:tcW w:w="977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347F72" w:rsidRDefault="00195935">
            <w:pPr>
              <w:spacing w:after="120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6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347F72" w:rsidRDefault="00195935">
            <w:pPr>
              <w:spacing w:after="120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1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rovnomerné</w:t>
            </w:r>
          </w:p>
        </w:tc>
        <w:tc>
          <w:tcPr>
            <w:tcW w:w="9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</w:tr>
      <w:tr w:rsidR="00347F72">
        <w:trPr>
          <w:cantSplit/>
        </w:trPr>
        <w:tc>
          <w:tcPr>
            <w:tcW w:w="311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</w:tr>
      <w:tr w:rsidR="00347F72">
        <w:trPr>
          <w:cantSplit/>
        </w:trPr>
        <w:tc>
          <w:tcPr>
            <w:tcW w:w="311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</w:tr>
      <w:tr w:rsidR="00347F72">
        <w:trPr>
          <w:cantSplit/>
        </w:trPr>
        <w:tc>
          <w:tcPr>
            <w:tcW w:w="311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</w:tr>
      <w:tr w:rsidR="00347F72">
        <w:trPr>
          <w:cantSplit/>
        </w:trPr>
        <w:tc>
          <w:tcPr>
            <w:tcW w:w="311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</w:tr>
      <w:tr w:rsidR="00347F72">
        <w:trPr>
          <w:cantSplit/>
        </w:trPr>
        <w:tc>
          <w:tcPr>
            <w:tcW w:w="311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20"/>
              </w:rPr>
            </w:pPr>
          </w:p>
        </w:tc>
      </w:tr>
    </w:tbl>
    <w:p w:rsidR="00347F72" w:rsidRDefault="00347F72">
      <w:pPr>
        <w:ind w:left="709"/>
        <w:jc w:val="both"/>
      </w:pPr>
    </w:p>
    <w:p w:rsidR="00055C56" w:rsidRDefault="00055C56" w:rsidP="00055C56">
      <w:pPr>
        <w:ind w:left="502"/>
        <w:jc w:val="both"/>
        <w:rPr>
          <w:sz w:val="20"/>
        </w:rPr>
      </w:pPr>
    </w:p>
    <w:p w:rsidR="00055C56" w:rsidRDefault="00055C56" w:rsidP="00055C56">
      <w:pPr>
        <w:ind w:left="502"/>
        <w:jc w:val="both"/>
        <w:rPr>
          <w:sz w:val="20"/>
        </w:rPr>
      </w:pPr>
    </w:p>
    <w:p w:rsidR="00347F72" w:rsidRDefault="00347F72">
      <w:pPr>
        <w:numPr>
          <w:ilvl w:val="0"/>
          <w:numId w:val="5"/>
        </w:numPr>
        <w:ind w:left="502"/>
        <w:jc w:val="both"/>
        <w:rPr>
          <w:sz w:val="20"/>
        </w:rPr>
      </w:pPr>
      <w:r>
        <w:rPr>
          <w:sz w:val="20"/>
        </w:rPr>
        <w:lastRenderedPageBreak/>
        <w:t>Zmeny účtovných zásad a zmeny účtovných metód s uvedením dôvodu týchto zmien a vyčíslením ich vplyvu na finančnú hodnotu majetku, záväzkov, základného imania a výsledku hospodárenia ÚJ</w:t>
      </w:r>
    </w:p>
    <w:p w:rsidR="00055C56" w:rsidRDefault="00055C56" w:rsidP="00055C56">
      <w:pPr>
        <w:jc w:val="both"/>
        <w:rPr>
          <w:sz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062"/>
        <w:gridCol w:w="1502"/>
        <w:gridCol w:w="1503"/>
        <w:gridCol w:w="1503"/>
        <w:gridCol w:w="1503"/>
        <w:gridCol w:w="1441"/>
      </w:tblGrid>
      <w:tr w:rsidR="00347F72">
        <w:trPr>
          <w:cantSplit/>
          <w:trHeight w:val="283"/>
        </w:trPr>
        <w:tc>
          <w:tcPr>
            <w:tcW w:w="20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Typ zmeny</w:t>
            </w:r>
          </w:p>
        </w:tc>
        <w:tc>
          <w:tcPr>
            <w:tcW w:w="15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Dôvod zmeny</w:t>
            </w:r>
          </w:p>
        </w:tc>
        <w:tc>
          <w:tcPr>
            <w:tcW w:w="1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Majetok</w:t>
            </w:r>
          </w:p>
        </w:tc>
        <w:tc>
          <w:tcPr>
            <w:tcW w:w="1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Záväzky</w:t>
            </w:r>
          </w:p>
        </w:tc>
        <w:tc>
          <w:tcPr>
            <w:tcW w:w="1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ZI</w:t>
            </w:r>
          </w:p>
        </w:tc>
        <w:tc>
          <w:tcPr>
            <w:tcW w:w="14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HV</w:t>
            </w:r>
          </w:p>
        </w:tc>
      </w:tr>
      <w:tr w:rsidR="00347F72">
        <w:trPr>
          <w:cantSplit/>
          <w:trHeight w:val="283"/>
        </w:trPr>
        <w:tc>
          <w:tcPr>
            <w:tcW w:w="2062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</w:p>
        </w:tc>
        <w:tc>
          <w:tcPr>
            <w:tcW w:w="1502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</w:p>
        </w:tc>
        <w:tc>
          <w:tcPr>
            <w:tcW w:w="1503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</w:p>
        </w:tc>
        <w:tc>
          <w:tcPr>
            <w:tcW w:w="1503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</w:p>
        </w:tc>
        <w:tc>
          <w:tcPr>
            <w:tcW w:w="1503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</w:p>
        </w:tc>
        <w:tc>
          <w:tcPr>
            <w:tcW w:w="14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</w:p>
        </w:tc>
      </w:tr>
      <w:tr w:rsidR="00347F72">
        <w:trPr>
          <w:cantSplit/>
          <w:trHeight w:val="283"/>
        </w:trPr>
        <w:tc>
          <w:tcPr>
            <w:tcW w:w="2062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</w:p>
        </w:tc>
        <w:tc>
          <w:tcPr>
            <w:tcW w:w="1502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</w:p>
        </w:tc>
        <w:tc>
          <w:tcPr>
            <w:tcW w:w="1503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</w:p>
        </w:tc>
        <w:tc>
          <w:tcPr>
            <w:tcW w:w="1503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</w:p>
        </w:tc>
        <w:tc>
          <w:tcPr>
            <w:tcW w:w="1503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</w:p>
        </w:tc>
        <w:tc>
          <w:tcPr>
            <w:tcW w:w="14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</w:p>
        </w:tc>
      </w:tr>
    </w:tbl>
    <w:p w:rsidR="00347F72" w:rsidRDefault="00347F72">
      <w:pPr>
        <w:pStyle w:val="WW-Odsekzoznamu"/>
      </w:pPr>
    </w:p>
    <w:p w:rsidR="00347F72" w:rsidRDefault="00347F72">
      <w:pPr>
        <w:numPr>
          <w:ilvl w:val="0"/>
          <w:numId w:val="5"/>
        </w:numPr>
        <w:ind w:left="502"/>
        <w:jc w:val="both"/>
        <w:rPr>
          <w:sz w:val="20"/>
        </w:rPr>
      </w:pPr>
      <w:r>
        <w:rPr>
          <w:sz w:val="20"/>
        </w:rPr>
        <w:t xml:space="preserve">Informácie o dotáciách a ich oceňovanie v účtovníctve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81"/>
        <w:gridCol w:w="2999"/>
        <w:gridCol w:w="1434"/>
      </w:tblGrid>
      <w:tr w:rsidR="00347F72">
        <w:trPr>
          <w:cantSplit/>
          <w:trHeight w:val="283"/>
        </w:trPr>
        <w:tc>
          <w:tcPr>
            <w:tcW w:w="50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  <w:r>
              <w:rPr>
                <w:sz w:val="20"/>
              </w:rPr>
              <w:t>Dotácia</w:t>
            </w:r>
          </w:p>
        </w:tc>
        <w:tc>
          <w:tcPr>
            <w:tcW w:w="29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4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347F72">
        <w:trPr>
          <w:cantSplit/>
          <w:trHeight w:val="283"/>
        </w:trPr>
        <w:tc>
          <w:tcPr>
            <w:tcW w:w="508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2999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4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</w:tr>
      <w:tr w:rsidR="00347F72">
        <w:trPr>
          <w:cantSplit/>
          <w:trHeight w:val="283"/>
        </w:trPr>
        <w:tc>
          <w:tcPr>
            <w:tcW w:w="508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2999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4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</w:tr>
    </w:tbl>
    <w:p w:rsidR="00347F72" w:rsidRDefault="00347F72">
      <w:pPr>
        <w:ind w:left="709"/>
        <w:jc w:val="both"/>
      </w:pPr>
    </w:p>
    <w:p w:rsidR="00347F72" w:rsidRDefault="00347F72">
      <w:pPr>
        <w:numPr>
          <w:ilvl w:val="0"/>
          <w:numId w:val="5"/>
        </w:numPr>
        <w:ind w:left="502"/>
        <w:jc w:val="both"/>
        <w:rPr>
          <w:sz w:val="20"/>
        </w:rPr>
      </w:pPr>
      <w:r>
        <w:rPr>
          <w:sz w:val="20"/>
        </w:rPr>
        <w:t xml:space="preserve">Informácie o účtovaní významných opráv chýb minulých účtovných období v bežnom účtovnom období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992"/>
        <w:gridCol w:w="851"/>
        <w:gridCol w:w="2126"/>
        <w:gridCol w:w="2568"/>
      </w:tblGrid>
      <w:tr w:rsidR="00347F72">
        <w:trPr>
          <w:cantSplit/>
        </w:trPr>
        <w:tc>
          <w:tcPr>
            <w:tcW w:w="2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  <w:r>
              <w:rPr>
                <w:sz w:val="20"/>
              </w:rPr>
              <w:t>Opravy minulého obdobia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Patrí do obdobia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Účet 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Účtované na účet HV min. období (EUR)</w:t>
            </w:r>
          </w:p>
        </w:tc>
        <w:tc>
          <w:tcPr>
            <w:tcW w:w="25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Účtované do HV bežného  obdobia(EUR)</w:t>
            </w:r>
          </w:p>
        </w:tc>
      </w:tr>
      <w:tr w:rsidR="00347F72">
        <w:trPr>
          <w:cantSplit/>
          <w:trHeight w:val="340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b/>
                <w:sz w:val="18"/>
                <w:szCs w:val="22"/>
              </w:rPr>
            </w:pPr>
          </w:p>
        </w:tc>
      </w:tr>
      <w:tr w:rsidR="00347F72">
        <w:trPr>
          <w:cantSplit/>
          <w:trHeight w:val="340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b/>
                <w:sz w:val="18"/>
                <w:szCs w:val="22"/>
              </w:rPr>
            </w:pPr>
          </w:p>
        </w:tc>
      </w:tr>
      <w:tr w:rsidR="00347F72">
        <w:trPr>
          <w:cantSplit/>
          <w:trHeight w:val="340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b/>
                <w:sz w:val="18"/>
                <w:szCs w:val="22"/>
              </w:rPr>
            </w:pPr>
          </w:p>
        </w:tc>
      </w:tr>
      <w:tr w:rsidR="00347F72">
        <w:trPr>
          <w:cantSplit/>
          <w:trHeight w:val="340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b/>
                <w:sz w:val="18"/>
                <w:szCs w:val="22"/>
              </w:rPr>
            </w:pPr>
          </w:p>
        </w:tc>
      </w:tr>
      <w:tr w:rsidR="00347F72">
        <w:trPr>
          <w:cantSplit/>
          <w:trHeight w:val="340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b/>
                <w:sz w:val="18"/>
                <w:szCs w:val="22"/>
              </w:rPr>
            </w:pPr>
          </w:p>
        </w:tc>
      </w:tr>
      <w:tr w:rsidR="00347F72">
        <w:trPr>
          <w:cantSplit/>
          <w:trHeight w:val="340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b/>
                <w:sz w:val="18"/>
                <w:szCs w:val="22"/>
              </w:rPr>
            </w:pPr>
          </w:p>
        </w:tc>
      </w:tr>
      <w:tr w:rsidR="00347F72">
        <w:trPr>
          <w:cantSplit/>
          <w:trHeight w:val="340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</w:tr>
    </w:tbl>
    <w:p w:rsidR="00347F72" w:rsidRDefault="00347F72">
      <w:pPr>
        <w:jc w:val="both"/>
      </w:pPr>
    </w:p>
    <w:p w:rsidR="00347F72" w:rsidRDefault="00347F72">
      <w:pPr>
        <w:ind w:left="360"/>
        <w:rPr>
          <w:sz w:val="20"/>
        </w:rPr>
      </w:pPr>
    </w:p>
    <w:p w:rsidR="00347F72" w:rsidRDefault="00347F72">
      <w:pPr>
        <w:jc w:val="center"/>
        <w:rPr>
          <w:b/>
          <w:sz w:val="20"/>
        </w:rPr>
      </w:pPr>
      <w:r>
        <w:rPr>
          <w:b/>
          <w:sz w:val="20"/>
        </w:rPr>
        <w:t>Čl. III</w:t>
      </w:r>
    </w:p>
    <w:p w:rsidR="00347F72" w:rsidRDefault="00347F72">
      <w:pPr>
        <w:jc w:val="center"/>
        <w:rPr>
          <w:b/>
          <w:sz w:val="20"/>
        </w:rPr>
      </w:pPr>
      <w:r>
        <w:rPr>
          <w:b/>
          <w:sz w:val="20"/>
        </w:rPr>
        <w:t>Informácie, ktoré vysvetľujú a dopĺňajú súvahu a výkaz ziskov a strát</w:t>
      </w:r>
    </w:p>
    <w:p w:rsidR="00347F72" w:rsidRDefault="00347F72">
      <w:pPr>
        <w:ind w:left="1841"/>
        <w:jc w:val="center"/>
        <w:rPr>
          <w:b/>
          <w:sz w:val="20"/>
        </w:rPr>
      </w:pPr>
    </w:p>
    <w:p w:rsidR="00347F72" w:rsidRDefault="00347F72">
      <w:pPr>
        <w:numPr>
          <w:ilvl w:val="0"/>
          <w:numId w:val="3"/>
        </w:numPr>
        <w:ind w:left="502"/>
        <w:jc w:val="both"/>
        <w:rPr>
          <w:sz w:val="20"/>
        </w:rPr>
      </w:pPr>
      <w:r>
        <w:rPr>
          <w:sz w:val="20"/>
        </w:rPr>
        <w:t>Informácia o sume a dôvodoch vzniku jednotlivých položiek nákladov alebo výnosov, ktoré majú výnimočný rozsah alebo výskyt, napríklad výnosy z predaja podniku alebo časti podniku, náklady z dôvodu predaja podniku alebo časti podniku, škody z dôvodu živelných pohrôm</w:t>
      </w:r>
    </w:p>
    <w:p w:rsidR="00055C56" w:rsidRDefault="00055C56" w:rsidP="00055C56">
      <w:pPr>
        <w:ind w:left="502"/>
        <w:jc w:val="both"/>
        <w:rPr>
          <w:sz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899"/>
        <w:gridCol w:w="4181"/>
        <w:gridCol w:w="1434"/>
      </w:tblGrid>
      <w:tr w:rsidR="00347F72">
        <w:trPr>
          <w:cantSplit/>
          <w:trHeight w:val="283"/>
        </w:trPr>
        <w:tc>
          <w:tcPr>
            <w:tcW w:w="38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  <w:r>
              <w:rPr>
                <w:sz w:val="20"/>
              </w:rPr>
              <w:t>Popis nákladov ,výnosov výnimoč. rozsahu</w:t>
            </w:r>
          </w:p>
        </w:tc>
        <w:tc>
          <w:tcPr>
            <w:tcW w:w="4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  <w:r>
              <w:rPr>
                <w:sz w:val="20"/>
              </w:rPr>
              <w:t>Dôvod vzniku</w:t>
            </w:r>
          </w:p>
        </w:tc>
        <w:tc>
          <w:tcPr>
            <w:tcW w:w="14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347F72">
        <w:trPr>
          <w:cantSplit/>
          <w:trHeight w:val="283"/>
        </w:trPr>
        <w:tc>
          <w:tcPr>
            <w:tcW w:w="3899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418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4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</w:tr>
      <w:tr w:rsidR="00347F72">
        <w:trPr>
          <w:cantSplit/>
          <w:trHeight w:val="283"/>
        </w:trPr>
        <w:tc>
          <w:tcPr>
            <w:tcW w:w="3899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418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4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</w:tr>
    </w:tbl>
    <w:p w:rsidR="00347F72" w:rsidRDefault="00347F72">
      <w:pPr>
        <w:ind w:left="1481"/>
        <w:jc w:val="both"/>
      </w:pPr>
    </w:p>
    <w:p w:rsidR="00347F72" w:rsidRDefault="00347F72">
      <w:pPr>
        <w:numPr>
          <w:ilvl w:val="0"/>
          <w:numId w:val="3"/>
        </w:numPr>
        <w:ind w:left="502"/>
        <w:jc w:val="both"/>
        <w:rPr>
          <w:sz w:val="20"/>
        </w:rPr>
      </w:pPr>
      <w:r>
        <w:rPr>
          <w:sz w:val="20"/>
        </w:rPr>
        <w:t xml:space="preserve">Informácie o záväzkoch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080"/>
        <w:gridCol w:w="1434"/>
      </w:tblGrid>
      <w:tr w:rsidR="00347F72">
        <w:trPr>
          <w:cantSplit/>
          <w:trHeight w:val="283"/>
        </w:trPr>
        <w:tc>
          <w:tcPr>
            <w:tcW w:w="80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  <w:r>
              <w:rPr>
                <w:sz w:val="20"/>
              </w:rPr>
              <w:t>Celková suma záväzkov so zostatkovou dobou splatnosti dlhšou ako päť rokov</w:t>
            </w:r>
          </w:p>
        </w:tc>
        <w:tc>
          <w:tcPr>
            <w:tcW w:w="14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347F72" w:rsidRDefault="00347F72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47F72">
        <w:trPr>
          <w:cantSplit/>
          <w:trHeight w:val="283"/>
        </w:trPr>
        <w:tc>
          <w:tcPr>
            <w:tcW w:w="80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  <w:r>
              <w:rPr>
                <w:sz w:val="20"/>
              </w:rPr>
              <w:t>Celková suma zabezpečených záväzkov</w:t>
            </w:r>
          </w:p>
        </w:tc>
        <w:tc>
          <w:tcPr>
            <w:tcW w:w="14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347F72" w:rsidRDefault="00347F72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47F72">
        <w:trPr>
          <w:cantSplit/>
          <w:trHeight w:val="283"/>
        </w:trPr>
        <w:tc>
          <w:tcPr>
            <w:tcW w:w="9514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 w:rsidP="00055C56">
            <w:pPr>
              <w:rPr>
                <w:sz w:val="20"/>
              </w:rPr>
            </w:pPr>
            <w:r>
              <w:rPr>
                <w:sz w:val="20"/>
              </w:rPr>
              <w:t>Opis a spôsoby zabezpečenia záväzkov</w:t>
            </w:r>
          </w:p>
        </w:tc>
      </w:tr>
      <w:tr w:rsidR="00347F72">
        <w:trPr>
          <w:cantSplit/>
          <w:trHeight w:val="283"/>
        </w:trPr>
        <w:tc>
          <w:tcPr>
            <w:tcW w:w="80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4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</w:tr>
      <w:tr w:rsidR="00347F72">
        <w:trPr>
          <w:cantSplit/>
          <w:trHeight w:val="283"/>
        </w:trPr>
        <w:tc>
          <w:tcPr>
            <w:tcW w:w="80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4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</w:tr>
    </w:tbl>
    <w:p w:rsidR="00347F72" w:rsidRDefault="00347F72">
      <w:pPr>
        <w:ind w:left="1134"/>
        <w:jc w:val="both"/>
      </w:pPr>
    </w:p>
    <w:p w:rsidR="00347F72" w:rsidRDefault="00347F72">
      <w:pPr>
        <w:numPr>
          <w:ilvl w:val="0"/>
          <w:numId w:val="3"/>
        </w:numPr>
        <w:ind w:left="502"/>
        <w:jc w:val="both"/>
        <w:rPr>
          <w:b/>
          <w:bCs/>
          <w:kern w:val="1"/>
          <w:sz w:val="20"/>
        </w:rPr>
      </w:pPr>
      <w:r>
        <w:rPr>
          <w:bCs/>
          <w:kern w:val="1"/>
          <w:sz w:val="20"/>
        </w:rPr>
        <w:t xml:space="preserve">Informácie o vlastných akciách,  - </w:t>
      </w:r>
      <w:r>
        <w:rPr>
          <w:b/>
          <w:bCs/>
          <w:kern w:val="1"/>
          <w:sz w:val="20"/>
        </w:rPr>
        <w:t>spoločnosť nevlastní akcie.</w:t>
      </w:r>
    </w:p>
    <w:p w:rsidR="00347F72" w:rsidRDefault="00347F72">
      <w:pPr>
        <w:numPr>
          <w:ilvl w:val="0"/>
          <w:numId w:val="8"/>
        </w:numPr>
        <w:ind w:left="1069"/>
        <w:jc w:val="both"/>
        <w:rPr>
          <w:sz w:val="20"/>
        </w:rPr>
      </w:pPr>
      <w:r>
        <w:rPr>
          <w:sz w:val="20"/>
        </w:rPr>
        <w:t>dôvode nadobudnutia vlastných akcií počas účtovného obdobia,</w:t>
      </w:r>
    </w:p>
    <w:p w:rsidR="00347F72" w:rsidRDefault="00347F72">
      <w:pPr>
        <w:numPr>
          <w:ilvl w:val="0"/>
          <w:numId w:val="8"/>
        </w:numPr>
        <w:ind w:left="1069"/>
        <w:jc w:val="both"/>
        <w:rPr>
          <w:sz w:val="20"/>
        </w:rPr>
      </w:pPr>
      <w:r>
        <w:rPr>
          <w:sz w:val="20"/>
        </w:rPr>
        <w:t>informáciách, ktorými sú</w:t>
      </w:r>
    </w:p>
    <w:p w:rsidR="00347F72" w:rsidRDefault="00347F72">
      <w:pPr>
        <w:numPr>
          <w:ilvl w:val="0"/>
          <w:numId w:val="7"/>
        </w:numPr>
        <w:ind w:left="1636"/>
        <w:jc w:val="both"/>
        <w:rPr>
          <w:sz w:val="20"/>
        </w:rPr>
      </w:pPr>
      <w:r>
        <w:rPr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347F72" w:rsidRDefault="00347F72">
      <w:pPr>
        <w:numPr>
          <w:ilvl w:val="0"/>
          <w:numId w:val="1"/>
        </w:numPr>
        <w:ind w:left="1636"/>
        <w:jc w:val="both"/>
        <w:rPr>
          <w:sz w:val="20"/>
        </w:rPr>
      </w:pPr>
      <w:r>
        <w:rPr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347F72" w:rsidRDefault="00347F72">
      <w:pPr>
        <w:numPr>
          <w:ilvl w:val="0"/>
          <w:numId w:val="8"/>
        </w:numPr>
        <w:ind w:left="1069"/>
        <w:jc w:val="both"/>
        <w:rPr>
          <w:bCs/>
          <w:kern w:val="1"/>
          <w:sz w:val="20"/>
        </w:rPr>
      </w:pPr>
      <w:r>
        <w:rPr>
          <w:sz w:val="20"/>
        </w:rPr>
        <w:lastRenderedPageBreak/>
        <w:t xml:space="preserve">počte, menovitej hodnote a hodnote, za ktorú sa vlastné akcie nadobudli a ktoré účtovná jednotka má v držbe k poslednému dňu účtovného obdobia; </w:t>
      </w:r>
      <w:r>
        <w:rPr>
          <w:bCs/>
          <w:kern w:val="1"/>
          <w:sz w:val="20"/>
        </w:rPr>
        <w:t>uvádza  sa aj ich percentuálny podiel na upísanom základnom imaní.</w:t>
      </w:r>
    </w:p>
    <w:p w:rsidR="00347F72" w:rsidRDefault="00347F72">
      <w:pPr>
        <w:numPr>
          <w:ilvl w:val="0"/>
          <w:numId w:val="3"/>
        </w:numPr>
        <w:ind w:left="502"/>
        <w:jc w:val="both"/>
        <w:rPr>
          <w:sz w:val="20"/>
        </w:rPr>
      </w:pPr>
      <w:r>
        <w:rPr>
          <w:sz w:val="20"/>
        </w:rPr>
        <w:t>Informácie o orgánoch účtovnej jednotky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670"/>
        <w:gridCol w:w="1560"/>
        <w:gridCol w:w="425"/>
        <w:gridCol w:w="417"/>
        <w:gridCol w:w="1442"/>
      </w:tblGrid>
      <w:tr w:rsidR="00347F72">
        <w:trPr>
          <w:cantSplit/>
          <w:trHeight w:val="283"/>
        </w:trPr>
        <w:tc>
          <w:tcPr>
            <w:tcW w:w="951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b/>
                <w:sz w:val="20"/>
              </w:rPr>
              <w:t>)</w:t>
            </w:r>
            <w:r>
              <w:rPr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47F72">
        <w:trPr>
          <w:cantSplit/>
          <w:trHeight w:val="283"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  <w:r>
              <w:rPr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  <w:r>
              <w:rPr>
                <w:sz w:val="20"/>
              </w:rPr>
              <w:t>Štatutárny orgán</w:t>
            </w:r>
          </w:p>
        </w:tc>
        <w:tc>
          <w:tcPr>
            <w:tcW w:w="185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347F72">
        <w:trPr>
          <w:cantSplit/>
          <w:trHeight w:val="283"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85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</w:tr>
      <w:tr w:rsidR="00347F72">
        <w:trPr>
          <w:cantSplit/>
          <w:trHeight w:val="283"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85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</w:tr>
      <w:tr w:rsidR="00347F72">
        <w:trPr>
          <w:cantSplit/>
        </w:trPr>
        <w:tc>
          <w:tcPr>
            <w:tcW w:w="9514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  <w:r>
              <w:rPr>
                <w:sz w:val="20"/>
              </w:rPr>
              <w:t>b)pôžičky poskytnuté členom štatutárneho orgánu, dozorného orgánu a iného orgánu ÚJ</w:t>
            </w:r>
          </w:p>
        </w:tc>
      </w:tr>
      <w:tr w:rsidR="00347F72">
        <w:trPr>
          <w:cantSplit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Celková suma poskytnutých pôžičiek k poslednému dňu ÚO. obdobia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  <w:r>
              <w:rPr>
                <w:sz w:val="20"/>
              </w:rPr>
              <w:t>Štatutárny orgán</w:t>
            </w:r>
          </w:p>
        </w:tc>
        <w:tc>
          <w:tcPr>
            <w:tcW w:w="84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  <w:r>
              <w:rPr>
                <w:sz w:val="20"/>
              </w:rPr>
              <w:t>Úrok v %</w:t>
            </w:r>
          </w:p>
        </w:tc>
        <w:tc>
          <w:tcPr>
            <w:tcW w:w="1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  <w:r>
              <w:rPr>
                <w:sz w:val="20"/>
              </w:rPr>
              <w:t>EUR</w:t>
            </w:r>
          </w:p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347F72">
        <w:trPr>
          <w:cantSplit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  <w:tc>
          <w:tcPr>
            <w:tcW w:w="1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</w:tr>
      <w:tr w:rsidR="00347F72">
        <w:trPr>
          <w:cantSplit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  <w:tc>
          <w:tcPr>
            <w:tcW w:w="1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</w:tr>
      <w:tr w:rsidR="00347F72">
        <w:trPr>
          <w:cantSplit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Celková suma splatených pôžičiek k poslednému dňu účt. obdobia</w:t>
            </w:r>
          </w:p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347F72">
        <w:trPr>
          <w:cantSplit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  <w:tc>
          <w:tcPr>
            <w:tcW w:w="1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</w:tr>
      <w:tr w:rsidR="00347F72">
        <w:trPr>
          <w:cantSplit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  <w:tc>
          <w:tcPr>
            <w:tcW w:w="1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</w:tr>
      <w:tr w:rsidR="00347F72">
        <w:trPr>
          <w:cantSplit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 xml:space="preserve">Celková suma odpustených pôžičiek a odpísaných pôžičiek </w:t>
            </w:r>
          </w:p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 xml:space="preserve">k poslednému dňu účtovného obdobia 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347F72">
        <w:trPr>
          <w:cantSplit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  <w:tc>
          <w:tcPr>
            <w:tcW w:w="1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</w:tr>
      <w:tr w:rsidR="00347F72">
        <w:trPr>
          <w:cantSplit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  <w:tc>
          <w:tcPr>
            <w:tcW w:w="1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</w:tr>
      <w:tr w:rsidR="00347F72">
        <w:trPr>
          <w:cantSplit/>
          <w:trHeight w:val="283"/>
        </w:trPr>
        <w:tc>
          <w:tcPr>
            <w:tcW w:w="9514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  <w:r>
              <w:rPr>
                <w:sz w:val="20"/>
              </w:rPr>
              <w:t>c)celková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347F72">
        <w:trPr>
          <w:cantSplit/>
          <w:trHeight w:val="283"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  <w:r>
              <w:rPr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  <w:r>
              <w:rPr>
                <w:sz w:val="20"/>
              </w:rPr>
              <w:t>Štatutárny orgán</w:t>
            </w:r>
          </w:p>
        </w:tc>
        <w:tc>
          <w:tcPr>
            <w:tcW w:w="185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347F72">
        <w:trPr>
          <w:cantSplit/>
          <w:trHeight w:val="283"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85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</w:tr>
      <w:tr w:rsidR="00347F72">
        <w:trPr>
          <w:cantSplit/>
          <w:trHeight w:val="283"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85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</w:tr>
    </w:tbl>
    <w:p w:rsidR="00347F72" w:rsidRDefault="00347F72">
      <w:pPr>
        <w:jc w:val="both"/>
      </w:pPr>
    </w:p>
    <w:p w:rsidR="00347F72" w:rsidRDefault="00347F72">
      <w:pPr>
        <w:numPr>
          <w:ilvl w:val="0"/>
          <w:numId w:val="3"/>
        </w:numPr>
        <w:ind w:left="502"/>
        <w:jc w:val="both"/>
        <w:rPr>
          <w:b/>
          <w:bCs/>
          <w:sz w:val="21"/>
          <w:szCs w:val="21"/>
        </w:rPr>
      </w:pPr>
      <w:r>
        <w:rPr>
          <w:sz w:val="20"/>
        </w:rPr>
        <w:t xml:space="preserve">Informácie o povinnostiach účtovnej jednotky, a to – </w:t>
      </w:r>
      <w:r>
        <w:rPr>
          <w:b/>
          <w:bCs/>
          <w:sz w:val="20"/>
        </w:rPr>
        <w:t>spoločnosť nemá povinno</w:t>
      </w:r>
      <w:r>
        <w:rPr>
          <w:b/>
          <w:bCs/>
        </w:rPr>
        <w:t xml:space="preserve">sti </w:t>
      </w:r>
      <w:r>
        <w:rPr>
          <w:b/>
          <w:bCs/>
          <w:sz w:val="21"/>
          <w:szCs w:val="21"/>
        </w:rPr>
        <w:t>ktoré sa nevykazujú v súvahe</w:t>
      </w:r>
    </w:p>
    <w:p w:rsidR="00347F72" w:rsidRDefault="00347F72">
      <w:pPr>
        <w:numPr>
          <w:ilvl w:val="0"/>
          <w:numId w:val="9"/>
        </w:numPr>
        <w:ind w:left="1069"/>
        <w:jc w:val="both"/>
        <w:rPr>
          <w:sz w:val="20"/>
        </w:rPr>
      </w:pPr>
      <w:r>
        <w:rPr>
          <w:sz w:val="20"/>
        </w:rPr>
        <w:t>celkovej sume 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347F72" w:rsidRDefault="00347F72">
      <w:pPr>
        <w:jc w:val="both"/>
        <w:rPr>
          <w:sz w:val="20"/>
        </w:rPr>
      </w:pPr>
    </w:p>
    <w:p w:rsidR="00347F72" w:rsidRDefault="00347F72">
      <w:pPr>
        <w:numPr>
          <w:ilvl w:val="0"/>
          <w:numId w:val="9"/>
        </w:numPr>
        <w:ind w:left="1069"/>
        <w:jc w:val="both"/>
        <w:rPr>
          <w:sz w:val="20"/>
        </w:rPr>
      </w:pPr>
      <w:r>
        <w:rPr>
          <w:sz w:val="20"/>
        </w:rPr>
        <w:t>celkovej sume významných podmienených záväzkov, ktorými sa rozumie</w:t>
      </w:r>
    </w:p>
    <w:p w:rsidR="00347F72" w:rsidRDefault="00347F72">
      <w:pPr>
        <w:numPr>
          <w:ilvl w:val="0"/>
          <w:numId w:val="2"/>
        </w:numPr>
        <w:ind w:left="1636"/>
        <w:jc w:val="both"/>
        <w:rPr>
          <w:sz w:val="20"/>
        </w:rPr>
      </w:pPr>
      <w:r>
        <w:rPr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347F72" w:rsidRDefault="00347F72">
      <w:pPr>
        <w:numPr>
          <w:ilvl w:val="0"/>
          <w:numId w:val="2"/>
        </w:numPr>
        <w:ind w:left="1636"/>
        <w:jc w:val="both"/>
        <w:rPr>
          <w:sz w:val="20"/>
        </w:rPr>
      </w:pPr>
      <w:r>
        <w:rPr>
          <w:sz w:val="20"/>
        </w:rPr>
        <w:t>existujúca povinnosť, ktorá vznikla ako dôsledok minulej udalosti, ale ktorá sa nevykazuje v súvahe, pretože</w:t>
      </w:r>
    </w:p>
    <w:p w:rsidR="00347F72" w:rsidRDefault="00347F72">
      <w:pPr>
        <w:numPr>
          <w:ilvl w:val="0"/>
          <w:numId w:val="11"/>
        </w:numPr>
        <w:ind w:left="2061"/>
        <w:jc w:val="both"/>
        <w:rPr>
          <w:sz w:val="20"/>
        </w:rPr>
      </w:pPr>
      <w:r>
        <w:rPr>
          <w:sz w:val="20"/>
        </w:rPr>
        <w:t>nie je pravdepodobné, že na splnenie tejto povinnosti bude potrebný úbytok ekonomických úžitkov, alebo</w:t>
      </w:r>
    </w:p>
    <w:p w:rsidR="00347F72" w:rsidRDefault="00347F72">
      <w:pPr>
        <w:numPr>
          <w:ilvl w:val="0"/>
          <w:numId w:val="10"/>
        </w:numPr>
        <w:ind w:left="360"/>
        <w:jc w:val="both"/>
        <w:rPr>
          <w:sz w:val="20"/>
        </w:rPr>
      </w:pPr>
      <w:r>
        <w:rPr>
          <w:sz w:val="20"/>
        </w:rPr>
        <w:t>výška tejto povinnosti sa nedá spoľahlivo oceniť,</w:t>
      </w:r>
    </w:p>
    <w:p w:rsidR="00347F72" w:rsidRDefault="00347F72">
      <w:pPr>
        <w:numPr>
          <w:ilvl w:val="0"/>
          <w:numId w:val="9"/>
        </w:numPr>
        <w:ind w:left="1069"/>
        <w:jc w:val="both"/>
        <w:rPr>
          <w:sz w:val="20"/>
        </w:rPr>
      </w:pPr>
      <w:r>
        <w:rPr>
          <w:sz w:val="20"/>
        </w:rPr>
        <w:t>opise významných finančných povinností a významných podmienených záväzkov,</w:t>
      </w:r>
    </w:p>
    <w:p w:rsidR="00347F72" w:rsidRDefault="00347F72">
      <w:pPr>
        <w:numPr>
          <w:ilvl w:val="0"/>
          <w:numId w:val="9"/>
        </w:numPr>
        <w:ind w:left="1069"/>
        <w:jc w:val="both"/>
        <w:rPr>
          <w:sz w:val="20"/>
        </w:rPr>
      </w:pPr>
      <w:r>
        <w:rPr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347F72" w:rsidRDefault="00347F72">
      <w:pPr>
        <w:numPr>
          <w:ilvl w:val="0"/>
          <w:numId w:val="9"/>
        </w:numPr>
        <w:ind w:left="1069"/>
        <w:jc w:val="both"/>
        <w:rPr>
          <w:sz w:val="20"/>
        </w:rPr>
      </w:pPr>
      <w:r>
        <w:rPr>
          <w:sz w:val="20"/>
        </w:rPr>
        <w:t>opise významných povinností účtovnej jednotky vyplývajúcich z dôchodkových programov pre zamestnancov.</w:t>
      </w:r>
    </w:p>
    <w:p w:rsidR="00347F72" w:rsidRDefault="00347F72">
      <w:pPr>
        <w:jc w:val="both"/>
        <w:rPr>
          <w:sz w:val="20"/>
        </w:rPr>
      </w:pPr>
    </w:p>
    <w:p w:rsidR="00347F72" w:rsidRDefault="00347F72">
      <w:pPr>
        <w:numPr>
          <w:ilvl w:val="0"/>
          <w:numId w:val="3"/>
        </w:numPr>
        <w:ind w:left="502"/>
        <w:jc w:val="both"/>
        <w:rPr>
          <w:sz w:val="20"/>
        </w:rPr>
      </w:pPr>
      <w:bookmarkStart w:id="0" w:name="OLE_LINK1"/>
      <w:r>
        <w:rPr>
          <w:sz w:val="20"/>
        </w:rPr>
        <w:t>Informácie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347F72" w:rsidRDefault="00347F72">
      <w:pPr>
        <w:numPr>
          <w:ilvl w:val="0"/>
          <w:numId w:val="6"/>
        </w:numPr>
        <w:ind w:left="1069"/>
        <w:jc w:val="both"/>
        <w:rPr>
          <w:sz w:val="20"/>
        </w:rPr>
      </w:pPr>
      <w:r>
        <w:rPr>
          <w:sz w:val="20"/>
        </w:rPr>
        <w:t>všetkých formách prijatej náhrady,</w:t>
      </w:r>
    </w:p>
    <w:p w:rsidR="00347F72" w:rsidRDefault="00347F72">
      <w:pPr>
        <w:numPr>
          <w:ilvl w:val="0"/>
          <w:numId w:val="6"/>
        </w:numPr>
        <w:ind w:left="1069"/>
        <w:jc w:val="both"/>
        <w:rPr>
          <w:sz w:val="20"/>
        </w:rPr>
      </w:pPr>
      <w:r>
        <w:rPr>
          <w:sz w:val="20"/>
        </w:rPr>
        <w:t>účtovných zásadách použitých pri prideľovaní nákladov a výnosov,</w:t>
      </w:r>
    </w:p>
    <w:p w:rsidR="00347F72" w:rsidRDefault="00347F72">
      <w:pPr>
        <w:numPr>
          <w:ilvl w:val="0"/>
          <w:numId w:val="6"/>
        </w:numPr>
        <w:ind w:left="1069"/>
        <w:jc w:val="both"/>
        <w:rPr>
          <w:sz w:val="20"/>
        </w:rPr>
      </w:pPr>
      <w:r>
        <w:rPr>
          <w:sz w:val="20"/>
        </w:rPr>
        <w:t>všetkých druhoch činností účtovnej jednotky.</w:t>
      </w:r>
    </w:p>
    <w:bookmarkEnd w:id="0"/>
    <w:p w:rsidR="00347F72" w:rsidRDefault="00347F72">
      <w:pPr>
        <w:ind w:firstLine="709"/>
        <w:rPr>
          <w:b/>
          <w:sz w:val="20"/>
        </w:rPr>
      </w:pPr>
    </w:p>
    <w:p w:rsidR="00347F72" w:rsidRDefault="00347F72">
      <w:pPr>
        <w:jc w:val="right"/>
        <w:rPr>
          <w:sz w:val="20"/>
        </w:rPr>
      </w:pPr>
    </w:p>
    <w:p w:rsidR="00347F72" w:rsidRDefault="00347F72">
      <w:pPr>
        <w:rPr>
          <w:sz w:val="20"/>
        </w:rPr>
      </w:pPr>
      <w:r>
        <w:rPr>
          <w:sz w:val="20"/>
        </w:rPr>
        <w:t>Údaje v poznámkach sú uvádzané za bežne účtovné obdobie. Sumy sú uvádzané v celých eurách.</w:t>
      </w:r>
    </w:p>
    <w:p w:rsidR="00195935" w:rsidRDefault="00195935">
      <w:pPr>
        <w:rPr>
          <w:b/>
          <w:sz w:val="20"/>
        </w:rPr>
      </w:pPr>
      <w:r>
        <w:rPr>
          <w:b/>
          <w:sz w:val="20"/>
        </w:rPr>
        <w:t>C&amp;C PRODUCTION s.r.o. zanikla zlúčení so spoločnosťou PROPIS 10, s.r.o., Gorkého 10, 811 01 Bratislava,</w:t>
      </w:r>
    </w:p>
    <w:p w:rsidR="00195935" w:rsidRPr="00195935" w:rsidRDefault="00195935">
      <w:pPr>
        <w:rPr>
          <w:b/>
          <w:sz w:val="20"/>
        </w:rPr>
      </w:pPr>
      <w:r>
        <w:rPr>
          <w:b/>
          <w:sz w:val="20"/>
        </w:rPr>
        <w:t>rozhodujúci deň pre zlúčenie je 15.12.2016.</w:t>
      </w:r>
      <w:bookmarkStart w:id="1" w:name="_GoBack"/>
      <w:bookmarkEnd w:id="1"/>
    </w:p>
    <w:p w:rsidR="00195935" w:rsidRDefault="00195935">
      <w:pPr>
        <w:rPr>
          <w:sz w:val="20"/>
        </w:rPr>
      </w:pPr>
    </w:p>
    <w:p w:rsidR="00347F72" w:rsidRDefault="00347F72">
      <w:pPr>
        <w:rPr>
          <w:sz w:val="20"/>
        </w:rPr>
      </w:pPr>
      <w:r>
        <w:rPr>
          <w:sz w:val="20"/>
        </w:rPr>
        <w:t>ÚJ - účtovná jednotka</w:t>
      </w:r>
    </w:p>
    <w:p w:rsidR="00347F72" w:rsidRDefault="00347F72">
      <w:r>
        <w:rPr>
          <w:sz w:val="20"/>
        </w:rPr>
        <w:t>BO-bežné obdobie</w:t>
      </w:r>
    </w:p>
    <w:sectPr w:rsidR="00347F72">
      <w:headerReference w:type="default" r:id="rId9"/>
      <w:footerReference w:type="default" r:id="rId10"/>
      <w:footnotePr>
        <w:pos w:val="beneathText"/>
      </w:footnotePr>
      <w:pgSz w:w="11905" w:h="16837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0E1" w:rsidRDefault="005600E1">
      <w:r>
        <w:separator/>
      </w:r>
    </w:p>
  </w:endnote>
  <w:endnote w:type="continuationSeparator" w:id="0">
    <w:p w:rsidR="005600E1" w:rsidRDefault="00560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F72" w:rsidRDefault="00347F72">
    <w:pPr>
      <w:pStyle w:val="Pta"/>
      <w:jc w:val="center"/>
    </w:pPr>
    <w:r>
      <w:fldChar w:fldCharType="begin"/>
    </w:r>
    <w:r>
      <w:instrText xml:space="preserve"> PAGE \*ARABIC </w:instrText>
    </w:r>
    <w:r>
      <w:fldChar w:fldCharType="separate"/>
    </w:r>
    <w:r w:rsidR="00E560D5">
      <w:rPr>
        <w:noProof/>
      </w:rPr>
      <w:t>5</w:t>
    </w:r>
    <w:r>
      <w:fldChar w:fldCharType="end"/>
    </w:r>
  </w:p>
  <w:p w:rsidR="00347F72" w:rsidRDefault="00347F7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0E1" w:rsidRDefault="005600E1">
      <w:r>
        <w:separator/>
      </w:r>
    </w:p>
  </w:footnote>
  <w:footnote w:type="continuationSeparator" w:id="0">
    <w:p w:rsidR="005600E1" w:rsidRDefault="005600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4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60"/>
    </w:tblGrid>
    <w:tr w:rsidR="00347F72">
      <w:trPr>
        <w:cantSplit/>
        <w:trHeight w:val="330"/>
      </w:trPr>
      <w:tc>
        <w:tcPr>
          <w:tcW w:w="2710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  <w:vAlign w:val="bottom"/>
        </w:tcPr>
        <w:p w:rsidR="00347F72" w:rsidRDefault="00347F7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Poznámky Úč MÚJ 3 - 01</w:t>
          </w:r>
        </w:p>
      </w:tc>
      <w:tc>
        <w:tcPr>
          <w:tcW w:w="707" w:type="dxa"/>
          <w:tcBorders>
            <w:left w:val="single" w:sz="1" w:space="0" w:color="000000"/>
          </w:tcBorders>
          <w:vAlign w:val="bottom"/>
        </w:tcPr>
        <w:p w:rsidR="00347F72" w:rsidRDefault="00347F7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  <w:vAlign w:val="bottom"/>
        </w:tcPr>
        <w:p w:rsidR="00347F72" w:rsidRDefault="00D8571D">
          <w:pPr>
            <w:jc w:val="right"/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  <w:vAlign w:val="bottom"/>
        </w:tcPr>
        <w:p w:rsidR="00347F72" w:rsidRDefault="00347F72">
          <w:pPr>
            <w:jc w:val="right"/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  <w:vAlign w:val="bottom"/>
        </w:tcPr>
        <w:p w:rsidR="00347F72" w:rsidRDefault="00D8571D">
          <w:pPr>
            <w:jc w:val="right"/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346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  <w:vAlign w:val="bottom"/>
        </w:tcPr>
        <w:p w:rsidR="00347F72" w:rsidRDefault="00D8571D">
          <w:pPr>
            <w:jc w:val="right"/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346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  <w:vAlign w:val="bottom"/>
        </w:tcPr>
        <w:p w:rsidR="00347F72" w:rsidRDefault="00D8571D">
          <w:pPr>
            <w:jc w:val="right"/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346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  <w:vAlign w:val="bottom"/>
        </w:tcPr>
        <w:p w:rsidR="00347F72" w:rsidRDefault="00D8571D">
          <w:pPr>
            <w:jc w:val="right"/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  <w:vAlign w:val="bottom"/>
        </w:tcPr>
        <w:p w:rsidR="00347F72" w:rsidRDefault="00D8571D">
          <w:pPr>
            <w:jc w:val="right"/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  <w:vAlign w:val="bottom"/>
        </w:tcPr>
        <w:p w:rsidR="00347F72" w:rsidRDefault="00D8571D">
          <w:pPr>
            <w:jc w:val="right"/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681" w:type="dxa"/>
          <w:tcBorders>
            <w:left w:val="single" w:sz="1" w:space="0" w:color="000000"/>
          </w:tcBorders>
          <w:vAlign w:val="bottom"/>
        </w:tcPr>
        <w:p w:rsidR="00347F72" w:rsidRDefault="00347F7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</w:tcBorders>
          <w:vAlign w:val="center"/>
        </w:tcPr>
        <w:p w:rsidR="00347F72" w:rsidRDefault="00347F72">
          <w:pPr>
            <w:jc w:val="center"/>
            <w:rPr>
              <w:szCs w:val="22"/>
            </w:rPr>
          </w:pPr>
          <w:r>
            <w:rPr>
              <w:szCs w:val="22"/>
            </w:rPr>
            <w:t>2 </w:t>
          </w:r>
        </w:p>
      </w:tc>
      <w:tc>
        <w:tcPr>
          <w:tcW w:w="344" w:type="dxa"/>
          <w:tcBorders>
            <w:top w:val="single" w:sz="1" w:space="0" w:color="000000"/>
            <w:bottom w:val="single" w:sz="1" w:space="0" w:color="000000"/>
            <w:right w:val="single" w:sz="1" w:space="0" w:color="000000"/>
          </w:tcBorders>
          <w:vAlign w:val="center"/>
        </w:tcPr>
        <w:p w:rsidR="00347F72" w:rsidRDefault="00347F72">
          <w:pPr>
            <w:jc w:val="center"/>
            <w:rPr>
              <w:szCs w:val="22"/>
            </w:rPr>
          </w:pPr>
          <w:r>
            <w:rPr>
              <w:szCs w:val="22"/>
            </w:rPr>
            <w:t>0 </w:t>
          </w:r>
        </w:p>
      </w:tc>
      <w:tc>
        <w:tcPr>
          <w:tcW w:w="344" w:type="dxa"/>
          <w:tcBorders>
            <w:top w:val="single" w:sz="1" w:space="0" w:color="000000"/>
            <w:bottom w:val="single" w:sz="1" w:space="0" w:color="000000"/>
            <w:right w:val="single" w:sz="1" w:space="0" w:color="000000"/>
          </w:tcBorders>
          <w:vAlign w:val="center"/>
        </w:tcPr>
        <w:p w:rsidR="00347F72" w:rsidRDefault="00347F72">
          <w:pPr>
            <w:jc w:val="center"/>
            <w:rPr>
              <w:szCs w:val="22"/>
            </w:rPr>
          </w:pPr>
          <w:r>
            <w:rPr>
              <w:szCs w:val="22"/>
            </w:rPr>
            <w:t>2 </w:t>
          </w:r>
        </w:p>
      </w:tc>
      <w:tc>
        <w:tcPr>
          <w:tcW w:w="344" w:type="dxa"/>
          <w:tcBorders>
            <w:top w:val="single" w:sz="1" w:space="0" w:color="000000"/>
            <w:bottom w:val="single" w:sz="1" w:space="0" w:color="000000"/>
            <w:right w:val="single" w:sz="1" w:space="0" w:color="000000"/>
          </w:tcBorders>
          <w:vAlign w:val="center"/>
        </w:tcPr>
        <w:p w:rsidR="00347F72" w:rsidRDefault="00347F72">
          <w:pPr>
            <w:jc w:val="center"/>
            <w:rPr>
              <w:szCs w:val="22"/>
            </w:rPr>
          </w:pPr>
          <w:r>
            <w:rPr>
              <w:szCs w:val="22"/>
            </w:rPr>
            <w:t>2 </w:t>
          </w:r>
        </w:p>
      </w:tc>
      <w:tc>
        <w:tcPr>
          <w:tcW w:w="344" w:type="dxa"/>
          <w:tcBorders>
            <w:top w:val="single" w:sz="1" w:space="0" w:color="000000"/>
            <w:bottom w:val="single" w:sz="1" w:space="0" w:color="000000"/>
            <w:right w:val="single" w:sz="1" w:space="0" w:color="000000"/>
          </w:tcBorders>
          <w:vAlign w:val="center"/>
        </w:tcPr>
        <w:p w:rsidR="00347F72" w:rsidRDefault="00347F72">
          <w:pPr>
            <w:jc w:val="center"/>
            <w:rPr>
              <w:szCs w:val="22"/>
            </w:rPr>
          </w:pPr>
          <w:r>
            <w:rPr>
              <w:szCs w:val="22"/>
            </w:rPr>
            <w:t>7 </w:t>
          </w:r>
        </w:p>
      </w:tc>
      <w:tc>
        <w:tcPr>
          <w:tcW w:w="344" w:type="dxa"/>
          <w:tcBorders>
            <w:top w:val="single" w:sz="1" w:space="0" w:color="000000"/>
            <w:bottom w:val="single" w:sz="1" w:space="0" w:color="000000"/>
            <w:right w:val="single" w:sz="1" w:space="0" w:color="000000"/>
          </w:tcBorders>
          <w:vAlign w:val="center"/>
        </w:tcPr>
        <w:p w:rsidR="00347F72" w:rsidRDefault="00D8571D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="00347F72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1" w:space="0" w:color="000000"/>
            <w:bottom w:val="single" w:sz="1" w:space="0" w:color="000000"/>
            <w:right w:val="single" w:sz="1" w:space="0" w:color="000000"/>
          </w:tcBorders>
          <w:vAlign w:val="center"/>
        </w:tcPr>
        <w:p w:rsidR="00347F72" w:rsidRDefault="00D8571D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="00347F72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1" w:space="0" w:color="000000"/>
            <w:bottom w:val="single" w:sz="1" w:space="0" w:color="000000"/>
            <w:right w:val="single" w:sz="1" w:space="0" w:color="000000"/>
          </w:tcBorders>
          <w:vAlign w:val="center"/>
        </w:tcPr>
        <w:p w:rsidR="00347F72" w:rsidRDefault="00D8571D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="00347F72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1" w:space="0" w:color="000000"/>
            <w:bottom w:val="single" w:sz="1" w:space="0" w:color="000000"/>
            <w:right w:val="single" w:sz="1" w:space="0" w:color="000000"/>
          </w:tcBorders>
          <w:vAlign w:val="center"/>
        </w:tcPr>
        <w:p w:rsidR="00347F72" w:rsidRDefault="00D8571D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="00347F72">
            <w:rPr>
              <w:szCs w:val="22"/>
            </w:rPr>
            <w:t> </w:t>
          </w:r>
        </w:p>
      </w:tc>
      <w:tc>
        <w:tcPr>
          <w:tcW w:w="360" w:type="dxa"/>
          <w:tcBorders>
            <w:top w:val="single" w:sz="1" w:space="0" w:color="000000"/>
            <w:bottom w:val="single" w:sz="1" w:space="0" w:color="000000"/>
            <w:right w:val="single" w:sz="1" w:space="0" w:color="000000"/>
          </w:tcBorders>
          <w:vAlign w:val="center"/>
        </w:tcPr>
        <w:p w:rsidR="00347F72" w:rsidRDefault="00D8571D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="00347F72">
            <w:rPr>
              <w:szCs w:val="22"/>
            </w:rPr>
            <w:t> </w:t>
          </w:r>
        </w:p>
      </w:tc>
    </w:tr>
  </w:tbl>
  <w:p w:rsidR="00347F72" w:rsidRDefault="00347F72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2510"/>
        </w:tabs>
        <w:ind w:left="251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561"/>
        </w:tabs>
        <w:ind w:left="2561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(%1)"/>
      <w:lvlJc w:val="left"/>
      <w:pPr>
        <w:tabs>
          <w:tab w:val="num" w:pos="1481"/>
        </w:tabs>
        <w:ind w:left="1481" w:hanging="360"/>
      </w:pPr>
      <w:rPr>
        <w:rFonts w:ascii="Times New Roman" w:hAnsi="Times New Roman" w:cs="Times New Roman"/>
        <w:b w:val="0"/>
        <w:i w:val="0"/>
        <w:sz w:val="20"/>
        <w:szCs w:val="24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(%1)"/>
      <w:lvlJc w:val="left"/>
      <w:pPr>
        <w:tabs>
          <w:tab w:val="num" w:pos="1481"/>
        </w:tabs>
        <w:ind w:left="1481" w:hanging="360"/>
      </w:pPr>
      <w:rPr>
        <w:rFonts w:ascii="Times New Roman" w:hAnsi="Times New Roman" w:cs="Times New Roman"/>
        <w:b w:val="0"/>
        <w:i w:val="0"/>
        <w:sz w:val="20"/>
        <w:szCs w:val="24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(%1)"/>
      <w:lvlJc w:val="left"/>
      <w:pPr>
        <w:tabs>
          <w:tab w:val="num" w:pos="3479"/>
        </w:tabs>
        <w:ind w:left="3479" w:hanging="360"/>
      </w:pPr>
      <w:rPr>
        <w:rFonts w:ascii="Times New Roman" w:hAnsi="Times New Roman" w:cs="Times New Roman"/>
        <w:b w:val="0"/>
        <w:i w:val="0"/>
        <w:sz w:val="20"/>
        <w:szCs w:val="24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1841"/>
        </w:tabs>
        <w:ind w:left="1841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9">
    <w:nsid w:val="0000000A"/>
    <w:multiLevelType w:val="singleLevel"/>
    <w:tmpl w:val="0000000A"/>
    <w:name w:val="WW8Num10"/>
    <w:lvl w:ilvl="0">
      <w:start w:val="2"/>
      <w:numFmt w:val="decimal"/>
      <w:lvlText w:val="%1b."/>
      <w:lvlJc w:val="left"/>
      <w:pPr>
        <w:tabs>
          <w:tab w:val="num" w:pos="2510"/>
        </w:tabs>
        <w:ind w:left="2510" w:hanging="360"/>
      </w:pPr>
    </w:lvl>
  </w:abstractNum>
  <w:abstractNum w:abstractNumId="10">
    <w:nsid w:val="0000000B"/>
    <w:multiLevelType w:val="singleLevel"/>
    <w:tmpl w:val="0000000B"/>
    <w:name w:val="WW8Num11"/>
    <w:lvl w:ilvl="0">
      <w:start w:val="2"/>
      <w:numFmt w:val="decimal"/>
      <w:lvlText w:val="%1a."/>
      <w:lvlJc w:val="left"/>
      <w:pPr>
        <w:tabs>
          <w:tab w:val="num" w:pos="2510"/>
        </w:tabs>
        <w:ind w:left="2510" w:hanging="360"/>
      </w:pPr>
    </w:lvl>
  </w:abstractNum>
  <w:abstractNum w:abstractNumId="11">
    <w:nsid w:val="0000000C"/>
    <w:multiLevelType w:val="multilevel"/>
    <w:tmpl w:val="0000000C"/>
    <w:lvl w:ilvl="0">
      <w:start w:val="1"/>
      <w:numFmt w:val="decimal"/>
      <w:pStyle w:val="Nadpis1"/>
      <w:lvlText w:val="§ %1"/>
      <w:lvlJc w:val="center"/>
      <w:pPr>
        <w:tabs>
          <w:tab w:val="num" w:pos="4613"/>
        </w:tabs>
        <w:ind w:left="4613" w:hanging="360"/>
      </w:pPr>
      <w:rPr>
        <w:rFonts w:ascii="Times New Roman" w:hAnsi="Times New Roman" w:cs="Times New Roman"/>
        <w:b/>
        <w:bCs/>
        <w:sz w:val="24"/>
        <w:szCs w:val="24"/>
        <w:lang w:val="x-none" w:eastAsia="x-none" w:bidi="x-none"/>
      </w:rPr>
    </w:lvl>
    <w:lvl w:ilvl="1">
      <w:start w:val="1"/>
      <w:numFmt w:val="none"/>
      <w:pStyle w:val="Nadpis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dpis5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dpis6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782"/>
    <w:rsid w:val="00055C56"/>
    <w:rsid w:val="00074709"/>
    <w:rsid w:val="00195935"/>
    <w:rsid w:val="00347F72"/>
    <w:rsid w:val="005600E1"/>
    <w:rsid w:val="00B35782"/>
    <w:rsid w:val="00D8571D"/>
    <w:rsid w:val="00E5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y"/>
    <w:next w:val="Nadpis2"/>
    <w:qFormat/>
    <w:pPr>
      <w:keepNext/>
      <w:numPr>
        <w:numId w:val="12"/>
      </w:numPr>
      <w:spacing w:before="240" w:after="60"/>
      <w:ind w:left="4073"/>
      <w:jc w:val="center"/>
      <w:outlineLvl w:val="0"/>
    </w:pPr>
    <w:rPr>
      <w:rFonts w:cs="Arial"/>
      <w:b/>
      <w:bCs/>
      <w:kern w:val="1"/>
      <w:szCs w:val="32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2"/>
      </w:numPr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numPr>
        <w:ilvl w:val="2"/>
        <w:numId w:val="12"/>
      </w:numPr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numPr>
        <w:ilvl w:val="3"/>
        <w:numId w:val="12"/>
      </w:numPr>
      <w:ind w:left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numPr>
        <w:ilvl w:val="4"/>
        <w:numId w:val="12"/>
      </w:numPr>
      <w:ind w:left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numPr>
        <w:ilvl w:val="5"/>
        <w:numId w:val="12"/>
      </w:numPr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3z0">
    <w:name w:val="WW8Num3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8Num4z0">
    <w:name w:val="WW8Num4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8Num5z0">
    <w:name w:val="WW8Num5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8Num6z0">
    <w:name w:val="WW8Num6z0"/>
    <w:rPr>
      <w:rFonts w:ascii="Times New Roman" w:hAnsi="Times New Roman" w:cs="Times New Roman"/>
      <w:sz w:val="24"/>
      <w:szCs w:val="24"/>
    </w:rPr>
  </w:style>
  <w:style w:type="character" w:customStyle="1" w:styleId="WW8Num8z0">
    <w:name w:val="WW8Num8z0"/>
    <w:rPr>
      <w:rFonts w:ascii="Times New Roman" w:hAnsi="Times New Roman" w:cs="Times New Roman"/>
      <w:sz w:val="24"/>
      <w:szCs w:val="24"/>
    </w:rPr>
  </w:style>
  <w:style w:type="character" w:customStyle="1" w:styleId="WW8Num9z0">
    <w:name w:val="WW8Num9z0"/>
    <w:rPr>
      <w:rFonts w:ascii="Times New Roman" w:hAnsi="Times New Roman" w:cs="Times New Roman"/>
      <w:sz w:val="24"/>
      <w:szCs w:val="24"/>
    </w:rPr>
  </w:style>
  <w:style w:type="character" w:customStyle="1" w:styleId="WW8Num12z0">
    <w:name w:val="WW8Num12z0"/>
    <w:rPr>
      <w:rFonts w:ascii="Times New Roman" w:hAnsi="Times New Roman" w:cs="Times New Roman"/>
      <w:b/>
      <w:bCs/>
      <w:sz w:val="24"/>
      <w:szCs w:val="24"/>
      <w:lang w:val="x-none" w:eastAsia="x-none" w:bidi="x-none"/>
    </w:rPr>
  </w:style>
  <w:style w:type="character" w:customStyle="1" w:styleId="WW-Absatz-Standardschriftart">
    <w:name w:val="WW-Absatz-Standardschriftart"/>
  </w:style>
  <w:style w:type="character" w:customStyle="1" w:styleId="WW-WW8Num3z0">
    <w:name w:val="WW-WW8Num3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4z0">
    <w:name w:val="WW-WW8Num4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5z0">
    <w:name w:val="WW-WW8Num5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6z0">
    <w:name w:val="WW-WW8Num6z0"/>
    <w:rPr>
      <w:rFonts w:ascii="Times New Roman" w:hAnsi="Times New Roman" w:cs="Times New Roman"/>
      <w:sz w:val="24"/>
      <w:szCs w:val="24"/>
    </w:rPr>
  </w:style>
  <w:style w:type="character" w:customStyle="1" w:styleId="WW-WW8Num8z0">
    <w:name w:val="WW-WW8Num8z0"/>
    <w:rPr>
      <w:rFonts w:ascii="Times New Roman" w:hAnsi="Times New Roman" w:cs="Times New Roman"/>
      <w:sz w:val="24"/>
      <w:szCs w:val="24"/>
    </w:rPr>
  </w:style>
  <w:style w:type="character" w:customStyle="1" w:styleId="WW-WW8Num9z0">
    <w:name w:val="WW-WW8Num9z0"/>
    <w:rPr>
      <w:rFonts w:ascii="Times New Roman" w:hAnsi="Times New Roman" w:cs="Times New Roman"/>
      <w:sz w:val="24"/>
      <w:szCs w:val="24"/>
    </w:rPr>
  </w:style>
  <w:style w:type="character" w:customStyle="1" w:styleId="WW-WW8Num12z0">
    <w:name w:val="WW-WW8Num12z0"/>
    <w:rPr>
      <w:rFonts w:ascii="Times New Roman" w:hAnsi="Times New Roman" w:cs="Times New Roman"/>
      <w:b/>
      <w:bCs/>
      <w:sz w:val="24"/>
      <w:szCs w:val="24"/>
      <w:lang w:val="x-none" w:eastAsia="x-none" w:bidi="x-none"/>
    </w:rPr>
  </w:style>
  <w:style w:type="character" w:customStyle="1" w:styleId="WW-Absatz-Standardschriftart1">
    <w:name w:val="WW-Absatz-Standardschriftart1"/>
  </w:style>
  <w:style w:type="character" w:customStyle="1" w:styleId="WW-WW8Num3z01">
    <w:name w:val="WW-WW8Num3z01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4z01">
    <w:name w:val="WW-WW8Num4z01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5z01">
    <w:name w:val="WW-WW8Num5z01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6z01">
    <w:name w:val="WW-WW8Num6z01"/>
    <w:rPr>
      <w:rFonts w:ascii="Times New Roman" w:hAnsi="Times New Roman" w:cs="Times New Roman"/>
      <w:sz w:val="24"/>
      <w:szCs w:val="24"/>
    </w:rPr>
  </w:style>
  <w:style w:type="character" w:customStyle="1" w:styleId="WW-WW8Num8z01">
    <w:name w:val="WW-WW8Num8z01"/>
    <w:rPr>
      <w:rFonts w:ascii="Times New Roman" w:hAnsi="Times New Roman" w:cs="Times New Roman"/>
      <w:sz w:val="24"/>
      <w:szCs w:val="24"/>
    </w:rPr>
  </w:style>
  <w:style w:type="character" w:customStyle="1" w:styleId="WW-WW8Num9z01">
    <w:name w:val="WW-WW8Num9z01"/>
    <w:rPr>
      <w:rFonts w:ascii="Times New Roman" w:hAnsi="Times New Roman" w:cs="Times New Roman"/>
      <w:sz w:val="24"/>
      <w:szCs w:val="24"/>
    </w:rPr>
  </w:style>
  <w:style w:type="character" w:customStyle="1" w:styleId="WW-WW8Num12z01">
    <w:name w:val="WW-WW8Num12z01"/>
    <w:rPr>
      <w:rFonts w:ascii="Times New Roman" w:hAnsi="Times New Roman" w:cs="Times New Roman"/>
      <w:b/>
      <w:bCs/>
      <w:sz w:val="24"/>
      <w:szCs w:val="24"/>
      <w:lang w:val="x-none" w:eastAsia="x-none" w:bidi="x-none"/>
    </w:rPr>
  </w:style>
  <w:style w:type="character" w:customStyle="1" w:styleId="WW-Absatz-Standardschriftart11">
    <w:name w:val="WW-Absatz-Standardschriftart11"/>
  </w:style>
  <w:style w:type="character" w:customStyle="1" w:styleId="WW8Num2z0">
    <w:name w:val="WW8Num2z0"/>
    <w:rPr>
      <w:rFonts w:ascii="Times New Roman" w:hAnsi="Times New Roman" w:cs="Times New Roman"/>
      <w:sz w:val="24"/>
      <w:szCs w:val="24"/>
    </w:rPr>
  </w:style>
  <w:style w:type="character" w:customStyle="1" w:styleId="WW-WW8Num5z011">
    <w:name w:val="WW-WW8Num5z011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6z011">
    <w:name w:val="WW-WW8Num6z011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8Num7z0">
    <w:name w:val="WW8Num7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9z011">
    <w:name w:val="WW-WW8Num9z011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8Num10z0">
    <w:name w:val="WW8Num10z0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Pr>
      <w:rFonts w:ascii="Times New Roman" w:hAnsi="Times New Roman" w:cs="Times New Roman"/>
      <w:sz w:val="24"/>
      <w:szCs w:val="24"/>
    </w:rPr>
  </w:style>
  <w:style w:type="character" w:customStyle="1" w:styleId="WW8Num13z0">
    <w:name w:val="WW8Num13z0"/>
    <w:rPr>
      <w:rFonts w:ascii="Times New Roman" w:hAnsi="Times New Roman" w:cs="Times New Roman"/>
      <w:sz w:val="24"/>
      <w:szCs w:val="24"/>
    </w:rPr>
  </w:style>
  <w:style w:type="character" w:customStyle="1" w:styleId="WW8Num15z0">
    <w:name w:val="WW8Num15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8Num16z0">
    <w:name w:val="WW8Num16z0"/>
    <w:rPr>
      <w:rFonts w:ascii="Times New Roman" w:hAnsi="Times New Roman" w:cs="Times New Roman"/>
      <w:sz w:val="24"/>
      <w:szCs w:val="24"/>
    </w:rPr>
  </w:style>
  <w:style w:type="character" w:customStyle="1" w:styleId="WW8Num17z0">
    <w:name w:val="WW8Num17z0"/>
    <w:rPr>
      <w:rFonts w:ascii="Times New Roman" w:hAnsi="Times New Roman" w:cs="Times New Roman"/>
      <w:sz w:val="24"/>
      <w:szCs w:val="24"/>
    </w:rPr>
  </w:style>
  <w:style w:type="character" w:customStyle="1" w:styleId="WW8Num18z0">
    <w:name w:val="WW8Num18z0"/>
    <w:rPr>
      <w:rFonts w:ascii="Times New Roman" w:hAnsi="Times New Roman" w:cs="Times New Roman"/>
      <w:b/>
      <w:bCs/>
      <w:sz w:val="24"/>
      <w:szCs w:val="24"/>
      <w:lang w:val="x-none" w:eastAsia="x-none" w:bidi="x-none"/>
    </w:rPr>
  </w:style>
  <w:style w:type="character" w:customStyle="1" w:styleId="WW-Predvolenpsmoodseku">
    <w:name w:val="WW-Predvolené písmo odseku"/>
  </w:style>
  <w:style w:type="character" w:customStyle="1" w:styleId="Znakyprepoznmkupodiarou">
    <w:name w:val="Znaky pre poznámku pod čiarou"/>
  </w:style>
  <w:style w:type="character" w:customStyle="1" w:styleId="WW-Znakyprepoznmkupodiarou">
    <w:name w:val="WW-Znaky pre poznámku pod čiarou"/>
  </w:style>
  <w:style w:type="character" w:customStyle="1" w:styleId="WW-Znakyprepoznmkupodiarou1">
    <w:name w:val="WW-Znaky pre poznámku pod čiarou1"/>
  </w:style>
  <w:style w:type="character" w:customStyle="1" w:styleId="WW-Znakyprepoznmkupodiarou11">
    <w:name w:val="WW-Znaky pre poznámku pod čiarou11"/>
    <w:rPr>
      <w:vertAlign w:val="superscript"/>
    </w:rPr>
  </w:style>
  <w:style w:type="character" w:styleId="slostrany">
    <w:name w:val="page number"/>
    <w:basedOn w:val="WW-Predvolenpsmoodseku"/>
    <w:semiHidden/>
  </w:style>
  <w:style w:type="character" w:customStyle="1" w:styleId="PtaChar">
    <w:name w:val="Päta Char"/>
    <w:rPr>
      <w:sz w:val="24"/>
      <w:szCs w:val="24"/>
    </w:rPr>
  </w:style>
  <w:style w:type="character" w:customStyle="1" w:styleId="TextkoncovejpoznmkyChar">
    <w:name w:val="Text koncovej poznámky Char"/>
    <w:basedOn w:val="WW-Predvolenpsmoodseku"/>
  </w:style>
  <w:style w:type="character" w:customStyle="1" w:styleId="Znakyprevysvetlivky">
    <w:name w:val="Znaky pre vysvetlivky"/>
  </w:style>
  <w:style w:type="character" w:customStyle="1" w:styleId="WW-Znakyprevysvetlivky">
    <w:name w:val="WW-Znaky pre vysvetlivky"/>
  </w:style>
  <w:style w:type="character" w:customStyle="1" w:styleId="WW-Znakyprevysvetlivky1">
    <w:name w:val="WW-Znaky pre vysvetlivky1"/>
  </w:style>
  <w:style w:type="character" w:customStyle="1" w:styleId="WW-Znakyprevysvetlivky11">
    <w:name w:val="WW-Znaky pre vysvetlivky11"/>
    <w:rPr>
      <w:vertAlign w:val="superscript"/>
    </w:rPr>
  </w:style>
  <w:style w:type="character" w:customStyle="1" w:styleId="HlavikaChar">
    <w:name w:val="Hlavička Char"/>
    <w:rPr>
      <w:sz w:val="24"/>
      <w:szCs w:val="24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tl">
    <w:name w:val="tl"/>
    <w:basedOn w:val="WW-Predvolenpsmoodseku"/>
  </w:style>
  <w:style w:type="character" w:customStyle="1" w:styleId="tl1Char">
    <w:name w:val="Štýl1 Char"/>
    <w:basedOn w:val="PtaChar"/>
    <w:rPr>
      <w:sz w:val="24"/>
      <w:szCs w:val="24"/>
    </w:rPr>
  </w:style>
  <w:style w:type="character" w:customStyle="1" w:styleId="ra">
    <w:name w:val="ra"/>
    <w:basedOn w:val="WW-Predvolenpsmoodseku"/>
  </w:style>
  <w:style w:type="character" w:customStyle="1" w:styleId="OdsekzoznamuChar">
    <w:name w:val="Odsek zoznamu Char"/>
    <w:rPr>
      <w:sz w:val="24"/>
      <w:szCs w:val="24"/>
    </w:rPr>
  </w:style>
  <w:style w:type="paragraph" w:styleId="Zkladntext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oznam">
    <w:name w:val="List"/>
    <w:basedOn w:val="Zkladntext"/>
    <w:semiHidden/>
    <w:rPr>
      <w:rFonts w:cs="Tahoma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Obsah">
    <w:name w:val="Obsah"/>
    <w:basedOn w:val="Normlny"/>
    <w:pPr>
      <w:suppressLineNumbers/>
    </w:pPr>
    <w:rPr>
      <w:rFonts w:cs="Tahoma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Zkladntext0">
    <w:name w:val="Základní text"/>
    <w:pPr>
      <w:suppressAutoHyphens/>
      <w:spacing w:after="240"/>
      <w:jc w:val="both"/>
    </w:pPr>
    <w:rPr>
      <w:color w:val="000000"/>
      <w:sz w:val="24"/>
      <w:lang w:eastAsia="ar-SA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paragraph" w:styleId="Pta">
    <w:name w:val="footer"/>
    <w:basedOn w:val="Normlny"/>
    <w:semiHidden/>
    <w:pPr>
      <w:tabs>
        <w:tab w:val="center" w:pos="4536"/>
        <w:tab w:val="right" w:pos="9072"/>
      </w:tabs>
      <w:jc w:val="right"/>
    </w:pPr>
    <w:rPr>
      <w:lang w:val="x-none"/>
    </w:rPr>
  </w:style>
  <w:style w:type="paragraph" w:customStyle="1" w:styleId="WW-Zkladntext2">
    <w:name w:val="WW-Základný text 2"/>
    <w:basedOn w:val="Normlny"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customStyle="1" w:styleId="WW-Zarkazkladnhotextu2">
    <w:name w:val="WW-Zarážka základného textu 2"/>
    <w:basedOn w:val="Normlny"/>
    <w:pPr>
      <w:ind w:firstLine="360"/>
    </w:pPr>
  </w:style>
  <w:style w:type="paragraph" w:customStyle="1" w:styleId="WW-Zkladntext3">
    <w:name w:val="WW-Základný text 3"/>
    <w:basedOn w:val="Normlny"/>
    <w:pPr>
      <w:ind w:right="-468"/>
      <w:jc w:val="both"/>
    </w:pPr>
    <w:rPr>
      <w:b/>
      <w:bCs/>
    </w:rPr>
  </w:style>
  <w:style w:type="paragraph" w:customStyle="1" w:styleId="WW-Oznaitext">
    <w:name w:val="WW-Označiť text"/>
    <w:basedOn w:val="Normlny"/>
    <w:pPr>
      <w:ind w:left="1680" w:right="-468" w:hanging="240"/>
    </w:pPr>
  </w:style>
  <w:style w:type="paragraph" w:customStyle="1" w:styleId="WW-Zarkazkladnhotextu3">
    <w:name w:val="WW-Zarážka základného textu 3"/>
    <w:basedOn w:val="Normlny"/>
    <w:pPr>
      <w:ind w:right="-468" w:firstLine="720"/>
      <w:jc w:val="both"/>
    </w:pPr>
    <w:rPr>
      <w:bCs/>
    </w:rPr>
  </w:style>
  <w:style w:type="paragraph" w:styleId="Hlavika">
    <w:name w:val="header"/>
    <w:basedOn w:val="Normlny"/>
    <w:semiHidden/>
    <w:pPr>
      <w:tabs>
        <w:tab w:val="center" w:pos="4703"/>
        <w:tab w:val="right" w:pos="9406"/>
      </w:tabs>
    </w:pPr>
    <w:rPr>
      <w:lang w:val="x-none"/>
    </w:rPr>
  </w:style>
  <w:style w:type="paragraph" w:customStyle="1" w:styleId="WW-Odsekzoznamu">
    <w:name w:val="WW-Odsek zoznamu"/>
    <w:basedOn w:val="Normlny"/>
    <w:pPr>
      <w:ind w:left="708"/>
    </w:pPr>
    <w:rPr>
      <w:lang w:val="x-none"/>
    </w:rPr>
  </w:style>
  <w:style w:type="paragraph" w:styleId="Textvysvetlivky">
    <w:name w:val="endnote text"/>
    <w:basedOn w:val="Normlny"/>
    <w:semiHidden/>
    <w:rPr>
      <w:sz w:val="20"/>
      <w:szCs w:val="20"/>
    </w:rPr>
  </w:style>
  <w:style w:type="paragraph" w:customStyle="1" w:styleId="WW-Textbubliny">
    <w:name w:val="WW-Text bubliny"/>
    <w:basedOn w:val="Normlny"/>
    <w:rPr>
      <w:rFonts w:ascii="Tahoma" w:hAnsi="Tahoma"/>
      <w:sz w:val="16"/>
      <w:szCs w:val="16"/>
      <w:lang w:val="x-none"/>
    </w:rPr>
  </w:style>
  <w:style w:type="paragraph" w:customStyle="1" w:styleId="tl1">
    <w:name w:val="Štýl1"/>
    <w:basedOn w:val="Pta"/>
  </w:style>
  <w:style w:type="paragraph" w:customStyle="1" w:styleId="Obsahtabuky">
    <w:name w:val="Obsah tabuľky"/>
    <w:basedOn w:val="Zkladntext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y"/>
    <w:next w:val="Nadpis2"/>
    <w:qFormat/>
    <w:pPr>
      <w:keepNext/>
      <w:numPr>
        <w:numId w:val="12"/>
      </w:numPr>
      <w:spacing w:before="240" w:after="60"/>
      <w:ind w:left="4073"/>
      <w:jc w:val="center"/>
      <w:outlineLvl w:val="0"/>
    </w:pPr>
    <w:rPr>
      <w:rFonts w:cs="Arial"/>
      <w:b/>
      <w:bCs/>
      <w:kern w:val="1"/>
      <w:szCs w:val="32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2"/>
      </w:numPr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numPr>
        <w:ilvl w:val="2"/>
        <w:numId w:val="12"/>
      </w:numPr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numPr>
        <w:ilvl w:val="3"/>
        <w:numId w:val="12"/>
      </w:numPr>
      <w:ind w:left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numPr>
        <w:ilvl w:val="4"/>
        <w:numId w:val="12"/>
      </w:numPr>
      <w:ind w:left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numPr>
        <w:ilvl w:val="5"/>
        <w:numId w:val="12"/>
      </w:numPr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3z0">
    <w:name w:val="WW8Num3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8Num4z0">
    <w:name w:val="WW8Num4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8Num5z0">
    <w:name w:val="WW8Num5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8Num6z0">
    <w:name w:val="WW8Num6z0"/>
    <w:rPr>
      <w:rFonts w:ascii="Times New Roman" w:hAnsi="Times New Roman" w:cs="Times New Roman"/>
      <w:sz w:val="24"/>
      <w:szCs w:val="24"/>
    </w:rPr>
  </w:style>
  <w:style w:type="character" w:customStyle="1" w:styleId="WW8Num8z0">
    <w:name w:val="WW8Num8z0"/>
    <w:rPr>
      <w:rFonts w:ascii="Times New Roman" w:hAnsi="Times New Roman" w:cs="Times New Roman"/>
      <w:sz w:val="24"/>
      <w:szCs w:val="24"/>
    </w:rPr>
  </w:style>
  <w:style w:type="character" w:customStyle="1" w:styleId="WW8Num9z0">
    <w:name w:val="WW8Num9z0"/>
    <w:rPr>
      <w:rFonts w:ascii="Times New Roman" w:hAnsi="Times New Roman" w:cs="Times New Roman"/>
      <w:sz w:val="24"/>
      <w:szCs w:val="24"/>
    </w:rPr>
  </w:style>
  <w:style w:type="character" w:customStyle="1" w:styleId="WW8Num12z0">
    <w:name w:val="WW8Num12z0"/>
    <w:rPr>
      <w:rFonts w:ascii="Times New Roman" w:hAnsi="Times New Roman" w:cs="Times New Roman"/>
      <w:b/>
      <w:bCs/>
      <w:sz w:val="24"/>
      <w:szCs w:val="24"/>
      <w:lang w:val="x-none" w:eastAsia="x-none" w:bidi="x-none"/>
    </w:rPr>
  </w:style>
  <w:style w:type="character" w:customStyle="1" w:styleId="WW-Absatz-Standardschriftart">
    <w:name w:val="WW-Absatz-Standardschriftart"/>
  </w:style>
  <w:style w:type="character" w:customStyle="1" w:styleId="WW-WW8Num3z0">
    <w:name w:val="WW-WW8Num3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4z0">
    <w:name w:val="WW-WW8Num4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5z0">
    <w:name w:val="WW-WW8Num5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6z0">
    <w:name w:val="WW-WW8Num6z0"/>
    <w:rPr>
      <w:rFonts w:ascii="Times New Roman" w:hAnsi="Times New Roman" w:cs="Times New Roman"/>
      <w:sz w:val="24"/>
      <w:szCs w:val="24"/>
    </w:rPr>
  </w:style>
  <w:style w:type="character" w:customStyle="1" w:styleId="WW-WW8Num8z0">
    <w:name w:val="WW-WW8Num8z0"/>
    <w:rPr>
      <w:rFonts w:ascii="Times New Roman" w:hAnsi="Times New Roman" w:cs="Times New Roman"/>
      <w:sz w:val="24"/>
      <w:szCs w:val="24"/>
    </w:rPr>
  </w:style>
  <w:style w:type="character" w:customStyle="1" w:styleId="WW-WW8Num9z0">
    <w:name w:val="WW-WW8Num9z0"/>
    <w:rPr>
      <w:rFonts w:ascii="Times New Roman" w:hAnsi="Times New Roman" w:cs="Times New Roman"/>
      <w:sz w:val="24"/>
      <w:szCs w:val="24"/>
    </w:rPr>
  </w:style>
  <w:style w:type="character" w:customStyle="1" w:styleId="WW-WW8Num12z0">
    <w:name w:val="WW-WW8Num12z0"/>
    <w:rPr>
      <w:rFonts w:ascii="Times New Roman" w:hAnsi="Times New Roman" w:cs="Times New Roman"/>
      <w:b/>
      <w:bCs/>
      <w:sz w:val="24"/>
      <w:szCs w:val="24"/>
      <w:lang w:val="x-none" w:eastAsia="x-none" w:bidi="x-none"/>
    </w:rPr>
  </w:style>
  <w:style w:type="character" w:customStyle="1" w:styleId="WW-Absatz-Standardschriftart1">
    <w:name w:val="WW-Absatz-Standardschriftart1"/>
  </w:style>
  <w:style w:type="character" w:customStyle="1" w:styleId="WW-WW8Num3z01">
    <w:name w:val="WW-WW8Num3z01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4z01">
    <w:name w:val="WW-WW8Num4z01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5z01">
    <w:name w:val="WW-WW8Num5z01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6z01">
    <w:name w:val="WW-WW8Num6z01"/>
    <w:rPr>
      <w:rFonts w:ascii="Times New Roman" w:hAnsi="Times New Roman" w:cs="Times New Roman"/>
      <w:sz w:val="24"/>
      <w:szCs w:val="24"/>
    </w:rPr>
  </w:style>
  <w:style w:type="character" w:customStyle="1" w:styleId="WW-WW8Num8z01">
    <w:name w:val="WW-WW8Num8z01"/>
    <w:rPr>
      <w:rFonts w:ascii="Times New Roman" w:hAnsi="Times New Roman" w:cs="Times New Roman"/>
      <w:sz w:val="24"/>
      <w:szCs w:val="24"/>
    </w:rPr>
  </w:style>
  <w:style w:type="character" w:customStyle="1" w:styleId="WW-WW8Num9z01">
    <w:name w:val="WW-WW8Num9z01"/>
    <w:rPr>
      <w:rFonts w:ascii="Times New Roman" w:hAnsi="Times New Roman" w:cs="Times New Roman"/>
      <w:sz w:val="24"/>
      <w:szCs w:val="24"/>
    </w:rPr>
  </w:style>
  <w:style w:type="character" w:customStyle="1" w:styleId="WW-WW8Num12z01">
    <w:name w:val="WW-WW8Num12z01"/>
    <w:rPr>
      <w:rFonts w:ascii="Times New Roman" w:hAnsi="Times New Roman" w:cs="Times New Roman"/>
      <w:b/>
      <w:bCs/>
      <w:sz w:val="24"/>
      <w:szCs w:val="24"/>
      <w:lang w:val="x-none" w:eastAsia="x-none" w:bidi="x-none"/>
    </w:rPr>
  </w:style>
  <w:style w:type="character" w:customStyle="1" w:styleId="WW-Absatz-Standardschriftart11">
    <w:name w:val="WW-Absatz-Standardschriftart11"/>
  </w:style>
  <w:style w:type="character" w:customStyle="1" w:styleId="WW8Num2z0">
    <w:name w:val="WW8Num2z0"/>
    <w:rPr>
      <w:rFonts w:ascii="Times New Roman" w:hAnsi="Times New Roman" w:cs="Times New Roman"/>
      <w:sz w:val="24"/>
      <w:szCs w:val="24"/>
    </w:rPr>
  </w:style>
  <w:style w:type="character" w:customStyle="1" w:styleId="WW-WW8Num5z011">
    <w:name w:val="WW-WW8Num5z011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6z011">
    <w:name w:val="WW-WW8Num6z011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8Num7z0">
    <w:name w:val="WW8Num7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9z011">
    <w:name w:val="WW-WW8Num9z011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8Num10z0">
    <w:name w:val="WW8Num10z0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Pr>
      <w:rFonts w:ascii="Times New Roman" w:hAnsi="Times New Roman" w:cs="Times New Roman"/>
      <w:sz w:val="24"/>
      <w:szCs w:val="24"/>
    </w:rPr>
  </w:style>
  <w:style w:type="character" w:customStyle="1" w:styleId="WW8Num13z0">
    <w:name w:val="WW8Num13z0"/>
    <w:rPr>
      <w:rFonts w:ascii="Times New Roman" w:hAnsi="Times New Roman" w:cs="Times New Roman"/>
      <w:sz w:val="24"/>
      <w:szCs w:val="24"/>
    </w:rPr>
  </w:style>
  <w:style w:type="character" w:customStyle="1" w:styleId="WW8Num15z0">
    <w:name w:val="WW8Num15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8Num16z0">
    <w:name w:val="WW8Num16z0"/>
    <w:rPr>
      <w:rFonts w:ascii="Times New Roman" w:hAnsi="Times New Roman" w:cs="Times New Roman"/>
      <w:sz w:val="24"/>
      <w:szCs w:val="24"/>
    </w:rPr>
  </w:style>
  <w:style w:type="character" w:customStyle="1" w:styleId="WW8Num17z0">
    <w:name w:val="WW8Num17z0"/>
    <w:rPr>
      <w:rFonts w:ascii="Times New Roman" w:hAnsi="Times New Roman" w:cs="Times New Roman"/>
      <w:sz w:val="24"/>
      <w:szCs w:val="24"/>
    </w:rPr>
  </w:style>
  <w:style w:type="character" w:customStyle="1" w:styleId="WW8Num18z0">
    <w:name w:val="WW8Num18z0"/>
    <w:rPr>
      <w:rFonts w:ascii="Times New Roman" w:hAnsi="Times New Roman" w:cs="Times New Roman"/>
      <w:b/>
      <w:bCs/>
      <w:sz w:val="24"/>
      <w:szCs w:val="24"/>
      <w:lang w:val="x-none" w:eastAsia="x-none" w:bidi="x-none"/>
    </w:rPr>
  </w:style>
  <w:style w:type="character" w:customStyle="1" w:styleId="WW-Predvolenpsmoodseku">
    <w:name w:val="WW-Predvolené písmo odseku"/>
  </w:style>
  <w:style w:type="character" w:customStyle="1" w:styleId="Znakyprepoznmkupodiarou">
    <w:name w:val="Znaky pre poznámku pod čiarou"/>
  </w:style>
  <w:style w:type="character" w:customStyle="1" w:styleId="WW-Znakyprepoznmkupodiarou">
    <w:name w:val="WW-Znaky pre poznámku pod čiarou"/>
  </w:style>
  <w:style w:type="character" w:customStyle="1" w:styleId="WW-Znakyprepoznmkupodiarou1">
    <w:name w:val="WW-Znaky pre poznámku pod čiarou1"/>
  </w:style>
  <w:style w:type="character" w:customStyle="1" w:styleId="WW-Znakyprepoznmkupodiarou11">
    <w:name w:val="WW-Znaky pre poznámku pod čiarou11"/>
    <w:rPr>
      <w:vertAlign w:val="superscript"/>
    </w:rPr>
  </w:style>
  <w:style w:type="character" w:styleId="slostrany">
    <w:name w:val="page number"/>
    <w:basedOn w:val="WW-Predvolenpsmoodseku"/>
    <w:semiHidden/>
  </w:style>
  <w:style w:type="character" w:customStyle="1" w:styleId="PtaChar">
    <w:name w:val="Päta Char"/>
    <w:rPr>
      <w:sz w:val="24"/>
      <w:szCs w:val="24"/>
    </w:rPr>
  </w:style>
  <w:style w:type="character" w:customStyle="1" w:styleId="TextkoncovejpoznmkyChar">
    <w:name w:val="Text koncovej poznámky Char"/>
    <w:basedOn w:val="WW-Predvolenpsmoodseku"/>
  </w:style>
  <w:style w:type="character" w:customStyle="1" w:styleId="Znakyprevysvetlivky">
    <w:name w:val="Znaky pre vysvetlivky"/>
  </w:style>
  <w:style w:type="character" w:customStyle="1" w:styleId="WW-Znakyprevysvetlivky">
    <w:name w:val="WW-Znaky pre vysvetlivky"/>
  </w:style>
  <w:style w:type="character" w:customStyle="1" w:styleId="WW-Znakyprevysvetlivky1">
    <w:name w:val="WW-Znaky pre vysvetlivky1"/>
  </w:style>
  <w:style w:type="character" w:customStyle="1" w:styleId="WW-Znakyprevysvetlivky11">
    <w:name w:val="WW-Znaky pre vysvetlivky11"/>
    <w:rPr>
      <w:vertAlign w:val="superscript"/>
    </w:rPr>
  </w:style>
  <w:style w:type="character" w:customStyle="1" w:styleId="HlavikaChar">
    <w:name w:val="Hlavička Char"/>
    <w:rPr>
      <w:sz w:val="24"/>
      <w:szCs w:val="24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tl">
    <w:name w:val="tl"/>
    <w:basedOn w:val="WW-Predvolenpsmoodseku"/>
  </w:style>
  <w:style w:type="character" w:customStyle="1" w:styleId="tl1Char">
    <w:name w:val="Štýl1 Char"/>
    <w:basedOn w:val="PtaChar"/>
    <w:rPr>
      <w:sz w:val="24"/>
      <w:szCs w:val="24"/>
    </w:rPr>
  </w:style>
  <w:style w:type="character" w:customStyle="1" w:styleId="ra">
    <w:name w:val="ra"/>
    <w:basedOn w:val="WW-Predvolenpsmoodseku"/>
  </w:style>
  <w:style w:type="character" w:customStyle="1" w:styleId="OdsekzoznamuChar">
    <w:name w:val="Odsek zoznamu Char"/>
    <w:rPr>
      <w:sz w:val="24"/>
      <w:szCs w:val="24"/>
    </w:rPr>
  </w:style>
  <w:style w:type="paragraph" w:styleId="Zkladntext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oznam">
    <w:name w:val="List"/>
    <w:basedOn w:val="Zkladntext"/>
    <w:semiHidden/>
    <w:rPr>
      <w:rFonts w:cs="Tahoma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Obsah">
    <w:name w:val="Obsah"/>
    <w:basedOn w:val="Normlny"/>
    <w:pPr>
      <w:suppressLineNumbers/>
    </w:pPr>
    <w:rPr>
      <w:rFonts w:cs="Tahoma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Zkladntext0">
    <w:name w:val="Základní text"/>
    <w:pPr>
      <w:suppressAutoHyphens/>
      <w:spacing w:after="240"/>
      <w:jc w:val="both"/>
    </w:pPr>
    <w:rPr>
      <w:color w:val="000000"/>
      <w:sz w:val="24"/>
      <w:lang w:eastAsia="ar-SA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paragraph" w:styleId="Pta">
    <w:name w:val="footer"/>
    <w:basedOn w:val="Normlny"/>
    <w:semiHidden/>
    <w:pPr>
      <w:tabs>
        <w:tab w:val="center" w:pos="4536"/>
        <w:tab w:val="right" w:pos="9072"/>
      </w:tabs>
      <w:jc w:val="right"/>
    </w:pPr>
    <w:rPr>
      <w:lang w:val="x-none"/>
    </w:rPr>
  </w:style>
  <w:style w:type="paragraph" w:customStyle="1" w:styleId="WW-Zkladntext2">
    <w:name w:val="WW-Základný text 2"/>
    <w:basedOn w:val="Normlny"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customStyle="1" w:styleId="WW-Zarkazkladnhotextu2">
    <w:name w:val="WW-Zarážka základného textu 2"/>
    <w:basedOn w:val="Normlny"/>
    <w:pPr>
      <w:ind w:firstLine="360"/>
    </w:pPr>
  </w:style>
  <w:style w:type="paragraph" w:customStyle="1" w:styleId="WW-Zkladntext3">
    <w:name w:val="WW-Základný text 3"/>
    <w:basedOn w:val="Normlny"/>
    <w:pPr>
      <w:ind w:right="-468"/>
      <w:jc w:val="both"/>
    </w:pPr>
    <w:rPr>
      <w:b/>
      <w:bCs/>
    </w:rPr>
  </w:style>
  <w:style w:type="paragraph" w:customStyle="1" w:styleId="WW-Oznaitext">
    <w:name w:val="WW-Označiť text"/>
    <w:basedOn w:val="Normlny"/>
    <w:pPr>
      <w:ind w:left="1680" w:right="-468" w:hanging="240"/>
    </w:pPr>
  </w:style>
  <w:style w:type="paragraph" w:customStyle="1" w:styleId="WW-Zarkazkladnhotextu3">
    <w:name w:val="WW-Zarážka základného textu 3"/>
    <w:basedOn w:val="Normlny"/>
    <w:pPr>
      <w:ind w:right="-468" w:firstLine="720"/>
      <w:jc w:val="both"/>
    </w:pPr>
    <w:rPr>
      <w:bCs/>
    </w:rPr>
  </w:style>
  <w:style w:type="paragraph" w:styleId="Hlavika">
    <w:name w:val="header"/>
    <w:basedOn w:val="Normlny"/>
    <w:semiHidden/>
    <w:pPr>
      <w:tabs>
        <w:tab w:val="center" w:pos="4703"/>
        <w:tab w:val="right" w:pos="9406"/>
      </w:tabs>
    </w:pPr>
    <w:rPr>
      <w:lang w:val="x-none"/>
    </w:rPr>
  </w:style>
  <w:style w:type="paragraph" w:customStyle="1" w:styleId="WW-Odsekzoznamu">
    <w:name w:val="WW-Odsek zoznamu"/>
    <w:basedOn w:val="Normlny"/>
    <w:pPr>
      <w:ind w:left="708"/>
    </w:pPr>
    <w:rPr>
      <w:lang w:val="x-none"/>
    </w:rPr>
  </w:style>
  <w:style w:type="paragraph" w:styleId="Textvysvetlivky">
    <w:name w:val="endnote text"/>
    <w:basedOn w:val="Normlny"/>
    <w:semiHidden/>
    <w:rPr>
      <w:sz w:val="20"/>
      <w:szCs w:val="20"/>
    </w:rPr>
  </w:style>
  <w:style w:type="paragraph" w:customStyle="1" w:styleId="WW-Textbubliny">
    <w:name w:val="WW-Text bubliny"/>
    <w:basedOn w:val="Normlny"/>
    <w:rPr>
      <w:rFonts w:ascii="Tahoma" w:hAnsi="Tahoma"/>
      <w:sz w:val="16"/>
      <w:szCs w:val="16"/>
      <w:lang w:val="x-none"/>
    </w:rPr>
  </w:style>
  <w:style w:type="paragraph" w:customStyle="1" w:styleId="tl1">
    <w:name w:val="Štýl1"/>
    <w:basedOn w:val="Pta"/>
  </w:style>
  <w:style w:type="paragraph" w:customStyle="1" w:styleId="Obsahtabuky">
    <w:name w:val="Obsah tabuľky"/>
    <w:basedOn w:val="Zkladntext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F7B18-4DA5-476E-B7C5-01896E24C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1492</Words>
  <Characters>8510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/>
  <LinksUpToDate>false</LinksUpToDate>
  <CharactersWithSpaces>9983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ucto1</dc:creator>
  <cp:lastModifiedBy>ucto1</cp:lastModifiedBy>
  <cp:revision>2</cp:revision>
  <cp:lastPrinted>1900-12-31T23:00:00Z</cp:lastPrinted>
  <dcterms:created xsi:type="dcterms:W3CDTF">2017-01-31T13:34:00Z</dcterms:created>
  <dcterms:modified xsi:type="dcterms:W3CDTF">2017-01-31T13:34:00Z</dcterms:modified>
</cp:coreProperties>
</file>