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D701F0" w:rsidRDefault="00D701F0" w:rsidP="00D701F0">
      <w:pPr>
        <w:pStyle w:val="Zkladntext"/>
      </w:pPr>
      <w:r>
        <w:t xml:space="preserve">Spoločnosť MEDICUBE, s.r.o. (ďalej len Spoločnosť), bola </w:t>
      </w:r>
      <w:r w:rsidRPr="00D608B6">
        <w:t xml:space="preserve">založená </w:t>
      </w:r>
      <w:r>
        <w:t xml:space="preserve">zakladateľskou listinou formou notárskej zápisnice N 246/94, </w:t>
      </w:r>
      <w:proofErr w:type="spellStart"/>
      <w:r>
        <w:t>Nz</w:t>
      </w:r>
      <w:proofErr w:type="spellEnd"/>
      <w:r>
        <w:t xml:space="preserve"> 240/94 a do obchodného registra bola zapísaná 14. decembra </w:t>
      </w:r>
      <w:r w:rsidRPr="00D40CEF">
        <w:t>1994 (Obchodný register Okresného súdu Bratislava I v Bratislave, oddiel s.r.o., vložka 8043/B).</w:t>
      </w:r>
      <w:r>
        <w:t xml:space="preserve"> Od 17.1.2012 došlo k zmene názvu spoločnosti na súčasný názov. Dovtedajší názov spoločnosti bol </w:t>
      </w:r>
      <w:r w:rsidRPr="00D608B6">
        <w:t>COOPEX M</w:t>
      </w:r>
      <w:r>
        <w:t xml:space="preserve"> spol. s </w:t>
      </w:r>
      <w:proofErr w:type="spellStart"/>
      <w:r>
        <w:t>r.o</w:t>
      </w:r>
      <w:proofErr w:type="spellEnd"/>
      <w:r>
        <w:t>..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75B35" w:rsidRDefault="00375B35" w:rsidP="004D3B4A">
      <w:pPr>
        <w:pStyle w:val="Zkladntext"/>
      </w:pPr>
    </w:p>
    <w:p w:rsidR="00D701F0" w:rsidRDefault="00D701F0" w:rsidP="00D701F0">
      <w:pPr>
        <w:pStyle w:val="Zkladntext"/>
      </w:pPr>
      <w:r>
        <w:t>Spoločnosť nevykonávala v tomto roku ekonomickú činnosť, v minulosti sa zaoberala veľkodistribúciou liekov a zdravotných pomôcok.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Pr="00D701F0" w:rsidRDefault="00375B35" w:rsidP="004D3B4A">
      <w:pPr>
        <w:pStyle w:val="Zkladntext"/>
        <w:ind w:hanging="426"/>
      </w:pPr>
      <w:r>
        <w:tab/>
        <w:t xml:space="preserve">Účtovná závierka Spoločnosti </w:t>
      </w:r>
      <w:r w:rsidRPr="00D701F0">
        <w:t xml:space="preserve">k 31. decembru </w:t>
      </w:r>
      <w:r w:rsidR="00E72DA1" w:rsidRPr="00D701F0">
        <w:t>20</w:t>
      </w:r>
      <w:r w:rsidR="00B1207C">
        <w:t>16</w:t>
      </w:r>
      <w:r w:rsidRPr="00D701F0">
        <w:t xml:space="preserve"> je zostavená ako riadna účtovná závierka podľa § 17 ods. 6 zákona NR SR č. 431/2002 Z. z. o účtovníctve za účtovné obdobie od 1. januára </w:t>
      </w:r>
      <w:r w:rsidR="00E72DA1" w:rsidRPr="00D701F0">
        <w:t>201</w:t>
      </w:r>
      <w:r w:rsidR="00B1207C">
        <w:t>6</w:t>
      </w:r>
      <w:r w:rsidRPr="00D701F0">
        <w:t xml:space="preserve"> do 31. decembra </w:t>
      </w:r>
      <w:r w:rsidR="00E72DA1" w:rsidRPr="00D701F0">
        <w:t>20</w:t>
      </w:r>
      <w:r w:rsidR="00B1207C">
        <w:t>16</w:t>
      </w:r>
      <w:r w:rsidRPr="00D701F0">
        <w:t>.</w:t>
      </w:r>
    </w:p>
    <w:p w:rsidR="00375B35" w:rsidRPr="00D701F0" w:rsidRDefault="00375B35" w:rsidP="004D3B4A">
      <w:pPr>
        <w:pStyle w:val="Zkladntext"/>
        <w:ind w:hanging="426"/>
      </w:pPr>
    </w:p>
    <w:p w:rsidR="00375B35" w:rsidRPr="00D701F0" w:rsidRDefault="00375B35" w:rsidP="004D3B4A">
      <w:pPr>
        <w:pStyle w:val="Nadpis2"/>
        <w:numPr>
          <w:ilvl w:val="0"/>
          <w:numId w:val="2"/>
        </w:numPr>
      </w:pPr>
      <w:r w:rsidRPr="00D701F0">
        <w:t>Dátum schválenia účtovnej závierky za predchádzajúce účtovné obdobie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E72DA1">
        <w:t>201</w:t>
      </w:r>
      <w:r w:rsidR="00B1207C">
        <w:t>5</w:t>
      </w:r>
      <w:r>
        <w:t xml:space="preserve">, za predchádzajúce účtovné obdobie, bola schválená valným zhromaždením Spoločnosti </w:t>
      </w:r>
      <w:r w:rsidR="00B1207C">
        <w:t>20</w:t>
      </w:r>
      <w:r w:rsidR="00D701F0">
        <w:t>.</w:t>
      </w:r>
      <w:r w:rsidR="00B1207C">
        <w:t>06</w:t>
      </w:r>
      <w:r w:rsidR="00D701F0">
        <w:t>.201</w:t>
      </w:r>
      <w:r w:rsidR="00B1207C">
        <w:t>6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D701F0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3"/>
        <w:gridCol w:w="2718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629F9" w:rsidRPr="00177B8C" w:rsidRDefault="00D701F0" w:rsidP="00E91017">
            <w:pPr>
              <w:pStyle w:val="Zkladntext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odpustených pôžičiek a odpísaných pôžičiek k 31.12. bežného obdobia:</w:t>
      </w:r>
      <w:r>
        <w:t xml:space="preserve"> </w:t>
      </w:r>
      <w:r w:rsidRPr="00D701F0">
        <w:t>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D701F0" w:rsidRDefault="00D701F0" w:rsidP="00D701F0">
      <w:pPr>
        <w:pStyle w:val="Zkladntext"/>
      </w:pPr>
      <w:r>
        <w:t xml:space="preserve">Spoločnosť  je súčasťou konsolidovaného celku. Materská spoločnosť je GENERIX, a. s., </w:t>
      </w:r>
      <w:proofErr w:type="spellStart"/>
      <w:r>
        <w:t>Karadžičova</w:t>
      </w:r>
      <w:proofErr w:type="spellEnd"/>
      <w:r>
        <w:t xml:space="preserve"> 10, </w:t>
      </w:r>
      <w:r w:rsidRPr="00773AFC">
        <w:t>82</w:t>
      </w:r>
      <w:r>
        <w:t xml:space="preserve">108 Bratislava, ktorej materskou spoločnosťou je GENERIX GROUP LTD, </w:t>
      </w:r>
      <w:proofErr w:type="spellStart"/>
      <w:r>
        <w:t>Pollen</w:t>
      </w:r>
      <w:proofErr w:type="spellEnd"/>
      <w:r>
        <w:t xml:space="preserve"> </w:t>
      </w:r>
      <w:proofErr w:type="spellStart"/>
      <w:r>
        <w:t>street</w:t>
      </w:r>
      <w:proofErr w:type="spellEnd"/>
      <w:r>
        <w:t xml:space="preserve"> 6-7, Londýn W1S 1NJ, Veľká Británia.</w:t>
      </w:r>
    </w:p>
    <w:p w:rsidR="008A234C" w:rsidRDefault="008A234C" w:rsidP="00651689">
      <w:pPr>
        <w:pStyle w:val="Zkladntext"/>
      </w:pPr>
    </w:p>
    <w:p w:rsidR="008A234C" w:rsidRDefault="008A234C" w:rsidP="00651689">
      <w:pPr>
        <w:pStyle w:val="Zkladntext"/>
      </w:pPr>
    </w:p>
    <w:p w:rsidR="00C5649D" w:rsidRPr="00C5649D" w:rsidRDefault="00C5649D" w:rsidP="00C5649D">
      <w:bookmarkStart w:id="2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Pr="00D701F0" w:rsidRDefault="005B5209" w:rsidP="002D2271">
      <w:pPr>
        <w:pStyle w:val="Zkladntext"/>
        <w:ind w:left="720"/>
      </w:pPr>
      <w:r w:rsidRPr="00D701F0">
        <w:t>Zníženie hodnoty zásob sa zohľadňuje vytvorením opravnej položky.</w:t>
      </w:r>
    </w:p>
    <w:p w:rsidR="00B82FFC" w:rsidRPr="00D701F0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D701F0">
        <w:t xml:space="preserve">Spoločnosť účtuje  zásoby spôsobom </w:t>
      </w:r>
      <w:r w:rsidR="00D701F0" w:rsidRPr="00D701F0">
        <w:t>B</w:t>
      </w:r>
      <w:r w:rsidRPr="00D701F0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lastRenderedPageBreak/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1F1530" w:rsidRDefault="001F1530" w:rsidP="004D3B4A">
      <w:pPr>
        <w:pStyle w:val="Zkladntext"/>
      </w:pPr>
    </w:p>
    <w:p w:rsidR="001F1530" w:rsidRPr="00D701F0" w:rsidRDefault="001F1530" w:rsidP="002D2271">
      <w:pPr>
        <w:pStyle w:val="Pismenka"/>
        <w:numPr>
          <w:ilvl w:val="0"/>
          <w:numId w:val="15"/>
        </w:numPr>
      </w:pPr>
      <w:r w:rsidRPr="00D701F0">
        <w:t>Odložené dane</w:t>
      </w:r>
    </w:p>
    <w:p w:rsidR="001F1530" w:rsidRPr="00D701F0" w:rsidRDefault="001F1530" w:rsidP="002D2271">
      <w:pPr>
        <w:pStyle w:val="Zkladntext"/>
        <w:ind w:left="720"/>
      </w:pPr>
      <w:r w:rsidRPr="00D701F0">
        <w:t xml:space="preserve">Odložené dane (odložená daňová pohľadávka a odložený daňový záväzok) sa vzťahujú na: </w:t>
      </w:r>
    </w:p>
    <w:p w:rsidR="001F1530" w:rsidRPr="00D701F0" w:rsidRDefault="001F1530" w:rsidP="002D2271">
      <w:pPr>
        <w:pStyle w:val="Zkladntext"/>
        <w:numPr>
          <w:ilvl w:val="0"/>
          <w:numId w:val="16"/>
        </w:numPr>
      </w:pPr>
      <w:r w:rsidRPr="00D701F0">
        <w:t>dočasné rozdiely medzi účtovnou hodnotou majetku a účtovnou hodnotou záväzkov vykázanou v súvahe a ich daňovou základňou,</w:t>
      </w:r>
    </w:p>
    <w:p w:rsidR="001F1530" w:rsidRPr="00D701F0" w:rsidRDefault="001F1530" w:rsidP="002D2271">
      <w:pPr>
        <w:pStyle w:val="Zkladntext"/>
        <w:numPr>
          <w:ilvl w:val="0"/>
          <w:numId w:val="16"/>
        </w:numPr>
      </w:pPr>
      <w:r w:rsidRPr="00D701F0">
        <w:t>možnosť umorovať daňovú stratu v budúcnosti, ktorou sa rozumie možnosť odpočítať daňovú stratu od základu dane v budúcnosti,</w:t>
      </w:r>
    </w:p>
    <w:p w:rsidR="001F1530" w:rsidRPr="00D701F0" w:rsidRDefault="001F1530" w:rsidP="002D2271">
      <w:pPr>
        <w:pStyle w:val="Zkladntext"/>
        <w:numPr>
          <w:ilvl w:val="0"/>
          <w:numId w:val="16"/>
        </w:numPr>
      </w:pPr>
      <w:r w:rsidRPr="00D701F0">
        <w:t>možnosť previesť nevyužité daňové odpočty a iné daňové nároky do budúcich období.</w:t>
      </w:r>
    </w:p>
    <w:p w:rsidR="001F1530" w:rsidRDefault="001F1530" w:rsidP="004D3B4A">
      <w:pPr>
        <w:pStyle w:val="Zkladntext"/>
        <w:rPr>
          <w:sz w:val="16"/>
          <w:szCs w:val="16"/>
        </w:rPr>
      </w:pPr>
    </w:p>
    <w:p w:rsidR="001F1530" w:rsidRDefault="001F1530" w:rsidP="001F1530">
      <w:pPr>
        <w:pStyle w:val="Pismenka"/>
        <w:tabs>
          <w:tab w:val="clear" w:pos="426"/>
        </w:tabs>
        <w:ind w:left="426"/>
      </w:pPr>
      <w:bookmarkStart w:id="3" w:name="_Toc530739900"/>
      <w:r>
        <w:t>Tvorba odpisovaného plánu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RPr="00D701F0" w:rsidTr="00D05DD4">
        <w:trPr>
          <w:trHeight w:val="250"/>
        </w:trPr>
        <w:tc>
          <w:tcPr>
            <w:tcW w:w="3118" w:type="dxa"/>
            <w:gridSpan w:val="2"/>
          </w:tcPr>
          <w:p w:rsidR="001F1530" w:rsidRPr="00D701F0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Pr="00D701F0" w:rsidRDefault="001F1530" w:rsidP="00D05DD4">
            <w:pPr>
              <w:pStyle w:val="Tabulka"/>
              <w:jc w:val="center"/>
            </w:pPr>
            <w:r w:rsidRPr="00D701F0">
              <w:t>Predpokladaná</w:t>
            </w:r>
          </w:p>
        </w:tc>
        <w:tc>
          <w:tcPr>
            <w:tcW w:w="141" w:type="dxa"/>
          </w:tcPr>
          <w:p w:rsidR="001F1530" w:rsidRPr="00D701F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D701F0" w:rsidRDefault="001F1530" w:rsidP="00D05DD4">
            <w:pPr>
              <w:pStyle w:val="Tabulka"/>
              <w:jc w:val="center"/>
            </w:pPr>
            <w:r w:rsidRPr="00D701F0">
              <w:t>Metóda</w:t>
            </w:r>
          </w:p>
        </w:tc>
        <w:tc>
          <w:tcPr>
            <w:tcW w:w="142" w:type="dxa"/>
          </w:tcPr>
          <w:p w:rsidR="001F1530" w:rsidRPr="00D701F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D701F0" w:rsidRDefault="001F1530" w:rsidP="00D05DD4">
            <w:pPr>
              <w:pStyle w:val="Tabulka"/>
              <w:jc w:val="center"/>
            </w:pPr>
            <w:r w:rsidRPr="00D701F0">
              <w:t>Ročná odpisová</w:t>
            </w:r>
          </w:p>
        </w:tc>
      </w:tr>
      <w:tr w:rsidR="001F1530" w:rsidRPr="00D701F0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F1530" w:rsidRPr="00D701F0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Pr="00D701F0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F1530" w:rsidRPr="00D701F0" w:rsidRDefault="001F1530" w:rsidP="00D05DD4">
            <w:pPr>
              <w:pStyle w:val="Tabulka"/>
              <w:jc w:val="center"/>
            </w:pPr>
            <w:r w:rsidRPr="00D701F0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530" w:rsidRPr="00D701F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Pr="00D701F0" w:rsidRDefault="001F1530" w:rsidP="00D05DD4">
            <w:pPr>
              <w:pStyle w:val="Tabulka"/>
              <w:jc w:val="center"/>
            </w:pPr>
            <w:r w:rsidRPr="00D701F0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Pr="00D701F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Pr="00D701F0" w:rsidRDefault="001F1530" w:rsidP="00D05DD4">
            <w:pPr>
              <w:pStyle w:val="Tabulka"/>
              <w:jc w:val="center"/>
            </w:pPr>
            <w:r w:rsidRPr="00D701F0">
              <w:t>sadzba v %</w:t>
            </w:r>
          </w:p>
        </w:tc>
      </w:tr>
      <w:tr w:rsidR="001F1530" w:rsidRPr="00D701F0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F1530" w:rsidRPr="00D701F0" w:rsidRDefault="001F1530" w:rsidP="00D05DD4">
            <w:pPr>
              <w:pStyle w:val="Tabulka"/>
            </w:pPr>
            <w:r w:rsidRPr="00D701F0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F1530" w:rsidRPr="00D701F0" w:rsidRDefault="001F1530" w:rsidP="00D05DD4">
            <w:pPr>
              <w:pStyle w:val="Tabulka"/>
              <w:jc w:val="center"/>
            </w:pPr>
            <w:r w:rsidRPr="00D701F0">
              <w:t>20</w:t>
            </w:r>
            <w:r w:rsidR="00D701F0" w:rsidRPr="00D701F0">
              <w:t>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530" w:rsidRPr="00D701F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D701F0" w:rsidRDefault="001F1530" w:rsidP="00D05DD4">
            <w:pPr>
              <w:pStyle w:val="Tabulka"/>
              <w:jc w:val="center"/>
            </w:pPr>
            <w:r w:rsidRPr="00D701F0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530" w:rsidRPr="00D701F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D701F0" w:rsidRDefault="00D701F0" w:rsidP="00D05DD4">
            <w:pPr>
              <w:pStyle w:val="Tabulka"/>
              <w:jc w:val="center"/>
            </w:pPr>
            <w:r w:rsidRPr="00D701F0">
              <w:t xml:space="preserve">2,5 až </w:t>
            </w:r>
            <w:r w:rsidR="001F1530" w:rsidRPr="00D701F0">
              <w:t>5</w:t>
            </w:r>
          </w:p>
        </w:tc>
      </w:tr>
      <w:tr w:rsidR="001F1530" w:rsidRPr="00D701F0" w:rsidTr="00D05DD4">
        <w:trPr>
          <w:trHeight w:val="250"/>
        </w:trPr>
        <w:tc>
          <w:tcPr>
            <w:tcW w:w="3118" w:type="dxa"/>
            <w:gridSpan w:val="2"/>
          </w:tcPr>
          <w:p w:rsidR="001F1530" w:rsidRPr="00D701F0" w:rsidRDefault="001F1530" w:rsidP="00D05DD4">
            <w:pPr>
              <w:pStyle w:val="Tabulka"/>
            </w:pPr>
            <w:r w:rsidRPr="00D701F0">
              <w:t>Stroje, prístroje a zariadenia</w:t>
            </w:r>
          </w:p>
        </w:tc>
        <w:tc>
          <w:tcPr>
            <w:tcW w:w="1985" w:type="dxa"/>
          </w:tcPr>
          <w:p w:rsidR="001F1530" w:rsidRPr="00D701F0" w:rsidRDefault="001F1530" w:rsidP="00D05DD4">
            <w:pPr>
              <w:pStyle w:val="Tabulka"/>
              <w:jc w:val="center"/>
            </w:pPr>
            <w:r w:rsidRPr="00D701F0">
              <w:t>4 až 6</w:t>
            </w:r>
          </w:p>
        </w:tc>
        <w:tc>
          <w:tcPr>
            <w:tcW w:w="141" w:type="dxa"/>
          </w:tcPr>
          <w:p w:rsidR="001F1530" w:rsidRPr="00D701F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D701F0" w:rsidRDefault="001F1530" w:rsidP="00D05DD4">
            <w:pPr>
              <w:pStyle w:val="Tabulka"/>
              <w:jc w:val="center"/>
            </w:pPr>
            <w:r w:rsidRPr="00D701F0">
              <w:t>lineárna</w:t>
            </w:r>
          </w:p>
        </w:tc>
        <w:tc>
          <w:tcPr>
            <w:tcW w:w="142" w:type="dxa"/>
          </w:tcPr>
          <w:p w:rsidR="001F1530" w:rsidRPr="00D701F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D701F0" w:rsidRDefault="001F1530" w:rsidP="00D05DD4">
            <w:pPr>
              <w:pStyle w:val="Tabulka"/>
              <w:jc w:val="center"/>
            </w:pPr>
            <w:r w:rsidRPr="00D701F0">
              <w:t>16 až 25</w:t>
            </w:r>
          </w:p>
        </w:tc>
      </w:tr>
      <w:tr w:rsidR="001F1530" w:rsidRPr="00D701F0" w:rsidTr="00D05DD4">
        <w:trPr>
          <w:trHeight w:val="250"/>
        </w:trPr>
        <w:tc>
          <w:tcPr>
            <w:tcW w:w="3118" w:type="dxa"/>
            <w:gridSpan w:val="2"/>
          </w:tcPr>
          <w:p w:rsidR="001F1530" w:rsidRPr="00D701F0" w:rsidRDefault="001F1530" w:rsidP="00D05DD4">
            <w:pPr>
              <w:pStyle w:val="Tabulka"/>
            </w:pPr>
            <w:r w:rsidRPr="00D701F0">
              <w:t>Dopravné prostriedky</w:t>
            </w:r>
          </w:p>
        </w:tc>
        <w:tc>
          <w:tcPr>
            <w:tcW w:w="1985" w:type="dxa"/>
          </w:tcPr>
          <w:p w:rsidR="001F1530" w:rsidRPr="00D701F0" w:rsidRDefault="001F1530" w:rsidP="00D05DD4">
            <w:pPr>
              <w:pStyle w:val="Tabulka"/>
              <w:jc w:val="center"/>
            </w:pPr>
            <w:r w:rsidRPr="00D701F0">
              <w:t>3 až 4</w:t>
            </w:r>
          </w:p>
        </w:tc>
        <w:tc>
          <w:tcPr>
            <w:tcW w:w="141" w:type="dxa"/>
          </w:tcPr>
          <w:p w:rsidR="001F1530" w:rsidRPr="00D701F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D701F0" w:rsidRDefault="001F1530" w:rsidP="00D05DD4">
            <w:pPr>
              <w:pStyle w:val="Tabulka"/>
              <w:jc w:val="center"/>
            </w:pPr>
            <w:r w:rsidRPr="00D701F0">
              <w:t>lineárna</w:t>
            </w:r>
          </w:p>
        </w:tc>
        <w:tc>
          <w:tcPr>
            <w:tcW w:w="142" w:type="dxa"/>
          </w:tcPr>
          <w:p w:rsidR="001F1530" w:rsidRPr="00D701F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D701F0" w:rsidRDefault="001F1530" w:rsidP="00D05DD4">
            <w:pPr>
              <w:pStyle w:val="Tabulka"/>
              <w:jc w:val="center"/>
            </w:pPr>
            <w:r w:rsidRPr="00D701F0">
              <w:t>25 až 33</w:t>
            </w:r>
          </w:p>
        </w:tc>
      </w:tr>
      <w:tr w:rsidR="001F1530" w:rsidRPr="00D701F0" w:rsidTr="00D05DD4">
        <w:trPr>
          <w:trHeight w:val="250"/>
        </w:trPr>
        <w:tc>
          <w:tcPr>
            <w:tcW w:w="3118" w:type="dxa"/>
            <w:gridSpan w:val="2"/>
          </w:tcPr>
          <w:p w:rsidR="001F1530" w:rsidRPr="00D701F0" w:rsidRDefault="001F1530" w:rsidP="00D05DD4">
            <w:pPr>
              <w:pStyle w:val="Tabulka"/>
            </w:pPr>
            <w:r w:rsidRPr="00D701F0">
              <w:lastRenderedPageBreak/>
              <w:t>Drobný dlhodobý hmotný majetok</w:t>
            </w:r>
          </w:p>
        </w:tc>
        <w:tc>
          <w:tcPr>
            <w:tcW w:w="1985" w:type="dxa"/>
          </w:tcPr>
          <w:p w:rsidR="001F1530" w:rsidRPr="00D701F0" w:rsidRDefault="001F1530" w:rsidP="00D05DD4">
            <w:pPr>
              <w:pStyle w:val="Tabulka"/>
              <w:jc w:val="center"/>
            </w:pPr>
            <w:r w:rsidRPr="00D701F0">
              <w:t>rôzna</w:t>
            </w:r>
          </w:p>
        </w:tc>
        <w:tc>
          <w:tcPr>
            <w:tcW w:w="141" w:type="dxa"/>
          </w:tcPr>
          <w:p w:rsidR="001F1530" w:rsidRPr="00D701F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D701F0" w:rsidRDefault="001F1530" w:rsidP="00D05DD4">
            <w:pPr>
              <w:pStyle w:val="Tabulka"/>
              <w:jc w:val="center"/>
            </w:pPr>
            <w:r w:rsidRPr="00D701F0">
              <w:t>jednorazový odpis</w:t>
            </w:r>
          </w:p>
        </w:tc>
        <w:tc>
          <w:tcPr>
            <w:tcW w:w="142" w:type="dxa"/>
          </w:tcPr>
          <w:p w:rsidR="001F1530" w:rsidRPr="00D701F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D701F0" w:rsidRDefault="001F1530" w:rsidP="00D05DD4">
            <w:pPr>
              <w:pStyle w:val="Tabulka"/>
              <w:jc w:val="center"/>
            </w:pPr>
            <w:r w:rsidRPr="00D701F0">
              <w:t>100</w:t>
            </w:r>
          </w:p>
        </w:tc>
      </w:tr>
    </w:tbl>
    <w:p w:rsidR="001F1530" w:rsidRDefault="001F1530" w:rsidP="001F1530">
      <w:pPr>
        <w:pStyle w:val="Pismenka"/>
        <w:numPr>
          <w:ilvl w:val="0"/>
          <w:numId w:val="0"/>
        </w:num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1F1530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375B35" w:rsidRDefault="00375B35" w:rsidP="00491AF0">
      <w:pPr>
        <w:pStyle w:val="Zkladntext"/>
      </w:pPr>
    </w:p>
    <w:p w:rsidR="00375B35" w:rsidRDefault="00375B35" w:rsidP="009B60B7">
      <w:pPr>
        <w:pStyle w:val="Zkladntext"/>
        <w:jc w:val="left"/>
      </w:pPr>
    </w:p>
    <w:p w:rsidR="00375B35" w:rsidRDefault="00375B35" w:rsidP="007E2F21">
      <w:pPr>
        <w:pStyle w:val="Zkladntext"/>
        <w:ind w:left="0"/>
      </w:pPr>
    </w:p>
    <w:p w:rsidR="007E2F21" w:rsidRPr="007C1D06" w:rsidRDefault="007E2F21" w:rsidP="007E2F21">
      <w:pPr>
        <w:pStyle w:val="Nadpis2"/>
        <w:numPr>
          <w:ilvl w:val="0"/>
          <w:numId w:val="21"/>
        </w:numPr>
      </w:pPr>
      <w:r w:rsidRPr="007C1D06">
        <w:t>Informácie o záväzkoch</w:t>
      </w:r>
    </w:p>
    <w:p w:rsidR="007E2F21" w:rsidRPr="007C1D06" w:rsidRDefault="007E2F21" w:rsidP="007E2F21">
      <w:pPr>
        <w:pStyle w:val="Zkladntext"/>
      </w:pPr>
    </w:p>
    <w:p w:rsidR="007E2F21" w:rsidRPr="007C1D06" w:rsidRDefault="007E2F21" w:rsidP="007E2F21">
      <w:pPr>
        <w:pStyle w:val="Zkladntext"/>
        <w:numPr>
          <w:ilvl w:val="0"/>
          <w:numId w:val="20"/>
        </w:numPr>
      </w:pPr>
      <w:r w:rsidRPr="007C1D06">
        <w:t>Celková suma záväzkov so zostatkovou dobou splatnosti dlhšou ako päť rokov:</w:t>
      </w:r>
      <w:r w:rsidR="00D701F0" w:rsidRPr="007C1D06">
        <w:t xml:space="preserve"> 0 €</w:t>
      </w:r>
    </w:p>
    <w:p w:rsidR="007E2F21" w:rsidRPr="007C1D06" w:rsidRDefault="007E2F21" w:rsidP="007E2F21">
      <w:pPr>
        <w:pStyle w:val="Zkladntext"/>
        <w:numPr>
          <w:ilvl w:val="0"/>
          <w:numId w:val="20"/>
        </w:numPr>
      </w:pPr>
      <w:r w:rsidRPr="007C1D06">
        <w:t xml:space="preserve">Celová suma zabezpečených záväzkov, opis a spôsoby zabezpečenia záväzkov: </w:t>
      </w:r>
    </w:p>
    <w:p w:rsidR="007E2F21" w:rsidRPr="007C1D06" w:rsidRDefault="007E2F21" w:rsidP="007E2F21">
      <w:pPr>
        <w:pStyle w:val="Zkladntext"/>
        <w:ind w:left="786"/>
      </w:pPr>
      <w:r w:rsidRPr="007C1D06">
        <w:t>Spoločnosť mená zabezpečené záväzky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E231BA">
      <w:pPr>
        <w:pStyle w:val="Zkladntext"/>
      </w:pPr>
    </w:p>
    <w:p w:rsidR="00375B35" w:rsidRPr="003D140B" w:rsidRDefault="00375B35" w:rsidP="00D04D91">
      <w:pPr>
        <w:pStyle w:val="Zkladntext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7C1D06">
        <w:t>Spoločnosť neeviduje iné aktíva a iné pasíva</w:t>
      </w:r>
    </w:p>
    <w:p w:rsidR="0093108D" w:rsidRDefault="0093108D" w:rsidP="0000290B">
      <w:pPr>
        <w:pStyle w:val="Zkladntext"/>
        <w:ind w:left="0"/>
      </w:pPr>
    </w:p>
    <w:p w:rsidR="00AE6D7F" w:rsidRDefault="00AE6D7F" w:rsidP="007E2F21">
      <w:pPr>
        <w:pStyle w:val="Zkladntext"/>
        <w:rPr>
          <w:highlight w:val="yellow"/>
        </w:rPr>
      </w:pPr>
    </w:p>
    <w:p w:rsidR="007E2F21" w:rsidRPr="00C2100D" w:rsidRDefault="007E2F21" w:rsidP="007E2F21">
      <w:pPr>
        <w:pStyle w:val="Zkladntext"/>
        <w:rPr>
          <w:highlight w:val="yellow"/>
        </w:rPr>
      </w:pPr>
    </w:p>
    <w:p w:rsidR="00375B35" w:rsidRPr="000F038C" w:rsidRDefault="00375B35" w:rsidP="0000290B">
      <w:pPr>
        <w:pStyle w:val="Zkladntext"/>
        <w:ind w:left="0"/>
      </w:pPr>
    </w:p>
    <w:p w:rsidR="00375B35" w:rsidRPr="002F770F" w:rsidRDefault="00375B35" w:rsidP="002F770F">
      <w:pPr>
        <w:pStyle w:val="Zkladntext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4" w:name="_Toc530739925"/>
      <w:r>
        <w:t>Informácie o skutočnostiach, ktoré nastali po dni, ku ktorému sa zostavuje účtovná závierka, do dňa zostavenia účtovnej závierky</w:t>
      </w:r>
      <w:bookmarkEnd w:id="4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E72DA1">
        <w:t>201</w:t>
      </w:r>
      <w:r w:rsidR="00C1130A">
        <w:t>6</w:t>
      </w:r>
      <w:bookmarkStart w:id="5" w:name="_GoBack"/>
      <w:bookmarkEnd w:id="5"/>
      <w:r>
        <w:t xml:space="preserve"> nenastali žiadne zmeny, ktoré by mali významný vplyv na verné zobrazenie skutočnosti, ktoré sú predmetom účtovníctva.</w:t>
      </w: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2DA1" w:rsidRDefault="00E72DA1" w:rsidP="00E95128">
      <w:r>
        <w:separator/>
      </w:r>
    </w:p>
  </w:endnote>
  <w:endnote w:type="continuationSeparator" w:id="0">
    <w:p w:rsidR="00E72DA1" w:rsidRDefault="00E72DA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74599116"/>
      <w:docPartObj>
        <w:docPartGallery w:val="Page Numbers (Bottom of Page)"/>
        <w:docPartUnique/>
      </w:docPartObj>
    </w:sdtPr>
    <w:sdtEndPr/>
    <w:sdtContent>
      <w:p w:rsidR="00E72DA1" w:rsidRDefault="00E72DA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1130A">
          <w:rPr>
            <w:noProof/>
          </w:rPr>
          <w:t>4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2DA1" w:rsidRDefault="00E72DA1" w:rsidP="00E95128">
      <w:r>
        <w:separator/>
      </w:r>
    </w:p>
  </w:footnote>
  <w:footnote w:type="continuationSeparator" w:id="0">
    <w:p w:rsidR="00E72DA1" w:rsidRDefault="00E72DA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329"/>
      <w:gridCol w:w="586"/>
      <w:gridCol w:w="276"/>
      <w:gridCol w:w="276"/>
      <w:gridCol w:w="277"/>
      <w:gridCol w:w="277"/>
      <w:gridCol w:w="277"/>
      <w:gridCol w:w="277"/>
      <w:gridCol w:w="277"/>
      <w:gridCol w:w="277"/>
      <w:gridCol w:w="431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90"/>
    </w:tblGrid>
    <w:tr w:rsidR="00D701F0" w:rsidRPr="003F477D" w:rsidTr="00D701F0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701F0" w:rsidRPr="003F477D" w:rsidRDefault="00D701F0" w:rsidP="00D701F0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332" w:type="dxa"/>
          <w:tcBorders>
            <w:top w:val="nil"/>
            <w:left w:val="nil"/>
            <w:bottom w:val="nil"/>
            <w:right w:val="nil"/>
          </w:tcBorders>
        </w:tcPr>
        <w:p w:rsidR="00D701F0" w:rsidRDefault="00D701F0" w:rsidP="00D701F0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88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701F0" w:rsidRPr="003F477D" w:rsidRDefault="00D701F0" w:rsidP="00D701F0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701F0" w:rsidRPr="003F477D" w:rsidRDefault="00D701F0" w:rsidP="00D701F0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701F0" w:rsidRPr="003F477D" w:rsidRDefault="00D701F0" w:rsidP="00D701F0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701F0" w:rsidRPr="003F477D" w:rsidRDefault="00D701F0" w:rsidP="00D701F0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701F0" w:rsidRPr="003F477D" w:rsidRDefault="00D701F0" w:rsidP="00D701F0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701F0" w:rsidRPr="003F477D" w:rsidRDefault="00D701F0" w:rsidP="00D701F0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701F0" w:rsidRPr="003F477D" w:rsidRDefault="00D701F0" w:rsidP="00D701F0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701F0" w:rsidRPr="003F477D" w:rsidRDefault="00D701F0" w:rsidP="00D701F0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701F0" w:rsidRPr="003F477D" w:rsidRDefault="00D701F0" w:rsidP="00D701F0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D701F0" w:rsidRPr="003F477D" w:rsidRDefault="00D701F0" w:rsidP="00D701F0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D701F0" w:rsidRPr="003F477D" w:rsidRDefault="00D701F0" w:rsidP="00D701F0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01F0" w:rsidRPr="003F477D" w:rsidRDefault="00D701F0" w:rsidP="00D701F0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01F0" w:rsidRPr="003F477D" w:rsidRDefault="00D701F0" w:rsidP="00D701F0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01F0" w:rsidRPr="003F477D" w:rsidRDefault="00D701F0" w:rsidP="00D701F0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01F0" w:rsidRPr="003F477D" w:rsidRDefault="00D701F0" w:rsidP="00D701F0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01F0" w:rsidRPr="003F477D" w:rsidRDefault="00D701F0" w:rsidP="00D701F0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01F0" w:rsidRPr="003F477D" w:rsidRDefault="00D701F0" w:rsidP="00D701F0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01F0" w:rsidRPr="003F477D" w:rsidRDefault="00D701F0" w:rsidP="00D701F0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01F0" w:rsidRPr="003F477D" w:rsidRDefault="00D701F0" w:rsidP="00D701F0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01F0" w:rsidRPr="003F477D" w:rsidRDefault="00D701F0" w:rsidP="00D701F0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701F0" w:rsidRPr="003F477D" w:rsidRDefault="00D701F0" w:rsidP="00D701F0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7"/>
  </w:num>
  <w:num w:numId="3">
    <w:abstractNumId w:val="13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9"/>
  </w:num>
  <w:num w:numId="15">
    <w:abstractNumId w:val="2"/>
  </w:num>
  <w:num w:numId="16">
    <w:abstractNumId w:val="10"/>
  </w:num>
  <w:num w:numId="17">
    <w:abstractNumId w:val="0"/>
  </w:num>
  <w:num w:numId="18">
    <w:abstractNumId w:val="6"/>
  </w:num>
  <w:num w:numId="19">
    <w:abstractNumId w:val="11"/>
  </w:num>
  <w:num w:numId="20">
    <w:abstractNumId w:val="1"/>
  </w:num>
  <w:num w:numId="21">
    <w:abstractNumId w:val="7"/>
    <w:lvlOverride w:ilvl="0">
      <w:startOverride w:val="1"/>
    </w:lvlOverride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1D0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77CB9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07C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130A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01F0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5C47238"/>
  <w15:docId w15:val="{70437BD8-6180-4282-8905-FA641D153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4</Pages>
  <Words>1761</Words>
  <Characters>10041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economy</cp:lastModifiedBy>
  <cp:revision>8</cp:revision>
  <cp:lastPrinted>2012-08-10T10:31:00Z</cp:lastPrinted>
  <dcterms:created xsi:type="dcterms:W3CDTF">2016-03-13T15:41:00Z</dcterms:created>
  <dcterms:modified xsi:type="dcterms:W3CDTF">2017-03-09T07:39:00Z</dcterms:modified>
</cp:coreProperties>
</file>