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ÚČTOVNEJ ZÁVIERKE 201</w:t>
      </w:r>
      <w:r>
        <w:rPr>
          <w:rFonts w:ascii="Arial Narrow" w:hAnsi="Arial Narrow"/>
          <w:b/>
        </w:rPr>
        <w:t>6</w:t>
      </w:r>
    </w:p>
    <w:p>
      <w:pPr>
        <w:pStyle w:val="Normal"/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</w:r>
    </w:p>
    <w:p>
      <w:pPr>
        <w:pStyle w:val="Normal"/>
        <w:jc w:val="center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</w:r>
    </w:p>
    <w:p>
      <w:pPr>
        <w:pStyle w:val="Normal"/>
        <w:rPr>
          <w:rFonts w:ascii="Arial Narrow" w:hAnsi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</w:r>
    </w:p>
    <w:tbl>
      <w:tblPr>
        <w:tblW w:w="4900" w:type="pct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553"/>
        <w:gridCol w:w="6753"/>
      </w:tblGrid>
      <w:tr>
        <w:trPr>
          <w:trHeight w:val="231" w:hRule="atLeast"/>
        </w:trPr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6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EKO-10 s.r.o.</w:t>
            </w:r>
          </w:p>
        </w:tc>
      </w:tr>
      <w:tr>
        <w:trPr>
          <w:trHeight w:val="249" w:hRule="atLeast"/>
        </w:trPr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6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932 01 Veľký Meder, Nám.mládeže 117/27</w:t>
            </w:r>
          </w:p>
        </w:tc>
      </w:tr>
      <w:tr>
        <w:trPr>
          <w:trHeight w:val="125" w:hRule="atLeast"/>
        </w:trPr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6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</w:tr>
      <w:tr>
        <w:trPr>
          <w:trHeight w:val="143" w:hRule="atLeast"/>
        </w:trPr>
        <w:tc>
          <w:tcPr>
            <w:tcW w:w="255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6753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23.04.2001</w:t>
            </w:r>
          </w:p>
        </w:tc>
      </w:tr>
      <w:tr>
        <w:trPr>
          <w:trHeight w:val="175" w:hRule="atLeast"/>
        </w:trPr>
        <w:tc>
          <w:tcPr>
            <w:tcW w:w="255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6753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Obchodná činnosť, ubytovanie, administr.práce, prenájom nehnuteľ.</w:t>
            </w:r>
          </w:p>
        </w:tc>
      </w:tr>
      <w:tr>
        <w:trPr>
          <w:trHeight w:val="194" w:hRule="atLeast"/>
        </w:trPr>
        <w:tc>
          <w:tcPr>
            <w:tcW w:w="255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6753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EKO-10 s.r.o.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55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675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201</w:t>
            </w: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568" w:type="dxa"/>
        <w:jc w:val="left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96"/>
        <w:gridCol w:w="2835"/>
        <w:gridCol w:w="3260"/>
        <w:gridCol w:w="1276"/>
      </w:tblGrid>
      <w:tr>
        <w:trPr/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   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425 452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 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8852 30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4 482 892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8 236 509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        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2 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      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cs="Arial Narrow" w:ascii="Arial Narrow" w:hAnsi="Arial Narrow"/>
          <w:sz w:val="22"/>
          <w:szCs w:val="22"/>
        </w:rPr>
        <w:t>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 </w:t>
      </w:r>
      <w:r>
        <w:rPr>
          <w:rFonts w:cs="Arial Narrow" w:ascii="Arial Narrow" w:hAnsi="Arial Narrow"/>
          <w:sz w:val="22"/>
          <w:szCs w:val="22"/>
        </w:rPr>
        <w:t>12.5.2016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a) Obchodné meno a sídlo účtovnej jednotky, ktorá zostavuje </w:t>
      </w:r>
      <w:r>
        <w:rPr>
          <w:rFonts w:cs="Arial Narrow" w:ascii="Arial Narrow" w:hAnsi="Arial Narrow"/>
          <w:b/>
          <w:sz w:val="22"/>
          <w:szCs w:val="22"/>
        </w:rPr>
        <w:t>konsolidovanú účtovnú závierku</w:t>
      </w:r>
      <w:r>
        <w:rPr>
          <w:rFonts w:cs="Arial Narrow" w:ascii="Arial Narrow" w:hAnsi="Arial Narrow"/>
          <w:sz w:val="22"/>
          <w:szCs w:val="22"/>
        </w:rPr>
        <w:t xml:space="preserve"> za </w:t>
      </w:r>
      <w:r>
        <w:rPr>
          <w:rFonts w:cs="Arial Narrow" w:ascii="Arial Narrow" w:hAnsi="Arial Narrow"/>
          <w:sz w:val="22"/>
          <w:szCs w:val="22"/>
          <w:u w:val="single"/>
        </w:rPr>
        <w:t>najväčšiu skupinu</w:t>
      </w:r>
      <w:r>
        <w:rPr>
          <w:rFonts w:cs="Arial Narrow" w:ascii="Arial Narrow" w:hAnsi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b) Obchodné meno a sídlo účtovnej jednotky, ktorá zostavuje </w:t>
      </w:r>
      <w:r>
        <w:rPr>
          <w:rFonts w:cs="Arial Narrow" w:ascii="Arial Narrow" w:hAnsi="Arial Narrow"/>
          <w:b/>
          <w:sz w:val="22"/>
          <w:szCs w:val="22"/>
        </w:rPr>
        <w:t>konsolidovanú účtovnú závierku</w:t>
      </w:r>
      <w:r>
        <w:rPr>
          <w:rFonts w:cs="Arial Narrow" w:ascii="Arial Narrow" w:hAnsi="Arial Narrow"/>
          <w:sz w:val="22"/>
          <w:szCs w:val="22"/>
        </w:rPr>
        <w:t xml:space="preserve"> za </w:t>
      </w:r>
      <w:r>
        <w:rPr>
          <w:rFonts w:cs="Arial Narrow" w:ascii="Arial Narrow" w:hAnsi="Arial Narrow"/>
          <w:sz w:val="22"/>
          <w:szCs w:val="22"/>
          <w:u w:val="single"/>
        </w:rPr>
        <w:t>najmenšiu skupinu</w:t>
      </w:r>
      <w:r>
        <w:rPr>
          <w:rFonts w:cs="Arial Narrow" w:ascii="Arial Narrow" w:hAnsi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Adresa, kde sa môže vyžiadať kópia vyššie uvedených </w:t>
      </w:r>
      <w:r>
        <w:rPr>
          <w:rFonts w:cs="Arial Narrow" w:ascii="Arial Narrow" w:hAnsi="Arial Narrow"/>
          <w:b/>
          <w:sz w:val="22"/>
          <w:szCs w:val="22"/>
        </w:rPr>
        <w:t>konsolidovaných účtovných závierok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cs="Arial Narrow" w:ascii="Arial Narrow" w:hAnsi="Arial Narrow"/>
          <w:b/>
          <w:sz w:val="22"/>
          <w:szCs w:val="22"/>
        </w:rPr>
        <w:t>konsolidovanú účtovnú závierku</w:t>
      </w:r>
      <w:r>
        <w:rPr>
          <w:rFonts w:cs="Arial Narrow" w:ascii="Arial Narrow" w:hAnsi="Arial Narrow"/>
          <w:sz w:val="22"/>
          <w:szCs w:val="22"/>
        </w:rPr>
        <w:t xml:space="preserve"> a konsolidovanú výročnú správu podľa § 22 zákona o účtovníctve, pričom sa uvádzajú: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cs="Arial Narrow" w:ascii="Arial Narrow" w:hAnsi="Arial Narrow"/>
          <w:b/>
          <w:sz w:val="22"/>
          <w:szCs w:val="22"/>
        </w:rPr>
        <w:t>konsolidovanú účtovnú závierku</w:t>
      </w:r>
      <w:r>
        <w:rPr>
          <w:rFonts w:cs="Arial Narrow" w:ascii="Arial Narrow" w:hAnsi="Arial Narrow"/>
          <w:sz w:val="22"/>
          <w:szCs w:val="22"/>
        </w:rPr>
        <w:t xml:space="preserve"> podľa osobitných predpisov (IFRS/EÚ):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5000" w:type="pct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732"/>
        <w:gridCol w:w="2458"/>
        <w:gridCol w:w="2307"/>
      </w:tblGrid>
      <w:tr>
        <w:trPr>
          <w:trHeight w:val="537" w:hRule="atLeast"/>
        </w:trPr>
        <w:tc>
          <w:tcPr>
            <w:tcW w:w="47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ind w:right="459" w:hanging="0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7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171"/>
        <w:gridCol w:w="1662"/>
        <w:gridCol w:w="1664"/>
      </w:tblGrid>
      <w:tr>
        <w:trPr>
          <w:trHeight w:val="780" w:hRule="atLeast"/>
        </w:trPr>
        <w:tc>
          <w:tcPr>
            <w:tcW w:w="6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b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>
        <w:trPr>
          <w:trHeight w:val="144" w:hRule="atLeast"/>
        </w:trPr>
        <w:tc>
          <w:tcPr>
            <w:tcW w:w="6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mzda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mzda</w:t>
            </w:r>
          </w:p>
        </w:tc>
      </w:tr>
      <w:tr>
        <w:trPr>
          <w:trHeight w:val="161" w:hRule="atLeast"/>
        </w:trPr>
        <w:tc>
          <w:tcPr>
            <w:tcW w:w="6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b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 </w:t>
            </w:r>
          </w:p>
        </w:tc>
      </w:tr>
      <w:tr>
        <w:trPr>
          <w:trHeight w:val="161" w:hRule="atLeast"/>
        </w:trPr>
        <w:tc>
          <w:tcPr>
            <w:tcW w:w="6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61" w:hRule="atLeast"/>
        </w:trPr>
        <w:tc>
          <w:tcPr>
            <w:tcW w:w="6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b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61" w:hRule="atLeast"/>
        </w:trPr>
        <w:tc>
          <w:tcPr>
            <w:tcW w:w="6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center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Účtovná jednotka bude nepretržite pokračovať vo svojej činnosti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  <w:r>
        <w:rPr>
          <w:rFonts w:cs="Arial Narrow" w:ascii="Arial Narrow" w:hAnsi="Arial Narrow"/>
          <w:b/>
          <w:sz w:val="22"/>
          <w:szCs w:val="22"/>
        </w:rPr>
        <w:t>nie sú zmeny v účtovných metódach spoločnosti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 </w:t>
      </w:r>
      <w:r>
        <w:rPr>
          <w:rFonts w:cs="Arial Narrow" w:ascii="Arial Narrow" w:hAnsi="Arial Narrow"/>
          <w:b/>
          <w:sz w:val="22"/>
          <w:szCs w:val="22"/>
        </w:rPr>
        <w:t>nie sú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06" w:type="dxa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X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X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X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X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X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X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" w:ascii="Arial Narrow" w:hAnsi="Arial Narrow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" w:ascii="Arial Narrow" w:hAnsi="Arial Narrow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" w:ascii="Arial Narrow" w:hAnsi="Arial Narrow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X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X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X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X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X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  <w:lang w:val="en-AU" w:eastAsia="en-US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X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D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riv</w:t>
            </w:r>
            <w:r>
              <w:rPr>
                <w:rFonts w:cs="Arial" w:ascii="Arial Narrow" w:hAnsi="Arial Narrow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X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  <w:lang w:val="en-AU" w:eastAsia="en-US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X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  <w:lang w:val="en-AU" w:eastAsia="en-US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X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  <w:lang w:val="en-AU" w:eastAsia="en-US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</w:t>
      </w:r>
    </w:p>
    <w:p>
      <w:pPr>
        <w:pStyle w:val="Normal"/>
        <w:spacing w:before="0"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Finančné nástroje</w:t>
      </w:r>
      <w:r>
        <w:rPr>
          <w:rFonts w:cs="Arial Narrow" w:ascii="Arial Narrow" w:hAnsi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Opravné položky</w:t>
      </w:r>
      <w:r>
        <w:rPr>
          <w:rFonts w:cs="Arial Narrow" w:ascii="Arial Narrow" w:hAnsi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Opravnú položku k dlhodobej pohľadávke</w:t>
      </w:r>
      <w:r>
        <w:rPr>
          <w:rFonts w:cs="Arial Narrow" w:ascii="Arial Narrow" w:hAnsi="Arial Narrow"/>
          <w:sz w:val="22"/>
          <w:szCs w:val="22"/>
        </w:rPr>
        <w:t xml:space="preserve"> a opravnú položku k dlhodobej pôžičke UJ stanovila </w:t>
      </w:r>
      <w:r>
        <w:rPr>
          <w:rFonts w:cs="Arial Narrow" w:ascii="Arial Narrow" w:hAnsi="Arial Narrow"/>
          <w:sz w:val="22"/>
          <w:szCs w:val="22"/>
          <w:u w:val="single"/>
        </w:rPr>
        <w:t>metódu odúročenia na súčasnú hodnotu</w:t>
      </w:r>
      <w:r>
        <w:rPr>
          <w:rFonts w:cs="Arial Narrow" w:ascii="Arial Narrow" w:hAnsi="Arial Narrow"/>
          <w:sz w:val="22"/>
          <w:szCs w:val="22"/>
        </w:rPr>
        <w:t xml:space="preserve"> (§ 18/8 PU; § 21/6 PU).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Rezervy</w:t>
      </w:r>
      <w:r>
        <w:rPr>
          <w:rFonts w:cs="Arial Narrow" w:ascii="Arial Narrow" w:hAnsi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cs="Arial Narrow" w:ascii="Arial Narrow" w:hAnsi="Arial Narrow"/>
          <w:sz w:val="22"/>
          <w:szCs w:val="22"/>
          <w:u w:val="single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 – lebo nemala k tomu vecnú náplň.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cs="Arial Narrow" w:ascii="Arial Narrow" w:hAnsi="Arial Narrow"/>
          <w:sz w:val="22"/>
          <w:szCs w:val="22"/>
          <w:u w:val="single"/>
        </w:rPr>
        <w:t>vážený aritmetický priemer</w:t>
      </w:r>
      <w:r>
        <w:rPr>
          <w:rFonts w:cs="Arial Narrow" w:ascii="Arial Narrow" w:hAnsi="Arial Narrow"/>
          <w:sz w:val="22"/>
          <w:szCs w:val="22"/>
        </w:rPr>
        <w:t xml:space="preserve"> (§ 25/5 ZoU; § 22/1 PU).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ÚJ používa pri oceňovaní </w:t>
      </w:r>
      <w:r>
        <w:rPr>
          <w:rFonts w:cs="Arial Narrow" w:ascii="Arial Narrow" w:hAnsi="Arial Narrow"/>
          <w:sz w:val="22"/>
          <w:szCs w:val="22"/>
          <w:u w:val="single"/>
        </w:rPr>
        <w:t>prírastku</w:t>
      </w:r>
      <w:r>
        <w:rPr>
          <w:rFonts w:cs="Arial Narrow" w:ascii="Arial Narrow" w:hAnsi="Arial Narrow"/>
          <w:sz w:val="22"/>
          <w:szCs w:val="22"/>
        </w:rPr>
        <w:t xml:space="preserve"> cudzej meny v hotovosti alebo na bankový účet – </w:t>
      </w:r>
      <w:r>
        <w:rPr>
          <w:rFonts w:cs="Arial Narrow" w:ascii="Arial Narrow" w:hAnsi="Arial Narrow"/>
          <w:sz w:val="22"/>
          <w:szCs w:val="22"/>
          <w:u w:val="single"/>
        </w:rPr>
        <w:t>zmenárenský kurz</w:t>
      </w:r>
      <w:r>
        <w:rPr>
          <w:rFonts w:cs="Arial Narrow" w:ascii="Arial Narrow" w:hAnsi="Arial Narrow"/>
          <w:sz w:val="22"/>
          <w:szCs w:val="22"/>
        </w:rPr>
        <w:t xml:space="preserve"> konkrétnej banky (§ 24/3 ZoU).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ÚJ používa pri oceňovaní </w:t>
      </w:r>
      <w:r>
        <w:rPr>
          <w:rFonts w:cs="Arial Narrow" w:ascii="Arial Narrow" w:hAnsi="Arial Narrow"/>
          <w:sz w:val="22"/>
          <w:szCs w:val="22"/>
          <w:u w:val="single"/>
        </w:rPr>
        <w:t>úbytku</w:t>
      </w:r>
      <w:r>
        <w:rPr>
          <w:rFonts w:cs="Arial Narrow" w:ascii="Arial Narrow" w:hAnsi="Arial Narrow"/>
          <w:sz w:val="22"/>
          <w:szCs w:val="22"/>
        </w:rPr>
        <w:t xml:space="preserve"> cudzej meny v hotovosti alebo z bankového účtu – </w:t>
      </w:r>
      <w:r>
        <w:rPr>
          <w:rFonts w:cs="Arial Narrow" w:ascii="Arial Narrow" w:hAnsi="Arial Narrow"/>
          <w:sz w:val="22"/>
          <w:szCs w:val="22"/>
          <w:u w:val="single"/>
        </w:rPr>
        <w:t>základné pravidlo</w:t>
      </w:r>
      <w:r>
        <w:rPr>
          <w:rFonts w:cs="Arial Narrow" w:ascii="Arial Narrow" w:hAnsi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ormal"/>
        <w:rPr/>
      </w:pPr>
      <w:r>
        <w:rPr/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07" w:type="dxa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218"/>
        <w:gridCol w:w="1013"/>
        <w:gridCol w:w="2108"/>
        <w:gridCol w:w="2267"/>
      </w:tblGrid>
      <w:tr>
        <w:trPr/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013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019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023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X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029</w:t>
            </w:r>
          </w:p>
        </w:tc>
        <w:tc>
          <w:tcPr>
            <w:tcW w:w="2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cs="Arial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" w:ascii="Arial Narrow" w:hAnsi="Arial Narrow"/>
          <w:sz w:val="22"/>
          <w:szCs w:val="22"/>
        </w:rPr>
        <w:t xml:space="preserve">UJ používa </w:t>
      </w:r>
      <w:r>
        <w:rPr>
          <w:rFonts w:cs="Arial" w:ascii="Arial Narrow" w:hAnsi="Arial Narrow"/>
          <w:sz w:val="22"/>
          <w:szCs w:val="22"/>
          <w:u w:val="single"/>
        </w:rPr>
        <w:t>účtovné odpisy nezávisle na daňových odpisoch</w:t>
      </w:r>
      <w:r>
        <w:rPr>
          <w:rFonts w:cs="Arial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" w:ascii="Arial Narrow" w:hAnsi="Arial Narrow"/>
          <w:sz w:val="22"/>
          <w:szCs w:val="22"/>
          <w:u w:val="single"/>
        </w:rPr>
        <w:t>zaradený do užívania</w:t>
      </w:r>
      <w:r>
        <w:rPr>
          <w:rFonts w:cs="Arial" w:ascii="Arial Narrow" w:hAnsi="Arial Narrow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" w:ascii="Arial Narrow" w:hAnsi="Arial Narrow"/>
          <w:sz w:val="22"/>
          <w:szCs w:val="22"/>
        </w:rPr>
        <w:t xml:space="preserve">UJ používa </w:t>
      </w:r>
      <w:r>
        <w:rPr>
          <w:rFonts w:cs="Arial" w:ascii="Arial Narrow" w:hAnsi="Arial Narrow"/>
          <w:sz w:val="22"/>
          <w:szCs w:val="22"/>
          <w:u w:val="single"/>
        </w:rPr>
        <w:t>rovnomerné odpisovanie</w:t>
      </w:r>
      <w:r>
        <w:rPr>
          <w:rFonts w:cs="Arial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osobitnej tabuľke programu OFFICE EXCEL (taktiež daňové odpisy podľa zákona o dani z príjmov).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nepoužila </w:t>
      </w:r>
      <w:r>
        <w:rPr>
          <w:rFonts w:cs="Arial Narrow" w:ascii="Arial Narrow" w:hAnsi="Arial Narrow"/>
          <w:sz w:val="22"/>
          <w:szCs w:val="22"/>
          <w:u w:val="single"/>
        </w:rPr>
        <w:t>jednorazový odpis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cs="Arial Narrow" w:ascii="Arial Narrow" w:hAnsi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4"/>
        </w:numPr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dobrovoľnú kapitalizáciu úrokov</w:t>
      </w:r>
      <w:r>
        <w:rPr>
          <w:rFonts w:cs="Arial Narrow" w:ascii="Arial Narrow" w:hAnsi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účtovná jednotka neúčtuje o dotáciách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Cs w:val="false"/>
          <w:sz w:val="22"/>
          <w:szCs w:val="22"/>
        </w:rPr>
        <w:t>účtovná jednotka neúčtuje o významných chybách</w:t>
      </w:r>
    </w:p>
    <w:tbl>
      <w:tblPr>
        <w:tblW w:w="4900" w:type="pct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80"/>
        <w:gridCol w:w="1008"/>
        <w:gridCol w:w="1007"/>
        <w:gridCol w:w="1869"/>
        <w:gridCol w:w="2443"/>
      </w:tblGrid>
      <w:tr>
        <w:trPr/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4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  <w:u w:val="single"/>
        </w:rPr>
        <w:t>Vysvetlivky k oprave chýb minulých účtovných období:</w:t>
      </w:r>
    </w:p>
    <w:p>
      <w:pPr>
        <w:pStyle w:val="Normal"/>
        <w:numPr>
          <w:ilvl w:val="0"/>
          <w:numId w:val="5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>
      <w:pPr>
        <w:pStyle w:val="Normal"/>
        <w:numPr>
          <w:ilvl w:val="0"/>
          <w:numId w:val="5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>
      <w:pPr>
        <w:pStyle w:val="Normal"/>
        <w:numPr>
          <w:ilvl w:val="0"/>
          <w:numId w:val="5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>
      <w:pPr>
        <w:pStyle w:val="Normal"/>
        <w:numPr>
          <w:ilvl w:val="0"/>
          <w:numId w:val="5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Hranicu významnosti si UJ stanoví individuálne v internej účtovnej smernici (napr. 1 tisícina z brutto aktív).</w:t>
      </w:r>
    </w:p>
    <w:p>
      <w:pPr>
        <w:pStyle w:val="Normal"/>
        <w:numPr>
          <w:ilvl w:val="0"/>
          <w:numId w:val="5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>
      <w:pPr>
        <w:pStyle w:val="Normal"/>
        <w:numPr>
          <w:ilvl w:val="0"/>
          <w:numId w:val="5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a)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 neúčtuje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 neúčtuje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cs="Arial Narrow" w:ascii="Arial Narrow" w:hAnsi="Arial Narrow"/>
          <w:sz w:val="22"/>
          <w:szCs w:val="22"/>
          <w:u w:val="single"/>
        </w:rPr>
        <w:t>v tabuľkovej forme</w:t>
      </w:r>
      <w:r>
        <w:rPr>
          <w:rFonts w:cs="Arial Narrow" w:ascii="Arial Narrow" w:hAnsi="Arial Narrow"/>
          <w:sz w:val="22"/>
          <w:szCs w:val="22"/>
        </w:rPr>
        <w:t xml:space="preserve"> informácia zobrazujúca pohyby v oceňovacích rozdieloch </w:t>
      </w:r>
      <w:r>
        <w:rPr>
          <w:rFonts w:cs="Arial Narrow" w:ascii="Arial Narrow" w:hAnsi="Arial Narrow"/>
          <w:sz w:val="22"/>
          <w:szCs w:val="22"/>
          <w:u w:val="single"/>
        </w:rPr>
        <w:t>z ocenenia reálnou hodnotou</w:t>
      </w:r>
      <w:r>
        <w:rPr>
          <w:rFonts w:cs="Arial Narrow" w:ascii="Arial Narrow" w:hAnsi="Arial Narrow"/>
          <w:sz w:val="22"/>
          <w:szCs w:val="22"/>
        </w:rPr>
        <w:t xml:space="preserve"> počas účtovného obdobia.</w:t>
      </w:r>
    </w:p>
    <w:tbl>
      <w:tblPr>
        <w:tblW w:w="4900" w:type="pct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1"/>
        <w:gridCol w:w="1100"/>
        <w:gridCol w:w="1100"/>
        <w:gridCol w:w="1787"/>
        <w:gridCol w:w="1779"/>
      </w:tblGrid>
      <w:tr>
        <w:trPr>
          <w:trHeight w:val="153" w:hRule="atLeast"/>
        </w:trPr>
        <w:tc>
          <w:tcPr>
            <w:tcW w:w="3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Názov položky derivátov</w:t>
            </w:r>
          </w:p>
        </w:tc>
        <w:tc>
          <w:tcPr>
            <w:tcW w:w="11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1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imanie</w:t>
            </w:r>
          </w:p>
        </w:tc>
      </w:tr>
      <w:tr>
        <w:trPr>
          <w:trHeight w:val="62" w:hRule="atLeast"/>
        </w:trPr>
        <w:tc>
          <w:tcPr>
            <w:tcW w:w="3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1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1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09" w:hRule="atLeast"/>
        </w:trPr>
        <w:tc>
          <w:tcPr>
            <w:tcW w:w="3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1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1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spacing w:before="120" w:after="12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</w:t>
      </w:r>
      <w:r>
        <w:rPr>
          <w:rFonts w:cs="Arial Narrow" w:ascii="Arial Narrow" w:hAnsi="Arial Narrow"/>
          <w:sz w:val="22"/>
          <w:szCs w:val="22"/>
        </w:rPr>
        <w:t>: Prvotné ocenenie reálnou hodnotou (§ 25 ZoU) počas účtovného obdobia – bez náplne.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[Vysvetlivky: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  <w:u w:val="single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>
      <w:pPr>
        <w:pStyle w:val="Normal"/>
        <w:spacing w:before="0" w:after="12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78"/>
        <w:gridCol w:w="2496"/>
        <w:gridCol w:w="2323"/>
      </w:tblGrid>
      <w:tr>
        <w:trPr>
          <w:trHeight w:val="693" w:hRule="atLeast"/>
        </w:trPr>
        <w:tc>
          <w:tcPr>
            <w:tcW w:w="4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b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3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b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31"/>
        <w:gridCol w:w="2789"/>
        <w:gridCol w:w="2377"/>
      </w:tblGrid>
      <w:tr>
        <w:trPr/>
        <w:tc>
          <w:tcPr>
            <w:tcW w:w="43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1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TopHeader"/>
              <w:jc w:val="both"/>
              <w:rPr/>
            </w:pPr>
            <w:r>
              <w:rPr/>
            </w:r>
          </w:p>
        </w:tc>
        <w:tc>
          <w:tcPr>
            <w:tcW w:w="2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a) dôvod nadobudnutia vlastných akcií počas účtovného obdobia: 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 neúčtuje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 neúčtuje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b2) počet a protihodnota, za ktorú sa vlastné akcie počas účtovného obdobia nadobudli a počet a protihodnota, za ktorú sa vlastné akcie počas účtovného obdobia previedli na inú osobu: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 neúčtuje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</w:rPr>
        <w:t>účtovná jednotka neúčtuje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 nemá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 nemá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 nemá</w:t>
      </w:r>
    </w:p>
    <w:p>
      <w:pPr>
        <w:pStyle w:val="Normal"/>
        <w:numPr>
          <w:ilvl w:val="0"/>
          <w:numId w:val="6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 nemá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 nemá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49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115"/>
        <w:gridCol w:w="1648"/>
        <w:gridCol w:w="1544"/>
      </w:tblGrid>
      <w:tr>
        <w:trPr>
          <w:trHeight w:val="780" w:hRule="atLeast"/>
        </w:trPr>
        <w:tc>
          <w:tcPr>
            <w:tcW w:w="6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podsúvahovej položky</w:t>
            </w: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 </w:t>
            </w:r>
          </w:p>
        </w:tc>
      </w:tr>
      <w:tr>
        <w:trPr>
          <w:trHeight w:val="144" w:hRule="atLeast"/>
        </w:trPr>
        <w:tc>
          <w:tcPr>
            <w:tcW w:w="6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X 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61" w:hRule="atLeast"/>
        </w:trPr>
        <w:tc>
          <w:tcPr>
            <w:tcW w:w="6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61" w:hRule="atLeast"/>
        </w:trPr>
        <w:tc>
          <w:tcPr>
            <w:tcW w:w="6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61" w:hRule="atLeast"/>
        </w:trPr>
        <w:tc>
          <w:tcPr>
            <w:tcW w:w="6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61" w:hRule="atLeast"/>
        </w:trPr>
        <w:tc>
          <w:tcPr>
            <w:tcW w:w="6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 nemá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a) </w:t>
      </w:r>
      <w:r>
        <w:rPr>
          <w:rFonts w:cs="Arial Narrow" w:ascii="Arial Narrow" w:hAnsi="Arial Narrow"/>
          <w:sz w:val="22"/>
          <w:szCs w:val="22"/>
          <w:u w:val="single"/>
        </w:rPr>
        <w:t>Pokles alebo zvýšenie trhovej ceny finančného majetku</w:t>
      </w:r>
      <w:r>
        <w:rPr>
          <w:rFonts w:cs="Arial Narrow" w:ascii="Arial Narrow" w:hAnsi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b) </w:t>
      </w:r>
      <w:r>
        <w:rPr>
          <w:rFonts w:cs="Arial Narrow" w:ascii="Arial Narrow" w:hAnsi="Arial Narrow"/>
          <w:sz w:val="22"/>
          <w:szCs w:val="22"/>
          <w:u w:val="single"/>
        </w:rPr>
        <w:t>Dôvody pre zmenu výšky rezerv a opravných položiek</w:t>
      </w:r>
      <w:r>
        <w:rPr>
          <w:rFonts w:cs="Arial Narrow" w:ascii="Arial Narrow" w:hAnsi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Zmena spoločníkov účtovnej jednotky: 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Prijaté rozhodnutia o predaji účtovnej jednotky alebo jej časti: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Zmeny významných položiek dlhodobého finančného majetku: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g) Vydané dlhopisy a iné cenné papiere: 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h) Zlúčenie, splynutie, rozdelenie a zmena právnej formy účtovnej jednotky: 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i) Mimoriadne udalosti, ak majú vplyv na hospodárenie účtovnej jednotky, napr. živelná pohroma: 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j) Získanie alebo odobratie licencií alebo iných povolení významných pre činnosť účtovnej jednotky: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[Vysvetlivky: </w:t>
      </w:r>
      <w:r>
        <w:rPr>
          <w:rFonts w:cs="Arial Narrow" w:ascii="Arial Narrow" w:hAnsi="Arial Narrow"/>
          <w:sz w:val="22"/>
          <w:szCs w:val="22"/>
          <w:u w:val="single"/>
        </w:rPr>
        <w:t>Následná udalosť</w:t>
      </w:r>
      <w:r>
        <w:rPr>
          <w:rFonts w:cs="Arial Narrow" w:ascii="Arial Narrow" w:hAnsi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cs="Arial Narrow" w:ascii="Arial Narrow" w:hAnsi="Arial Narrow"/>
          <w:sz w:val="22"/>
          <w:szCs w:val="22"/>
          <w:u w:val="single"/>
        </w:rPr>
        <w:t>Upravujúci závierkový účtovný prípad</w:t>
      </w:r>
      <w:r>
        <w:rPr>
          <w:rFonts w:cs="Arial Narrow" w:ascii="Arial Narrow" w:hAnsi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 nemá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 nemá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 nemá</w:t>
      </w:r>
    </w:p>
    <w:sectPr>
      <w:headerReference w:type="default" r:id="rId2"/>
      <w:footerReference w:type="default" r:id="rId3"/>
      <w:type w:val="nextPage"/>
      <w:pgSz w:w="11906" w:h="16838"/>
      <w:pgMar w:left="1417" w:right="992" w:header="567" w:top="1417" w:footer="567" w:bottom="1417" w:gutter="0"/>
      <w:pgNumType w:fmt="decimal"/>
      <w:formProt w:val="false"/>
      <w:textDirection w:val="lrTb"/>
      <w:docGrid w:type="default" w:linePitch="326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  <w:font w:name="Arial Narrow">
    <w:charset w:val="01"/>
    <w:family w:val="swiss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pat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Zpat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A"/>
        <w:lang w:val="sk-SK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  <w:lang w:val="sk-SK"/>
      </w:rPr>
      <w:t>z</w:t>
    </w:r>
    <w:r>
      <w:rPr>
        <w:rFonts w:cs="Arial" w:ascii="Arial" w:hAnsi="Arial"/>
        <w:sz w:val="22"/>
        <w:szCs w:val="22"/>
        <w:bdr w:val="single" w:sz="4" w:space="0" w:color="00000A"/>
        <w:lang w:val="sk-SK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  <w:lang w:val="sk-SK"/>
      </w:rPr>
      <w:t>á</w:t>
    </w:r>
    <w:r>
      <w:rPr>
        <w:rFonts w:cs="Arial" w:ascii="Arial" w:hAnsi="Arial"/>
        <w:sz w:val="22"/>
        <w:szCs w:val="22"/>
        <w:bdr w:val="single" w:sz="4" w:space="0" w:color="00000A"/>
        <w:lang w:val="sk-SK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  <w:lang w:val="sk-SK"/>
      </w:rPr>
      <w:t>k</w:t>
    </w:r>
    <w:r>
      <w:rPr>
        <w:rFonts w:cs="Arial" w:ascii="Arial" w:hAnsi="Arial"/>
        <w:sz w:val="22"/>
        <w:szCs w:val="22"/>
        <w:bdr w:val="single" w:sz="4" w:space="0" w:color="00000A"/>
        <w:lang w:val="sk-SK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  <w:lang w:val="sk-SK"/>
      </w:rPr>
      <w:t>Ú</w:t>
    </w:r>
    <w:r>
      <w:rPr>
        <w:rFonts w:cs="Arial" w:ascii="Arial" w:hAnsi="Arial"/>
        <w:sz w:val="22"/>
        <w:szCs w:val="22"/>
        <w:bdr w:val="single" w:sz="4" w:space="0" w:color="00000A"/>
        <w:lang w:val="sk-SK"/>
      </w:rPr>
      <w:t>č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POD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36541354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2020160164</w:t>
    </w:r>
  </w:p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hanging="-360"/>
      </w:pPr>
      <w:rPr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shadow w:val="false"/>
        <w:u w:val="none"/>
        <w:b w:val="false"/>
        <w:szCs w:val="24"/>
        <w:iCs w:val="false"/>
        <w:bCs w:val="false"/>
        <w:w w:val="100"/>
        <w:emboss w:val="false"/>
        <w:imprint w:val="false"/>
        <w:vanish w:val="false"/>
        <w:rFonts w:cs="Times New Roman"/>
        <w:color w:val="00000A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">
    <w:lvl w:ilvl="0">
      <w:start w:val="6"/>
      <w:numFmt w:val="bullet"/>
      <w:lvlText w:val="-"/>
      <w:lvlJc w:val="left"/>
      <w:pPr>
        <w:ind w:left="720" w:hanging="360"/>
      </w:pPr>
      <w:rPr>
        <w:rFonts w:ascii="Arial Narrow" w:hAnsi="Arial Narrow" w:cs="Arial Narrow" w:hint="default"/>
        <w:sz w:val="22"/>
        <w:rFonts w:cs="Arial Narrow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5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embedSystemFonts/>
  <w:defaultTabStop w:val="113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99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</w:latentStyles>
  <w:style w:type="paragraph" w:styleId="Normal" w:default="1">
    <w:name w:val="Normal"/>
    <w:qFormat/>
    <w:rsid w:val="00dd6176"/>
    <w:pPr>
      <w:widowControl/>
      <w:bidi w:val="0"/>
      <w:jc w:val="left"/>
    </w:pPr>
    <w:rPr>
      <w:rFonts w:ascii="Times New Roman" w:hAnsi="Times New Roman" w:eastAsia="Times New Roman" w:cs="Times New Roman"/>
      <w:color w:val="auto"/>
      <w:sz w:val="24"/>
      <w:szCs w:val="24"/>
      <w:lang w:val="sk-SK" w:eastAsia="sk-SK" w:bidi="ar-SA"/>
    </w:rPr>
  </w:style>
  <w:style w:type="paragraph" w:styleId="Nadpis1">
    <w:name w:val="Heading 1"/>
    <w:basedOn w:val="Normal"/>
    <w:link w:val="Nadpis1Char"/>
    <w:qFormat/>
    <w:rsid w:val="00dd6176"/>
    <w:pPr>
      <w:keepNext/>
      <w:numPr>
        <w:ilvl w:val="0"/>
        <w:numId w:val="1"/>
      </w:numPr>
      <w:spacing w:before="240" w:after="60"/>
      <w:jc w:val="center"/>
      <w:outlineLvl w:val="0"/>
      <w:outlineLvl w:val="0"/>
    </w:pPr>
    <w:rPr>
      <w:b/>
      <w:bCs/>
    </w:rPr>
  </w:style>
  <w:style w:type="paragraph" w:styleId="Nadpis2">
    <w:name w:val="Heading 2"/>
    <w:basedOn w:val="Normal"/>
    <w:link w:val="Nadpis2Char"/>
    <w:qFormat/>
    <w:rsid w:val="00dd6176"/>
    <w:pPr>
      <w:keepNext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link w:val="Nadpis1"/>
    <w:qFormat/>
    <w:locked/>
    <w:rsid w:val="00994b18"/>
    <w:rPr>
      <w:b/>
      <w:bCs/>
      <w:sz w:val="24"/>
      <w:szCs w:val="24"/>
      <w:lang w:val="sk-SK" w:eastAsia="sk-SK"/>
    </w:rPr>
  </w:style>
  <w:style w:type="character" w:styleId="Nadpis2Char" w:customStyle="1">
    <w:name w:val="Nadpis 2 Char"/>
    <w:link w:val="Nadpis2"/>
    <w:semiHidden/>
    <w:qFormat/>
    <w:locked/>
    <w:rsid w:val="00994b18"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link w:val="Textpoznmkypodiarou"/>
    <w:semiHidden/>
    <w:qFormat/>
    <w:locked/>
    <w:rsid w:val="00994b18"/>
    <w:rPr>
      <w:sz w:val="20"/>
      <w:szCs w:val="20"/>
    </w:rPr>
  </w:style>
  <w:style w:type="character" w:styleId="Footnotereference">
    <w:name w:val="footnote reference"/>
    <w:semiHidden/>
    <w:qFormat/>
    <w:rsid w:val="00dd6176"/>
    <w:rPr>
      <w:vertAlign w:val="superscript"/>
    </w:rPr>
  </w:style>
  <w:style w:type="character" w:styleId="PtaChar" w:customStyle="1">
    <w:name w:val="Päta Char"/>
    <w:link w:val="Pta"/>
    <w:uiPriority w:val="99"/>
    <w:qFormat/>
    <w:locked/>
    <w:rsid w:val="00994b18"/>
    <w:rPr>
      <w:sz w:val="24"/>
      <w:szCs w:val="24"/>
    </w:rPr>
  </w:style>
  <w:style w:type="character" w:styleId="Pagenumber">
    <w:name w:val="page number"/>
    <w:basedOn w:val="DefaultParagraphFont"/>
    <w:qFormat/>
    <w:rsid w:val="006761b2"/>
    <w:rPr/>
  </w:style>
  <w:style w:type="character" w:styleId="NzovChar" w:customStyle="1">
    <w:name w:val="Názov Char"/>
    <w:link w:val="Nzov"/>
    <w:uiPriority w:val="99"/>
    <w:qFormat/>
    <w:locked/>
    <w:rsid w:val="00a84c9f"/>
    <w:rPr>
      <w:rFonts w:ascii="Arial Narrow" w:hAnsi="Arial Narrow" w:cs="Arial Narrow"/>
      <w:b/>
      <w:bCs/>
      <w:sz w:val="32"/>
      <w:szCs w:val="32"/>
      <w:lang w:val="sk-SK"/>
    </w:rPr>
  </w:style>
  <w:style w:type="character" w:styleId="HlavikaChar" w:customStyle="1">
    <w:name w:val="Hlavička Char"/>
    <w:link w:val="Hlavika"/>
    <w:qFormat/>
    <w:locked/>
    <w:rsid w:val="003c13be"/>
    <w:rPr>
      <w:sz w:val="24"/>
      <w:szCs w:val="24"/>
      <w:lang w:val="sk-SK" w:eastAsia="sk-SK"/>
    </w:rPr>
  </w:style>
  <w:style w:type="character" w:styleId="ZkladntextChar" w:customStyle="1">
    <w:name w:val="Základný text Char"/>
    <w:link w:val="Zkladntext0"/>
    <w:uiPriority w:val="1"/>
    <w:qFormat/>
    <w:rsid w:val="00ea0ddc"/>
    <w:rPr>
      <w:sz w:val="24"/>
      <w:szCs w:val="24"/>
      <w:lang w:val="en-US" w:eastAsia="en-US"/>
    </w:rPr>
  </w:style>
  <w:style w:type="character" w:styleId="ListLabel1">
    <w:name w:val="ListLabel 1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Courier New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cs="Courier New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ascii="Arial Narrow" w:hAnsi="Arial Narrow" w:eastAsia="Times New Roman" w:cs="Arial Narrow"/>
      <w:sz w:val="22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Courier New"/>
    </w:rPr>
  </w:style>
  <w:style w:type="character" w:styleId="ListLabel23">
    <w:name w:val="ListLabel 23"/>
    <w:qFormat/>
    <w:rPr>
      <w:rFonts w:cs="Courier New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Courier New"/>
    </w:rPr>
  </w:style>
  <w:style w:type="character" w:styleId="ListLabel26">
    <w:name w:val="ListLabel 26"/>
    <w:qFormat/>
    <w:rPr>
      <w:rFonts w:cs="Courier New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Courier New"/>
    </w:rPr>
  </w:style>
  <w:style w:type="character" w:styleId="ListLabel29">
    <w:name w:val="ListLabel 29"/>
    <w:qFormat/>
    <w:rPr>
      <w:rFonts w:cs="Courier New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Courier New"/>
    </w:rPr>
  </w:style>
  <w:style w:type="character" w:styleId="ListLabel32">
    <w:name w:val="ListLabel 32"/>
    <w:qFormat/>
    <w:rPr>
      <w:rFonts w:cs="Courier New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Courier New"/>
    </w:rPr>
  </w:style>
  <w:style w:type="character" w:styleId="ListLabel35">
    <w:name w:val="ListLabel 35"/>
    <w:qFormat/>
    <w:rPr>
      <w:rFonts w:cs="Courier New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Courier New"/>
    </w:rPr>
  </w:style>
  <w:style w:type="character" w:styleId="ListLabel38">
    <w:name w:val="ListLabel 38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1"/>
    <w:unhideWhenUsed/>
    <w:qFormat/>
    <w:rsid w:val="00ea0ddc"/>
    <w:pPr>
      <w:widowControl w:val="false"/>
      <w:ind w:left="668" w:hanging="567"/>
    </w:pPr>
    <w:rPr>
      <w:lang w:val="en-US" w:eastAsia="en-US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kladntext" w:customStyle="1">
    <w:name w:val="Základní text"/>
    <w:qFormat/>
    <w:rsid w:val="00dd6176"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paragraph" w:styleId="Footnotetext">
    <w:name w:val="footnote text"/>
    <w:basedOn w:val="Normal"/>
    <w:link w:val="TextpoznmkypodiarouChar"/>
    <w:semiHidden/>
    <w:qFormat/>
    <w:rsid w:val="00dd6176"/>
    <w:pPr/>
    <w:rPr>
      <w:sz w:val="20"/>
      <w:szCs w:val="20"/>
    </w:rPr>
  </w:style>
  <w:style w:type="paragraph" w:styleId="Zpat">
    <w:name w:val="Footer"/>
    <w:basedOn w:val="Normal"/>
    <w:link w:val="PtaChar"/>
    <w:uiPriority w:val="99"/>
    <w:rsid w:val="006761b2"/>
    <w:pPr>
      <w:tabs>
        <w:tab w:val="center" w:pos="4536" w:leader="none"/>
        <w:tab w:val="right" w:pos="9072" w:leader="none"/>
      </w:tabs>
    </w:pPr>
    <w:rPr/>
  </w:style>
  <w:style w:type="paragraph" w:styleId="Nzev">
    <w:name w:val="Title"/>
    <w:basedOn w:val="Normal"/>
    <w:link w:val="NzovChar"/>
    <w:uiPriority w:val="99"/>
    <w:qFormat/>
    <w:rsid w:val="00a84c9f"/>
    <w:pPr>
      <w:keepNext/>
      <w:spacing w:beforeAutospacing="1" w:after="220"/>
      <w:jc w:val="center"/>
      <w:outlineLvl w:val="0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opHeader" w:customStyle="1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al"/>
    <w:link w:val="HlavikaChar"/>
    <w:rsid w:val="003c13be"/>
    <w:pPr>
      <w:tabs>
        <w:tab w:val="center" w:pos="4703" w:leader="none"/>
        <w:tab w:val="right" w:pos="9406" w:leader="none"/>
      </w:tabs>
    </w:pPr>
    <w:rPr/>
  </w:style>
  <w:style w:type="paragraph" w:styleId="ListParagraph">
    <w:name w:val="List Paragraph"/>
    <w:basedOn w:val="Normal"/>
    <w:uiPriority w:val="34"/>
    <w:qFormat/>
    <w:rsid w:val="00511968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3b22e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leNormal">
    <w:name w:val="Table Normal"/>
    <w:uiPriority w:val="2"/>
    <w:semiHidden/>
    <w:qFormat/>
    <w:rsid w:val="00ea0ddc"/>
    <w:rPr>
      <w:lang w:val="en-US" w:eastAsia="en-US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8C55BF-E0C0-422B-804F-5222648CBA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Application>LibreOffice/5.1.4.2$Windows_x86 LibreOffice_project/f99d75f39f1c57ebdd7ffc5f42867c12031db97a</Application>
  <Pages>7</Pages>
  <Words>2826</Words>
  <Characters>16734</Characters>
  <CharactersWithSpaces>19394</CharactersWithSpaces>
  <Paragraphs>330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2016-02-09T15:04:00Z</dcterms:created>
  <dc:creator>user</dc:creator>
  <dc:description/>
  <dc:language>cs-CZ</dc:language>
  <cp:lastModifiedBy/>
  <cp:lastPrinted>2016-02-11T13:55:00Z</cp:lastPrinted>
  <dcterms:modified xsi:type="dcterms:W3CDTF">2017-03-08T16:19:25Z</dcterms:modified>
  <cp:revision>14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