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9072" w:type="dxa"/>
        <w:jc w:val="left"/>
        <w:tblInd w:w="47" w:type="dxa"/>
        <w:tblBorders>
          <w:top w:val="single" w:sz="2" w:space="0" w:color="000001"/>
          <w:left w:val="single" w:sz="2" w:space="0" w:color="000001"/>
          <w:bottom w:val="single" w:sz="2" w:space="0" w:color="000001"/>
          <w:right w:val="single" w:sz="2" w:space="0" w:color="000001"/>
          <w:insideH w:val="single" w:sz="2" w:space="0" w:color="000001"/>
          <w:insideV w:val="single" w:sz="2" w:space="0" w:color="000001"/>
        </w:tblBorders>
        <w:tblCellMar>
          <w:top w:w="55" w:type="dxa"/>
          <w:left w:w="45" w:type="dxa"/>
          <w:bottom w:w="55" w:type="dxa"/>
          <w:right w:w="55" w:type="dxa"/>
        </w:tblCellMar>
      </w:tblPr>
      <w:tblGrid>
        <w:gridCol w:w="9072"/>
      </w:tblGrid>
      <w:tr>
        <w:trPr/>
        <w:tc>
          <w:tcPr>
            <w:tcW w:w="90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Spacing"/>
              <w:rPr/>
            </w:pPr>
            <w:r>
              <w:rPr>
                <w:b/>
              </w:rPr>
              <w:t>Poznámky Úč  MÚJ 3 – 1                 IČO      4 5 3 9 4 8 1 4          DIČ   2 0 2 2 9 7 9 8 4 9</w:t>
            </w:r>
          </w:p>
        </w:tc>
      </w:tr>
    </w:tbl>
    <w:p>
      <w:pPr>
        <w:pStyle w:val="NoSpacing"/>
        <w:rPr>
          <w:b/>
          <w:b/>
        </w:rPr>
      </w:pPr>
      <w:r>
        <w:rPr>
          <w:b/>
        </w:rPr>
        <w:t xml:space="preserve">                                                                    </w:t>
      </w:r>
    </w:p>
    <w:p>
      <w:pPr>
        <w:pStyle w:val="Normal"/>
        <w:rPr>
          <w:b/>
          <w:b/>
        </w:rPr>
      </w:pPr>
      <w:r>
        <w:rPr>
          <w:b/>
        </w:rPr>
        <w:t xml:space="preserve">      </w:t>
      </w:r>
    </w:p>
    <w:p>
      <w:pPr>
        <w:pStyle w:val="Normal"/>
        <w:rPr/>
      </w:pPr>
      <w:r>
        <w:rPr>
          <w:b/>
        </w:rPr>
        <w:t xml:space="preserve">        </w:t>
      </w:r>
      <w:r>
        <w:rPr>
          <w:b/>
          <w:sz w:val="26"/>
          <w:szCs w:val="26"/>
        </w:rPr>
        <w:t>Poznámky individuálnej účtovnej závierky za obdobie 1/2016 – 12/2016</w:t>
      </w:r>
    </w:p>
    <w:p>
      <w:pPr>
        <w:pStyle w:val="NoSpacing"/>
        <w:rPr>
          <w:b/>
          <w:b/>
        </w:rPr>
      </w:pPr>
      <w:r>
        <w:rPr>
          <w:b/>
        </w:rPr>
      </w:r>
    </w:p>
    <w:p>
      <w:pPr>
        <w:pStyle w:val="NoSpacing"/>
        <w:rPr>
          <w:b/>
          <w:b/>
        </w:rPr>
      </w:pPr>
      <w:r>
        <w:rPr>
          <w:b/>
        </w:rPr>
        <w:t xml:space="preserve">                                                                            </w:t>
      </w:r>
      <w:r>
        <w:rPr>
          <w:b/>
        </w:rPr>
        <w:t>Čl. I.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>
        <w:rPr>
          <w:b/>
          <w:sz w:val="24"/>
          <w:szCs w:val="24"/>
        </w:rPr>
        <w:t>Všeobecné  údaje</w:t>
      </w:r>
    </w:p>
    <w:p>
      <w:pPr>
        <w:pStyle w:val="Normal"/>
        <w:spacing w:lineRule="auto" w:line="240" w:before="0" w:after="0"/>
        <w:rPr/>
      </w:pPr>
      <w:r>
        <w:rPr>
          <w:sz w:val="24"/>
          <w:szCs w:val="24"/>
        </w:rPr>
        <w:t>1/ Názov a sídlo</w:t>
      </w:r>
      <w:r>
        <w:rPr>
          <w:b/>
          <w:sz w:val="24"/>
          <w:szCs w:val="24"/>
        </w:rPr>
        <w:t xml:space="preserve">:   ARP services, s.r.o.  Hlaváčikova ul. 12, Bratislava       </w:t>
      </w:r>
    </w:p>
    <w:p>
      <w:pPr>
        <w:pStyle w:val="Normal"/>
        <w:spacing w:lineRule="auto" w:line="240"/>
        <w:rPr/>
      </w:pPr>
      <w:r>
        <w:rPr>
          <w:b/>
          <w:sz w:val="24"/>
          <w:szCs w:val="24"/>
        </w:rPr>
        <w:t xml:space="preserve">                               </w:t>
      </w:r>
      <w:r>
        <w:rPr>
          <w:b/>
          <w:sz w:val="20"/>
          <w:szCs w:val="20"/>
        </w:rPr>
        <w:t xml:space="preserve"> </w:t>
      </w:r>
      <w:r>
        <w:rPr>
          <w:b w:val="false"/>
          <w:bCs w:val="false"/>
          <w:sz w:val="20"/>
          <w:szCs w:val="20"/>
        </w:rPr>
        <w:t xml:space="preserve">Obch.register Okresného súdu Bratislava I., oddiel Sro, vložka 63162/B </w:t>
      </w:r>
    </w:p>
    <w:p>
      <w:pPr>
        <w:pStyle w:val="Normal"/>
        <w:spacing w:lineRule="auto" w:line="240" w:before="0" w:after="57"/>
        <w:rPr/>
      </w:pPr>
      <w:r>
        <w:rPr>
          <w:b/>
          <w:sz w:val="24"/>
          <w:szCs w:val="24"/>
        </w:rPr>
        <w:t xml:space="preserve">                                                                                </w:t>
      </w:r>
      <w:r>
        <w:rPr/>
        <w:t xml:space="preserve"> </w:t>
      </w:r>
    </w:p>
    <w:p>
      <w:pPr>
        <w:pStyle w:val="NoSpacing"/>
        <w:rPr/>
      </w:pPr>
      <w:r>
        <w:rPr/>
        <w:t xml:space="preserve">     </w:t>
      </w:r>
      <w:r>
        <w:rPr/>
        <w:t xml:space="preserve">Hlavné činnosti: </w:t>
      </w:r>
    </w:p>
    <w:p>
      <w:pPr>
        <w:pStyle w:val="NoSpacing"/>
        <w:rPr/>
      </w:pPr>
      <w:r>
        <w:rPr/>
        <w:t xml:space="preserve">     </w:t>
      </w:r>
      <w:r>
        <w:rPr/>
        <w:t>- poskytovanie služieb rýchleho občerstvenia na priamu konzumáciu</w:t>
      </w:r>
    </w:p>
    <w:p>
      <w:pPr>
        <w:pStyle w:val="NoSpacing"/>
        <w:rPr/>
      </w:pPr>
      <w:r>
        <w:rPr/>
      </w:r>
    </w:p>
    <w:p>
      <w:pPr>
        <w:pStyle w:val="NoSpacing"/>
        <w:rPr/>
      </w:pPr>
      <w:r>
        <w:rPr/>
        <w:t>2/ Údaje o konsolidovanom celku</w:t>
      </w:r>
    </w:p>
    <w:p>
      <w:pPr>
        <w:pStyle w:val="NoSpacing"/>
        <w:numPr>
          <w:ilvl w:val="0"/>
          <w:numId w:val="1"/>
        </w:numPr>
        <w:rPr/>
      </w:pPr>
      <w:r>
        <w:rPr/>
        <w:t>spoločnosť nie je súčasťou konsolidovaného celku,</w:t>
      </w:r>
    </w:p>
    <w:p>
      <w:pPr>
        <w:pStyle w:val="NoSpacing"/>
        <w:numPr>
          <w:ilvl w:val="0"/>
          <w:numId w:val="1"/>
        </w:numPr>
        <w:rPr/>
      </w:pPr>
      <w:r>
        <w:rPr/>
        <w:t>spoločnosť nemá povinnosť vykonať konsolidovanú účtovnú závierku podľa § 22</w:t>
      </w:r>
    </w:p>
    <w:p>
      <w:pPr>
        <w:pStyle w:val="NoSpacing"/>
        <w:rPr/>
      </w:pPr>
      <w:r>
        <w:rPr/>
      </w:r>
    </w:p>
    <w:p>
      <w:pPr>
        <w:pStyle w:val="NoSpacing"/>
        <w:rPr/>
      </w:pPr>
      <w:r>
        <w:rPr/>
        <w:t>3/ Priemerný prepočítaný počet zamestnancov  počas účtovného obdobia:         3</w:t>
      </w:r>
    </w:p>
    <w:p>
      <w:pPr>
        <w:pStyle w:val="NoSpacing"/>
        <w:rPr/>
      </w:pPr>
      <w:r>
        <w:rPr/>
        <w:t xml:space="preserve">     </w:t>
      </w:r>
      <w:r>
        <w:rPr/>
        <w:t xml:space="preserve">a riadiaci pracovník – spoločník, konateľ- bez mzdy:                                              1 </w:t>
      </w:r>
    </w:p>
    <w:p>
      <w:pPr>
        <w:pStyle w:val="NoSpacing"/>
        <w:rPr/>
      </w:pPr>
      <w:r>
        <w:rPr/>
      </w:r>
    </w:p>
    <w:p>
      <w:pPr>
        <w:pStyle w:val="NoSpacing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</w:p>
    <w:p>
      <w:pPr>
        <w:pStyle w:val="NoSpacing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</w:t>
      </w:r>
      <w:r>
        <w:rPr>
          <w:b/>
          <w:sz w:val="24"/>
          <w:szCs w:val="24"/>
        </w:rPr>
        <w:t xml:space="preserve">Čl. II   </w:t>
      </w:r>
    </w:p>
    <w:p>
      <w:pPr>
        <w:pStyle w:val="NoSpacing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>
        <w:rPr>
          <w:b/>
          <w:sz w:val="24"/>
          <w:szCs w:val="24"/>
        </w:rPr>
        <w:t>Informácie o prijatých postupoch</w:t>
      </w:r>
    </w:p>
    <w:p>
      <w:pPr>
        <w:pStyle w:val="NoSpacing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1/ Účtovná závierka bola zostavená za predpokladu nepretržitého trvania spo-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>
        <w:rPr>
          <w:sz w:val="24"/>
          <w:szCs w:val="24"/>
        </w:rPr>
        <w:t>ločnosti.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2/  Spoločnosť oceňuje majetok a záväzky ku dňu uskutočnenia účtovného prípadu</w:t>
      </w:r>
    </w:p>
    <w:p>
      <w:pPr>
        <w:pStyle w:val="NoSpacing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ku dňu uskutočnenia prípadu oceňovala spoločnosť dlhodobý majetok nado-</w:t>
      </w:r>
    </w:p>
    <w:p>
      <w:pPr>
        <w:pStyle w:val="NoSpacing"/>
        <w:ind w:left="240" w:hanging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budnutý obstarávacou cenou </w:t>
      </w:r>
    </w:p>
    <w:p>
      <w:pPr>
        <w:pStyle w:val="NoSpacing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ku dňu uskutočnenia účtovného prípadu oceňovala spoločnosť menovitou</w:t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  <w:t>hodnotou  pohľadávky, záväzky /vrátane rezerv/ pri ich vzniku a tiež zásoby,</w:t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  <w:t>pri ktorých spoločnosť postupuje spôsobom B podľa postupov účtovania.</w:t>
      </w:r>
    </w:p>
    <w:p>
      <w:pPr>
        <w:pStyle w:val="NoSpacing"/>
        <w:rPr/>
      </w:pPr>
      <w:r>
        <w:rPr>
          <w:sz w:val="24"/>
          <w:szCs w:val="24"/>
        </w:rPr>
        <w:t xml:space="preserve">3/  Odpisový plán spoločnosti:   </w:t>
      </w:r>
    </w:p>
    <w:p>
      <w:pPr>
        <w:pStyle w:val="NoSpacing"/>
        <w:numPr>
          <w:ilvl w:val="0"/>
          <w:numId w:val="1"/>
        </w:numPr>
        <w:rPr/>
      </w:pPr>
      <w:r>
        <w:rPr>
          <w:sz w:val="24"/>
          <w:szCs w:val="24"/>
        </w:rPr>
        <w:t>hmotný majetok ktorého ocenenie je vyššie ako 1700, EUR zaradí a pri odpiso-</w:t>
      </w:r>
    </w:p>
    <w:p>
      <w:pPr>
        <w:pStyle w:val="NoSpacing"/>
        <w:numPr>
          <w:ilvl w:val="0"/>
          <w:numId w:val="0"/>
        </w:numPr>
        <w:rPr/>
      </w:pPr>
      <w:r>
        <w:rPr>
          <w:sz w:val="24"/>
          <w:szCs w:val="24"/>
        </w:rPr>
        <w:t xml:space="preserve">           </w:t>
      </w:r>
      <w:r>
        <w:rPr>
          <w:sz w:val="24"/>
          <w:szCs w:val="24"/>
        </w:rPr>
        <w:t>vaní má stanovené účtovné aj daňové odpisy.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4/  Spoločnosť v sledovanom účtovnom období neuskutočnila žiadne zmeny účtovných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>
        <w:rPr>
          <w:sz w:val="24"/>
          <w:szCs w:val="24"/>
        </w:rPr>
        <w:t>zásad a účtovných metód.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5/  Spoločnosť v sledovanom období neprijala a neúčtovala žiadne dotácie.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6/  Spoločnosť v sledovanom období neúčtovala o významných opravách chýb 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>
        <w:rPr>
          <w:sz w:val="24"/>
          <w:szCs w:val="24"/>
        </w:rPr>
        <w:t>minulých účtovných období.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9072" w:type="dxa"/>
        <w:jc w:val="left"/>
        <w:tblInd w:w="47" w:type="dxa"/>
        <w:tblBorders>
          <w:top w:val="single" w:sz="2" w:space="0" w:color="000001"/>
          <w:left w:val="single" w:sz="2" w:space="0" w:color="000001"/>
          <w:bottom w:val="single" w:sz="2" w:space="0" w:color="000001"/>
          <w:right w:val="single" w:sz="2" w:space="0" w:color="000001"/>
          <w:insideH w:val="single" w:sz="2" w:space="0" w:color="000001"/>
          <w:insideV w:val="single" w:sz="2" w:space="0" w:color="000001"/>
        </w:tblBorders>
        <w:tblCellMar>
          <w:top w:w="55" w:type="dxa"/>
          <w:left w:w="45" w:type="dxa"/>
          <w:bottom w:w="55" w:type="dxa"/>
          <w:right w:w="55" w:type="dxa"/>
        </w:tblCellMar>
      </w:tblPr>
      <w:tblGrid>
        <w:gridCol w:w="9072"/>
      </w:tblGrid>
      <w:tr>
        <w:trPr/>
        <w:tc>
          <w:tcPr>
            <w:tcW w:w="90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fill="auto" w:val="clear"/>
            <w:tcMar>
              <w:left w:w="45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b/>
                <w:sz w:val="24"/>
                <w:szCs w:val="24"/>
              </w:rPr>
              <w:t>Poznámky Úč  MÚJ 3 – 1                 IČO      4 5 3 9 4 8 1 4          DIČ   2 0 2 2 9 7 9 8 4 9</w:t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</w:t>
      </w:r>
      <w:r>
        <w:rPr>
          <w:b/>
          <w:sz w:val="24"/>
          <w:szCs w:val="24"/>
        </w:rPr>
        <w:t>Čl. III.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  <w:r>
        <w:rPr>
          <w:b/>
          <w:sz w:val="24"/>
          <w:szCs w:val="24"/>
        </w:rPr>
        <w:t>Informácie, ktoré vysvetľujú a dopĺňajú súvahu a výkaz ziskov a strát</w:t>
      </w:r>
    </w:p>
    <w:p>
      <w:pPr>
        <w:pStyle w:val="NoSpacing"/>
        <w:rPr>
          <w:sz w:val="24"/>
          <w:szCs w:val="24"/>
        </w:rPr>
      </w:pPr>
      <w:r>
        <w:rPr/>
        <w:t xml:space="preserve">1/  </w:t>
      </w:r>
      <w:r>
        <w:rPr>
          <w:sz w:val="24"/>
          <w:szCs w:val="24"/>
        </w:rPr>
        <w:t>Spoločnosť v sledovanom období neúčtovala o nákladoch alebo výnosoch, ktoré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>
        <w:rPr>
          <w:sz w:val="24"/>
          <w:szCs w:val="24"/>
        </w:rPr>
        <w:t>majú výnimočný rozsah /predaj podniku, živelné pohromy a p./</w:t>
      </w:r>
    </w:p>
    <w:p>
      <w:pPr>
        <w:pStyle w:val="NoSpacing"/>
        <w:rPr/>
      </w:pPr>
      <w:r>
        <w:rPr>
          <w:sz w:val="24"/>
          <w:szCs w:val="24"/>
        </w:rPr>
        <w:t xml:space="preserve">2/   Spoločnosť v sledovanom období má záväzky z obchodného styku vo výške </w:t>
      </w:r>
      <w:r>
        <w:rPr>
          <w:sz w:val="24"/>
          <w:szCs w:val="24"/>
        </w:rPr>
        <w:t>2534EUR</w:t>
      </w:r>
      <w:r>
        <w:rPr>
          <w:sz w:val="24"/>
          <w:szCs w:val="24"/>
        </w:rPr>
        <w:t xml:space="preserve">                    </w:t>
      </w:r>
    </w:p>
    <w:p>
      <w:pPr>
        <w:pStyle w:val="NoSpacing"/>
        <w:rPr/>
      </w:pPr>
      <w:r>
        <w:rPr>
          <w:sz w:val="24"/>
          <w:szCs w:val="24"/>
        </w:rPr>
        <w:t xml:space="preserve">       </w:t>
      </w:r>
      <w:r>
        <w:rPr>
          <w:sz w:val="24"/>
          <w:szCs w:val="24"/>
        </w:rPr>
        <w:t>a tie sú hradené do doby splatnosti. Záväzok vo výške 29925EUR je pôžička od</w:t>
      </w:r>
    </w:p>
    <w:p>
      <w:pPr>
        <w:pStyle w:val="NoSpacing"/>
        <w:rPr/>
      </w:pPr>
      <w:r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spoločníka, </w:t>
      </w:r>
      <w:r>
        <w:rPr>
          <w:sz w:val="24"/>
          <w:szCs w:val="24"/>
        </w:rPr>
        <w:t>ktorá bola poskytnutá firme na rozvo</w:t>
      </w:r>
      <w:r>
        <w:rPr>
          <w:sz w:val="24"/>
          <w:szCs w:val="24"/>
        </w:rPr>
        <w:t>j</w:t>
      </w:r>
      <w:r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Spoločnosť </w:t>
      </w:r>
      <w:r>
        <w:rPr>
          <w:sz w:val="24"/>
          <w:szCs w:val="24"/>
        </w:rPr>
        <w:t>nie je dlžná</w:t>
      </w:r>
    </w:p>
    <w:p>
      <w:pPr>
        <w:pStyle w:val="NoSpacing"/>
        <w:rPr/>
      </w:pPr>
      <w:r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žiadnym </w:t>
      </w:r>
      <w:r>
        <w:rPr>
          <w:sz w:val="24"/>
          <w:szCs w:val="24"/>
        </w:rPr>
        <w:t>iným firmám alebo  osobám.</w:t>
      </w:r>
    </w:p>
    <w:p>
      <w:pPr>
        <w:pStyle w:val="NoSpacing"/>
        <w:rPr/>
      </w:pPr>
      <w:r>
        <w:rPr>
          <w:sz w:val="24"/>
          <w:szCs w:val="24"/>
        </w:rPr>
        <w:t>3</w:t>
      </w:r>
      <w:r>
        <w:rPr>
          <w:sz w:val="24"/>
          <w:szCs w:val="24"/>
        </w:rPr>
        <w:t>/  Spoločnosť počas účtovného obdobia nenadobudla ani nepreviedla vlastné akcie.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4/  Spoločnosť v sledovanom období neposkytla žiadnym riadiacim alebo kontrolným 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>
        <w:rPr>
          <w:sz w:val="24"/>
          <w:szCs w:val="24"/>
        </w:rPr>
        <w:t>organom spoločnosti záruky, pôžičky alebo iné zabezpečenia, finančné prostried-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>
        <w:rPr>
          <w:sz w:val="24"/>
          <w:szCs w:val="24"/>
        </w:rPr>
        <w:t>ky alebo iné plnenia.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5/  Spoločnosť nemá žiadne finančné povinnosti, ktoré sa nevykazujú v súvahe,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>
        <w:rPr>
          <w:sz w:val="24"/>
          <w:szCs w:val="24"/>
        </w:rPr>
        <w:t>nemá vedomosť o žiadnych podmienených záväzkoch a neeviduje ani neúčtuje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>
        <w:rPr>
          <w:sz w:val="24"/>
          <w:szCs w:val="24"/>
        </w:rPr>
        <w:t>o žiadnych významných povinnostiach vyplývajúcich z dôchodkových programov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>
        <w:rPr>
          <w:sz w:val="24"/>
          <w:szCs w:val="24"/>
        </w:rPr>
        <w:t>pre zamestnancov.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>
      <w:pPr>
        <w:pStyle w:val="Normal"/>
        <w:widowControl/>
        <w:suppressAutoHyphens w:val="true"/>
        <w:bidi w:val="0"/>
        <w:spacing w:lineRule="auto" w:line="276" w:before="0" w:after="200"/>
        <w:jc w:val="left"/>
        <w:rPr/>
      </w:pPr>
      <w:r>
        <w:rPr>
          <w:sz w:val="24"/>
          <w:szCs w:val="24"/>
        </w:rPr>
        <w:t xml:space="preserve">     </w:t>
      </w:r>
    </w:p>
    <w:sectPr>
      <w:headerReference w:type="default" r:id="rId2"/>
      <w:type w:val="nextPage"/>
      <w:pgSz w:w="11906" w:h="16838"/>
      <w:pgMar w:left="1417" w:right="1417" w:header="708" w:top="1219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numFmt w:val="bullet"/>
      <w:lvlText w:val="-"/>
      <w:lvlJc w:val="left"/>
      <w:pPr>
        <w:ind w:left="600" w:hanging="360"/>
      </w:pPr>
      <w:rPr>
        <w:rFonts w:ascii="Calibri" w:hAnsi="Calibri" w:cs="Calibri" w:hint="default"/>
        <w:sz w:val="24"/>
      </w:rPr>
    </w:lvl>
    <w:lvl w:ilvl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0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7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2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9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36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85f62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semiHidden/>
    <w:qFormat/>
    <w:rsid w:val="00db0e0d"/>
    <w:rPr/>
  </w:style>
  <w:style w:type="character" w:styleId="PtaChar" w:customStyle="1">
    <w:name w:val="Päta Char"/>
    <w:basedOn w:val="DefaultParagraphFont"/>
    <w:link w:val="Pta"/>
    <w:uiPriority w:val="99"/>
    <w:semiHidden/>
    <w:qFormat/>
    <w:rsid w:val="00db0e0d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db0e0d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eastAsia="" w:cs=""/>
      <w:sz w:val="24"/>
    </w:rPr>
  </w:style>
  <w:style w:type="character" w:styleId="ListLabel2">
    <w:name w:val="ListLabel 2"/>
    <w:qFormat/>
    <w:rPr>
      <w:rFonts w:cs="Courier New"/>
    </w:rPr>
  </w:style>
  <w:style w:type="character" w:styleId="Odrky">
    <w:name w:val="Odrážky"/>
    <w:qFormat/>
    <w:rPr>
      <w:rFonts w:ascii="OpenSymbol" w:hAnsi="OpenSymbol" w:eastAsia="OpenSymbol" w:cs="OpenSymbol"/>
    </w:rPr>
  </w:style>
  <w:style w:type="character" w:styleId="ListLabel3">
    <w:name w:val="ListLabel 3"/>
    <w:qFormat/>
    <w:rPr>
      <w:rFonts w:cs="Calibri"/>
      <w:sz w:val="24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Wingdings"/>
    </w:rPr>
  </w:style>
  <w:style w:type="character" w:styleId="ListLabel6">
    <w:name w:val="ListLabel 6"/>
    <w:qFormat/>
    <w:rPr>
      <w:rFonts w:cs="Symbol"/>
    </w:rPr>
  </w:style>
  <w:style w:type="character" w:styleId="ListLabel7">
    <w:name w:val="ListLabel 7"/>
    <w:qFormat/>
    <w:rPr>
      <w:rFonts w:cs="Calibri"/>
      <w:sz w:val="24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Wingdings"/>
    </w:rPr>
  </w:style>
  <w:style w:type="character" w:styleId="ListLabel10">
    <w:name w:val="ListLabel 10"/>
    <w:qFormat/>
    <w:rPr>
      <w:rFonts w:cs="Symbol"/>
    </w:rPr>
  </w:style>
  <w:style w:type="character" w:styleId="ListLabel11">
    <w:name w:val="ListLabel 11"/>
    <w:qFormat/>
    <w:rPr>
      <w:rFonts w:cs="Calibri"/>
      <w:sz w:val="24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Wingdings"/>
    </w:rPr>
  </w:style>
  <w:style w:type="character" w:styleId="ListLabel14">
    <w:name w:val="ListLabel 14"/>
    <w:qFormat/>
    <w:rPr>
      <w:rFonts w:cs="Symbol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lavička"/>
    <w:basedOn w:val="Normal"/>
    <w:link w:val="HlavikaChar"/>
    <w:uiPriority w:val="99"/>
    <w:semiHidden/>
    <w:unhideWhenUsed/>
    <w:rsid w:val="00db0e0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semiHidden/>
    <w:unhideWhenUsed/>
    <w:rsid w:val="00db0e0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db0e0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c02103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db0e0d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vetlzoznam">
    <w:name w:val="Light List"/>
    <w:basedOn w:val="Normlnatabuka"/>
    <w:uiPriority w:val="61"/>
    <w:rsid w:val="00db0e0d"/>
    <w:pPr>
      <w:spacing w:after="0" w:line="240" w:lineRule="auto"/>
    </w:pPr>
    <w:rPr>
      <w:lang w:eastAsia="en-US"/>
    </w:rPr>
    <w:tblPr>
      <w:tblStyleRowBandSize w:val="1"/>
      <w:tblStyleColBandSize w:val="1"/>
      <w:tblInd w:w="0" w:type="dxa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</w:style>
  <w:style w:type="table" w:styleId="Svetlmriekazvraznenie6">
    <w:name w:val="Light Grid Accent 6"/>
    <w:basedOn w:val="Normlnatabuka"/>
    <w:uiPriority w:val="62"/>
    <w:rsid w:val="00db0e0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18" w:space="0"/>
          <w:right w:val="single" w:color="F79646" w:themeColor="accent6" w:sz="8" w:space="0"/>
          <w:insideH w:val="nil"/>
          <w:insideV w:val="single" w:color="F79646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H w:val="nil"/>
          <w:insideV w:val="single" w:color="F79646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color="F79646" w:themeColor="accent6" w:sz="8" w:space="0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color="F79646" w:themeColor="accent6" w:sz="8" w:space="0"/>
        </w:tcBorders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2049</TotalTime>
  <Application>LibreOffice/4.4.2.2$Windows_x86 LibreOffice_project/c4c7d32d0d49397cad38d62472b0bc8acff48dd6</Application>
  <Paragraphs>61</Paragraphs>
  <Company>doma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2016-03-06T15:53:00Z</dcterms:created>
  <dc:creator>Macova Eva</dc:creator>
  <dc:language>sk-SK</dc:language>
  <cp:lastPrinted>2016-03-06T17:44:00Z</cp:lastPrinted>
  <dcterms:modified xsi:type="dcterms:W3CDTF">2017-03-11T11:18:23Z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doma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