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41D" w:rsidRDefault="0092341D">
      <w:pPr>
        <w:spacing w:before="2" w:line="140" w:lineRule="exact"/>
        <w:rPr>
          <w:rFonts w:ascii="Times New Roman" w:hAnsi="Times New Roman" w:cs="Times New Roman"/>
          <w:sz w:val="14"/>
          <w:szCs w:val="14"/>
          <w:lang w:val="en-US"/>
        </w:rPr>
      </w:pPr>
      <w:bookmarkStart w:id="0" w:name="_GoBack"/>
      <w:bookmarkEnd w:id="0"/>
    </w:p>
    <w:p w:rsidR="0092341D" w:rsidRDefault="00923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Poznámky k mikro účtovnej závierke za rok 201</w:t>
      </w:r>
      <w:r w:rsidR="00927FD3">
        <w:rPr>
          <w:rFonts w:ascii="Arial Narrow" w:hAnsi="Arial Narrow" w:cs="Arial Narrow"/>
          <w:b/>
          <w:bCs/>
        </w:rPr>
        <w:t>6</w:t>
      </w:r>
    </w:p>
    <w:p w:rsidR="0092341D" w:rsidRDefault="00923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 w:cs="Arial Narrow"/>
          <w:b/>
          <w:bCs/>
        </w:rPr>
        <w:t>mikro účtovné jednotky</w:t>
      </w:r>
      <w:r>
        <w:rPr>
          <w:rFonts w:ascii="Arial Narrow" w:hAnsi="Arial Narrow" w:cs="Arial Narrow"/>
        </w:rPr>
        <w:t xml:space="preserve"> v znení neskorších predpisov</w:t>
      </w:r>
    </w:p>
    <w:p w:rsidR="0092341D" w:rsidRDefault="00923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(ostatná novela č.MF/18008/2014-74 – FS č.10/2014)</w:t>
      </w:r>
    </w:p>
    <w:p w:rsidR="0092341D" w:rsidRPr="00A6679E" w:rsidRDefault="0092341D">
      <w:pPr>
        <w:spacing w:before="7" w:line="240" w:lineRule="exact"/>
        <w:jc w:val="both"/>
        <w:rPr>
          <w:rFonts w:ascii="Arial" w:hAnsi="Arial" w:cs="Arial"/>
        </w:rPr>
      </w:pPr>
    </w:p>
    <w:p w:rsidR="0092341D" w:rsidRDefault="0092341D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</w:t>
      </w:r>
    </w:p>
    <w:p w:rsidR="0092341D" w:rsidRDefault="0092341D">
      <w:pPr>
        <w:ind w:right="841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Vš</w:t>
      </w:r>
      <w:r>
        <w:rPr>
          <w:rFonts w:ascii="Arial" w:hAnsi="Arial" w:cs="Arial"/>
          <w:b/>
          <w:bCs/>
          <w:spacing w:val="-2"/>
        </w:rPr>
        <w:t>e</w:t>
      </w:r>
      <w:r>
        <w:rPr>
          <w:rFonts w:ascii="Arial" w:hAnsi="Arial" w:cs="Arial"/>
          <w:b/>
          <w:bCs/>
        </w:rPr>
        <w:t>ob</w:t>
      </w:r>
      <w:r>
        <w:rPr>
          <w:rFonts w:ascii="Arial" w:hAnsi="Arial" w:cs="Arial"/>
          <w:b/>
          <w:bCs/>
          <w:spacing w:val="-1"/>
        </w:rPr>
        <w:t>ec</w:t>
      </w:r>
      <w:r>
        <w:rPr>
          <w:rFonts w:ascii="Arial" w:hAnsi="Arial" w:cs="Arial"/>
          <w:b/>
          <w:bCs/>
        </w:rPr>
        <w:t>né</w:t>
      </w:r>
      <w:r>
        <w:rPr>
          <w:rFonts w:ascii="Arial" w:hAnsi="Arial" w:cs="Arial"/>
          <w:b/>
          <w:bCs/>
          <w:spacing w:val="-1"/>
        </w:rPr>
        <w:t xml:space="preserve"> </w:t>
      </w:r>
      <w:r>
        <w:rPr>
          <w:rFonts w:ascii="Arial" w:hAnsi="Arial" w:cs="Arial"/>
          <w:b/>
          <w:bCs/>
        </w:rPr>
        <w:t>úda</w:t>
      </w:r>
      <w:r>
        <w:rPr>
          <w:rFonts w:ascii="Arial" w:hAnsi="Arial" w:cs="Arial"/>
          <w:b/>
          <w:bCs/>
          <w:spacing w:val="-1"/>
        </w:rPr>
        <w:t>j</w:t>
      </w:r>
      <w:r>
        <w:rPr>
          <w:rFonts w:ascii="Arial" w:hAnsi="Arial" w:cs="Arial"/>
          <w:b/>
          <w:bCs/>
        </w:rPr>
        <w:t>e</w:t>
      </w:r>
    </w:p>
    <w:p w:rsidR="0092341D" w:rsidRDefault="0092341D">
      <w:pPr>
        <w:spacing w:before="7" w:line="240" w:lineRule="exact"/>
        <w:jc w:val="both"/>
        <w:rPr>
          <w:rFonts w:ascii="Arial" w:hAnsi="Arial" w:cs="Arial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92341D" w:rsidRDefault="0092341D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85"/>
        <w:gridCol w:w="6602"/>
      </w:tblGrid>
      <w:tr w:rsidR="0092341D">
        <w:tc>
          <w:tcPr>
            <w:tcW w:w="3085" w:type="dxa"/>
          </w:tcPr>
          <w:p w:rsidR="0092341D" w:rsidRDefault="0092341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92341D" w:rsidRDefault="00262BF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 EK s.r.o.</w:t>
            </w:r>
          </w:p>
        </w:tc>
      </w:tr>
      <w:tr w:rsidR="0092341D">
        <w:tc>
          <w:tcPr>
            <w:tcW w:w="3085" w:type="dxa"/>
          </w:tcPr>
          <w:p w:rsidR="0092341D" w:rsidRDefault="0092341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92341D" w:rsidRDefault="00262BF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36285943</w:t>
            </w:r>
          </w:p>
        </w:tc>
      </w:tr>
      <w:tr w:rsidR="0092341D">
        <w:tc>
          <w:tcPr>
            <w:tcW w:w="3085" w:type="dxa"/>
          </w:tcPr>
          <w:p w:rsidR="0092341D" w:rsidRDefault="0092341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92341D" w:rsidRDefault="00262BF0" w:rsidP="00AE36F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925 42  Trstice 1184</w:t>
            </w:r>
          </w:p>
        </w:tc>
      </w:tr>
    </w:tbl>
    <w:p w:rsidR="0092341D" w:rsidRDefault="0092341D">
      <w:pPr>
        <w:spacing w:line="260" w:lineRule="exact"/>
        <w:jc w:val="both"/>
        <w:rPr>
          <w:rFonts w:ascii="Arial" w:hAnsi="Arial" w:cs="Arial"/>
        </w:rPr>
      </w:pPr>
    </w:p>
    <w:p w:rsidR="0092341D" w:rsidRDefault="0092341D">
      <w:pPr>
        <w:spacing w:line="260" w:lineRule="exact"/>
        <w:jc w:val="both"/>
        <w:rPr>
          <w:rFonts w:ascii="Arial" w:hAnsi="Arial" w:cs="Arial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92341D" w:rsidRDefault="00366EFC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Nie je súčasťou konsolidovaného celku</w:t>
      </w:r>
    </w:p>
    <w:p w:rsidR="0092341D" w:rsidRDefault="0092341D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2341D" w:rsidRDefault="0092341D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92341D" w:rsidRDefault="0092341D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19"/>
        <w:gridCol w:w="2126"/>
        <w:gridCol w:w="3342"/>
      </w:tblGrid>
      <w:tr w:rsidR="0092341D">
        <w:tc>
          <w:tcPr>
            <w:tcW w:w="4219" w:type="dxa"/>
          </w:tcPr>
          <w:p w:rsidR="0092341D" w:rsidRDefault="0092341D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Názov</w:t>
            </w:r>
          </w:p>
        </w:tc>
        <w:tc>
          <w:tcPr>
            <w:tcW w:w="2126" w:type="dxa"/>
          </w:tcPr>
          <w:p w:rsidR="0092341D" w:rsidRDefault="0092341D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Bežné účtovné</w:t>
            </w:r>
          </w:p>
          <w:p w:rsidR="0092341D" w:rsidRDefault="0092341D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obdobie</w:t>
            </w:r>
          </w:p>
        </w:tc>
        <w:tc>
          <w:tcPr>
            <w:tcW w:w="3342" w:type="dxa"/>
          </w:tcPr>
          <w:p w:rsidR="0092341D" w:rsidRDefault="0092341D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Bezprostredne predchádzajúce účtovné obdobie</w:t>
            </w:r>
          </w:p>
        </w:tc>
      </w:tr>
      <w:tr w:rsidR="0092341D">
        <w:tc>
          <w:tcPr>
            <w:tcW w:w="4219" w:type="dxa"/>
          </w:tcPr>
          <w:p w:rsidR="0092341D" w:rsidRDefault="0092341D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92341D" w:rsidRDefault="00262BF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:rsidR="0092341D" w:rsidRDefault="00262BF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92341D" w:rsidRDefault="0092341D">
      <w:pPr>
        <w:spacing w:line="260" w:lineRule="exact"/>
        <w:jc w:val="both"/>
        <w:rPr>
          <w:rFonts w:ascii="Arial" w:hAnsi="Arial" w:cs="Arial"/>
        </w:rPr>
      </w:pPr>
    </w:p>
    <w:p w:rsidR="0092341D" w:rsidRDefault="0092341D">
      <w:pPr>
        <w:spacing w:before="1" w:line="280" w:lineRule="exact"/>
        <w:jc w:val="both"/>
        <w:rPr>
          <w:rFonts w:ascii="Arial" w:hAnsi="Arial" w:cs="Arial"/>
        </w:rPr>
      </w:pPr>
    </w:p>
    <w:p w:rsidR="0092341D" w:rsidRDefault="0092341D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92341D" w:rsidRDefault="0092341D">
      <w:pPr>
        <w:ind w:right="836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</w:t>
      </w:r>
      <w:r>
        <w:rPr>
          <w:rFonts w:ascii="Arial" w:hAnsi="Arial" w:cs="Arial"/>
          <w:b/>
          <w:bCs/>
          <w:spacing w:val="1"/>
        </w:rPr>
        <w:t>f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1"/>
        </w:rPr>
        <w:t>r</w:t>
      </w:r>
      <w:r>
        <w:rPr>
          <w:rFonts w:ascii="Arial" w:hAnsi="Arial" w:cs="Arial"/>
          <w:b/>
          <w:bCs/>
          <w:spacing w:val="-4"/>
        </w:rPr>
        <w:t>m</w:t>
      </w:r>
      <w:r>
        <w:rPr>
          <w:rFonts w:ascii="Arial" w:hAnsi="Arial" w:cs="Arial"/>
          <w:b/>
          <w:bCs/>
        </w:rPr>
        <w:t>á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</w:rPr>
        <w:t>ie o p</w:t>
      </w:r>
      <w:r>
        <w:rPr>
          <w:rFonts w:ascii="Arial" w:hAnsi="Arial" w:cs="Arial"/>
          <w:b/>
          <w:bCs/>
          <w:spacing w:val="-1"/>
        </w:rPr>
        <w:t>r</w:t>
      </w:r>
      <w:r>
        <w:rPr>
          <w:rFonts w:ascii="Arial" w:hAnsi="Arial" w:cs="Arial"/>
          <w:b/>
          <w:bCs/>
        </w:rPr>
        <w:t>ij</w:t>
      </w:r>
      <w:r>
        <w:rPr>
          <w:rFonts w:ascii="Arial" w:hAnsi="Arial" w:cs="Arial"/>
          <w:b/>
          <w:bCs/>
          <w:spacing w:val="1"/>
        </w:rPr>
        <w:t>a</w:t>
      </w:r>
      <w:r>
        <w:rPr>
          <w:rFonts w:ascii="Arial" w:hAnsi="Arial" w:cs="Arial"/>
          <w:b/>
          <w:bCs/>
        </w:rPr>
        <w:t>tý</w:t>
      </w:r>
      <w:r>
        <w:rPr>
          <w:rFonts w:ascii="Arial" w:hAnsi="Arial" w:cs="Arial"/>
          <w:b/>
          <w:bCs/>
          <w:spacing w:val="-2"/>
        </w:rPr>
        <w:t>c</w:t>
      </w:r>
      <w:r>
        <w:rPr>
          <w:rFonts w:ascii="Arial" w:hAnsi="Arial" w:cs="Arial"/>
          <w:b/>
          <w:bCs/>
        </w:rPr>
        <w:t>h</w:t>
      </w:r>
      <w:r>
        <w:rPr>
          <w:rFonts w:ascii="Arial" w:hAnsi="Arial" w:cs="Arial"/>
          <w:b/>
          <w:bCs/>
          <w:spacing w:val="2"/>
        </w:rPr>
        <w:t xml:space="preserve"> </w:t>
      </w:r>
      <w:r>
        <w:rPr>
          <w:rFonts w:ascii="Arial" w:hAnsi="Arial" w:cs="Arial"/>
          <w:b/>
          <w:bCs/>
        </w:rPr>
        <w:t>postu</w:t>
      </w:r>
      <w:r>
        <w:rPr>
          <w:rFonts w:ascii="Arial" w:hAnsi="Arial" w:cs="Arial"/>
          <w:b/>
          <w:bCs/>
          <w:spacing w:val="1"/>
        </w:rPr>
        <w:t>p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</w:rPr>
        <w:t>h</w:t>
      </w:r>
    </w:p>
    <w:p w:rsidR="0092341D" w:rsidRDefault="0092341D">
      <w:pPr>
        <w:spacing w:before="11" w:line="260" w:lineRule="exact"/>
        <w:jc w:val="both"/>
        <w:rPr>
          <w:rFonts w:ascii="Arial" w:hAnsi="Arial" w:cs="Arial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innosti:</w:t>
      </w:r>
      <w:r w:rsidR="00366EFC">
        <w:rPr>
          <w:rFonts w:ascii="Arial" w:hAnsi="Arial" w:cs="Arial"/>
          <w:sz w:val="22"/>
          <w:szCs w:val="22"/>
        </w:rPr>
        <w:t xml:space="preserve"> Áno</w:t>
      </w: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43"/>
        <w:gridCol w:w="4844"/>
      </w:tblGrid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Spôsob oceňovania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</w:t>
      </w:r>
      <w:r w:rsidR="00366EFC">
        <w:rPr>
          <w:rFonts w:ascii="Arial" w:hAnsi="Arial" w:cs="Arial"/>
          <w:sz w:val="22"/>
          <w:szCs w:val="22"/>
        </w:rPr>
        <w:t xml:space="preserve"> Účtovná jednotka k poslednému dňu účtovného obdobia nemá dlhodobý hmotný majetok neodpísaný.</w:t>
      </w: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 w:rsidRPr="00366EFC">
        <w:rPr>
          <w:rFonts w:ascii="Arial" w:hAnsi="Arial" w:cs="Arial"/>
          <w:b/>
          <w:spacing w:val="-5"/>
          <w:sz w:val="22"/>
          <w:szCs w:val="22"/>
        </w:rPr>
        <w:t>:</w:t>
      </w:r>
      <w:r w:rsidR="00366EFC" w:rsidRPr="00366EFC">
        <w:rPr>
          <w:rFonts w:ascii="Arial" w:hAnsi="Arial" w:cs="Arial"/>
          <w:b/>
          <w:spacing w:val="-5"/>
          <w:sz w:val="22"/>
          <w:szCs w:val="22"/>
        </w:rPr>
        <w:t xml:space="preserve"> zmeny neboli</w:t>
      </w:r>
      <w:r w:rsidR="00366EFC">
        <w:rPr>
          <w:rFonts w:ascii="Arial" w:hAnsi="Arial" w:cs="Arial"/>
          <w:spacing w:val="-5"/>
          <w:sz w:val="22"/>
          <w:szCs w:val="22"/>
        </w:rPr>
        <w:t>.</w:t>
      </w: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e:</w:t>
      </w:r>
      <w:r w:rsidR="00366EFC">
        <w:rPr>
          <w:rFonts w:ascii="Arial" w:hAnsi="Arial" w:cs="Arial"/>
          <w:spacing w:val="-1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pacing w:val="-1"/>
          <w:sz w:val="22"/>
          <w:szCs w:val="22"/>
        </w:rPr>
        <w:t>neboli dotácie</w:t>
      </w: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</w:t>
      </w:r>
      <w:r w:rsidR="00366EFC">
        <w:rPr>
          <w:rFonts w:ascii="Arial" w:hAnsi="Arial" w:cs="Arial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z w:val="22"/>
          <w:szCs w:val="22"/>
        </w:rPr>
        <w:t>významné chyby sa nevyskytli</w:t>
      </w:r>
    </w:p>
    <w:p w:rsidR="0092341D" w:rsidRDefault="0092341D">
      <w:pPr>
        <w:spacing w:before="1" w:line="280" w:lineRule="exact"/>
        <w:jc w:val="both"/>
        <w:rPr>
          <w:rFonts w:ascii="Arial" w:hAnsi="Arial" w:cs="Arial"/>
        </w:rPr>
      </w:pPr>
    </w:p>
    <w:p w:rsidR="0092341D" w:rsidRDefault="0092341D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92341D" w:rsidRDefault="0092341D">
      <w:pPr>
        <w:ind w:right="157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</w:t>
      </w:r>
      <w:r>
        <w:rPr>
          <w:rFonts w:ascii="Arial" w:hAnsi="Arial" w:cs="Arial"/>
          <w:b/>
          <w:bCs/>
          <w:spacing w:val="1"/>
        </w:rPr>
        <w:t>f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1"/>
        </w:rPr>
        <w:t>r</w:t>
      </w:r>
      <w:r>
        <w:rPr>
          <w:rFonts w:ascii="Arial" w:hAnsi="Arial" w:cs="Arial"/>
          <w:b/>
          <w:bCs/>
          <w:spacing w:val="-4"/>
        </w:rPr>
        <w:t>m</w:t>
      </w:r>
      <w:r>
        <w:rPr>
          <w:rFonts w:ascii="Arial" w:hAnsi="Arial" w:cs="Arial"/>
          <w:b/>
          <w:bCs/>
        </w:rPr>
        <w:t>á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</w:rPr>
        <w:t>ie, ktoré</w:t>
      </w:r>
      <w:r>
        <w:rPr>
          <w:rFonts w:ascii="Arial" w:hAnsi="Arial" w:cs="Arial"/>
          <w:b/>
          <w:bCs/>
          <w:spacing w:val="-1"/>
        </w:rPr>
        <w:t xml:space="preserve"> </w:t>
      </w:r>
      <w:r>
        <w:rPr>
          <w:rFonts w:ascii="Arial" w:hAnsi="Arial" w:cs="Arial"/>
          <w:b/>
          <w:bCs/>
        </w:rPr>
        <w:t>vysv</w:t>
      </w:r>
      <w:r>
        <w:rPr>
          <w:rFonts w:ascii="Arial" w:hAnsi="Arial" w:cs="Arial"/>
          <w:b/>
          <w:bCs/>
          <w:spacing w:val="1"/>
        </w:rPr>
        <w:t>e</w:t>
      </w:r>
      <w:r>
        <w:rPr>
          <w:rFonts w:ascii="Arial" w:hAnsi="Arial" w:cs="Arial"/>
          <w:b/>
          <w:bCs/>
        </w:rPr>
        <w:t>tľujú a</w:t>
      </w:r>
      <w:r>
        <w:rPr>
          <w:rFonts w:ascii="Arial" w:hAnsi="Arial" w:cs="Arial"/>
          <w:b/>
          <w:bCs/>
          <w:spacing w:val="1"/>
        </w:rPr>
        <w:t xml:space="preserve"> </w:t>
      </w:r>
      <w:r>
        <w:rPr>
          <w:rFonts w:ascii="Arial" w:hAnsi="Arial" w:cs="Arial"/>
          <w:b/>
          <w:bCs/>
        </w:rPr>
        <w:t>dop</w:t>
      </w:r>
      <w:r>
        <w:rPr>
          <w:rFonts w:ascii="Arial" w:hAnsi="Arial" w:cs="Arial"/>
          <w:b/>
          <w:bCs/>
          <w:spacing w:val="-2"/>
        </w:rPr>
        <w:t>ĺ</w:t>
      </w:r>
      <w:r>
        <w:rPr>
          <w:rFonts w:ascii="Arial" w:hAnsi="Arial" w:cs="Arial"/>
          <w:b/>
          <w:bCs/>
        </w:rPr>
        <w:t>ňa</w:t>
      </w:r>
      <w:r>
        <w:rPr>
          <w:rFonts w:ascii="Arial" w:hAnsi="Arial" w:cs="Arial"/>
          <w:b/>
          <w:bCs/>
          <w:spacing w:val="-1"/>
        </w:rPr>
        <w:t>j</w:t>
      </w:r>
      <w:r>
        <w:rPr>
          <w:rFonts w:ascii="Arial" w:hAnsi="Arial" w:cs="Arial"/>
          <w:b/>
          <w:bCs/>
        </w:rPr>
        <w:t>ú súv</w:t>
      </w:r>
      <w:r>
        <w:rPr>
          <w:rFonts w:ascii="Arial" w:hAnsi="Arial" w:cs="Arial"/>
          <w:b/>
          <w:bCs/>
          <w:spacing w:val="-3"/>
        </w:rPr>
        <w:t>a</w:t>
      </w:r>
      <w:r>
        <w:rPr>
          <w:rFonts w:ascii="Arial" w:hAnsi="Arial" w:cs="Arial"/>
          <w:b/>
          <w:bCs/>
          <w:spacing w:val="-2"/>
        </w:rPr>
        <w:t>h</w:t>
      </w:r>
      <w:r>
        <w:rPr>
          <w:rFonts w:ascii="Arial" w:hAnsi="Arial" w:cs="Arial"/>
          <w:b/>
          <w:bCs/>
        </w:rPr>
        <w:t>u a</w:t>
      </w:r>
      <w:r>
        <w:rPr>
          <w:rFonts w:ascii="Arial" w:hAnsi="Arial" w:cs="Arial"/>
          <w:b/>
          <w:bCs/>
          <w:spacing w:val="1"/>
        </w:rPr>
        <w:t xml:space="preserve"> </w:t>
      </w:r>
      <w:r>
        <w:rPr>
          <w:rFonts w:ascii="Arial" w:hAnsi="Arial" w:cs="Arial"/>
          <w:b/>
          <w:bCs/>
        </w:rPr>
        <w:t>výkaz</w:t>
      </w:r>
      <w:r>
        <w:rPr>
          <w:rFonts w:ascii="Arial" w:hAnsi="Arial" w:cs="Arial"/>
          <w:b/>
          <w:bCs/>
          <w:spacing w:val="-1"/>
        </w:rPr>
        <w:t xml:space="preserve"> z</w:t>
      </w:r>
      <w:r>
        <w:rPr>
          <w:rFonts w:ascii="Arial" w:hAnsi="Arial" w:cs="Arial"/>
          <w:b/>
          <w:bCs/>
        </w:rPr>
        <w:t>is</w:t>
      </w:r>
      <w:r>
        <w:rPr>
          <w:rFonts w:ascii="Arial" w:hAnsi="Arial" w:cs="Arial"/>
          <w:b/>
          <w:bCs/>
          <w:spacing w:val="1"/>
        </w:rPr>
        <w:t>k</w:t>
      </w:r>
      <w:r>
        <w:rPr>
          <w:rFonts w:ascii="Arial" w:hAnsi="Arial" w:cs="Arial"/>
          <w:b/>
          <w:bCs/>
        </w:rPr>
        <w:t>ov a</w:t>
      </w:r>
      <w:r>
        <w:rPr>
          <w:rFonts w:ascii="Arial" w:hAnsi="Arial" w:cs="Arial"/>
          <w:b/>
          <w:bCs/>
          <w:spacing w:val="1"/>
        </w:rPr>
        <w:t xml:space="preserve"> </w:t>
      </w:r>
      <w:r>
        <w:rPr>
          <w:rFonts w:ascii="Arial" w:hAnsi="Arial" w:cs="Arial"/>
          <w:b/>
          <w:bCs/>
        </w:rPr>
        <w:t>st</w:t>
      </w:r>
      <w:r>
        <w:rPr>
          <w:rFonts w:ascii="Arial" w:hAnsi="Arial" w:cs="Arial"/>
          <w:b/>
          <w:bCs/>
          <w:spacing w:val="-2"/>
        </w:rPr>
        <w:t>r</w:t>
      </w:r>
      <w:r>
        <w:rPr>
          <w:rFonts w:ascii="Arial" w:hAnsi="Arial" w:cs="Arial"/>
          <w:b/>
          <w:bCs/>
        </w:rPr>
        <w:t>át</w:t>
      </w:r>
    </w:p>
    <w:p w:rsidR="0092341D" w:rsidRDefault="0092341D">
      <w:pPr>
        <w:spacing w:before="11" w:line="260" w:lineRule="exact"/>
        <w:jc w:val="both"/>
        <w:rPr>
          <w:rFonts w:ascii="Arial" w:hAnsi="Arial" w:cs="Arial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n</w:t>
      </w:r>
      <w:r>
        <w:rPr>
          <w:rFonts w:ascii="Arial" w:hAnsi="Arial" w:cs="Arial"/>
          <w:b/>
          <w:bCs/>
          <w:spacing w:val="-1"/>
          <w:sz w:val="22"/>
          <w:szCs w:val="22"/>
        </w:rPr>
        <w:t>á</w:t>
      </w:r>
      <w:r>
        <w:rPr>
          <w:rFonts w:ascii="Arial" w:hAnsi="Arial" w:cs="Arial"/>
          <w:b/>
          <w:bCs/>
          <w:sz w:val="22"/>
          <w:szCs w:val="22"/>
        </w:rPr>
        <w:t>kladov</w:t>
      </w:r>
      <w:r>
        <w:rPr>
          <w:rFonts w:ascii="Arial" w:hAnsi="Arial" w:cs="Arial"/>
          <w:b/>
          <w:bCs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pacing w:val="-1"/>
          <w:sz w:val="22"/>
          <w:szCs w:val="22"/>
        </w:rPr>
        <w:t>a</w:t>
      </w:r>
      <w:r>
        <w:rPr>
          <w:rFonts w:ascii="Arial" w:hAnsi="Arial" w:cs="Arial"/>
          <w:b/>
          <w:bCs/>
          <w:sz w:val="22"/>
          <w:szCs w:val="22"/>
        </w:rPr>
        <w:t>lebo</w:t>
      </w:r>
      <w:r>
        <w:rPr>
          <w:rFonts w:ascii="Arial" w:hAnsi="Arial" w:cs="Arial"/>
          <w:b/>
          <w:bCs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pacing w:val="2"/>
          <w:sz w:val="22"/>
          <w:szCs w:val="22"/>
        </w:rPr>
        <w:t>v</w:t>
      </w:r>
      <w:r>
        <w:rPr>
          <w:rFonts w:ascii="Arial" w:hAnsi="Arial" w:cs="Arial"/>
          <w:b/>
          <w:bCs/>
          <w:spacing w:val="-5"/>
          <w:sz w:val="22"/>
          <w:szCs w:val="22"/>
        </w:rPr>
        <w:t>ý</w:t>
      </w:r>
      <w:r>
        <w:rPr>
          <w:rFonts w:ascii="Arial" w:hAnsi="Arial" w:cs="Arial"/>
          <w:b/>
          <w:bCs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</w:t>
      </w:r>
      <w:r w:rsidR="00366EFC">
        <w:rPr>
          <w:rFonts w:ascii="Arial" w:hAnsi="Arial" w:cs="Arial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z w:val="22"/>
          <w:szCs w:val="22"/>
        </w:rPr>
        <w:t>nie sú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Pr="00366EFC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  <w:r w:rsidR="00366EFC">
        <w:rPr>
          <w:rFonts w:ascii="Arial" w:hAnsi="Arial" w:cs="Arial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z w:val="22"/>
          <w:szCs w:val="22"/>
        </w:rPr>
        <w:t>neaktuálne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Pr="00366EFC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</w:t>
      </w:r>
      <w:r w:rsidR="00366EFC">
        <w:rPr>
          <w:rFonts w:ascii="Arial" w:hAnsi="Arial" w:cs="Arial"/>
          <w:spacing w:val="-5"/>
          <w:sz w:val="22"/>
          <w:szCs w:val="22"/>
        </w:rPr>
        <w:t xml:space="preserve"> </w:t>
      </w:r>
      <w:r w:rsidR="00366EFC">
        <w:rPr>
          <w:rFonts w:ascii="Arial" w:hAnsi="Arial" w:cs="Arial"/>
          <w:b/>
          <w:spacing w:val="-5"/>
          <w:sz w:val="22"/>
          <w:szCs w:val="22"/>
        </w:rPr>
        <w:t>neboli poskytnuté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</w:t>
      </w:r>
      <w:r w:rsidR="00366EFC">
        <w:rPr>
          <w:rFonts w:ascii="Arial" w:hAnsi="Arial" w:cs="Arial"/>
          <w:spacing w:val="-2"/>
          <w:sz w:val="22"/>
          <w:szCs w:val="22"/>
        </w:rPr>
        <w:t xml:space="preserve"> </w:t>
      </w:r>
      <w:r w:rsidR="00366EFC">
        <w:rPr>
          <w:rFonts w:ascii="Arial" w:hAnsi="Arial" w:cs="Arial"/>
          <w:b/>
          <w:spacing w:val="-5"/>
          <w:sz w:val="22"/>
          <w:szCs w:val="22"/>
        </w:rPr>
        <w:t>neboli poskytnuté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</w:t>
      </w:r>
      <w:r w:rsidR="00366EFC">
        <w:rPr>
          <w:rFonts w:ascii="Arial" w:hAnsi="Arial" w:cs="Arial"/>
          <w:spacing w:val="-5"/>
          <w:sz w:val="22"/>
          <w:szCs w:val="22"/>
        </w:rPr>
        <w:t xml:space="preserve"> </w:t>
      </w:r>
      <w:r w:rsidR="00366EFC">
        <w:rPr>
          <w:rFonts w:ascii="Arial" w:hAnsi="Arial" w:cs="Arial"/>
          <w:b/>
          <w:spacing w:val="-5"/>
          <w:sz w:val="22"/>
          <w:szCs w:val="22"/>
        </w:rPr>
        <w:t>neboli poskytnuté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tovať:</w:t>
      </w:r>
      <w:r w:rsidR="00366EFC">
        <w:rPr>
          <w:rFonts w:ascii="Arial" w:hAnsi="Arial" w:cs="Arial"/>
          <w:sz w:val="22"/>
          <w:szCs w:val="22"/>
        </w:rPr>
        <w:t xml:space="preserve"> </w:t>
      </w:r>
      <w:r w:rsidR="00366EFC">
        <w:rPr>
          <w:rFonts w:ascii="Arial" w:hAnsi="Arial" w:cs="Arial"/>
          <w:b/>
          <w:spacing w:val="-5"/>
          <w:sz w:val="22"/>
          <w:szCs w:val="22"/>
        </w:rPr>
        <w:t>neboli poskytnuté</w:t>
      </w:r>
    </w:p>
    <w:p w:rsidR="00366EFC" w:rsidRDefault="00366E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  <w:r w:rsidR="00366EFC">
        <w:rPr>
          <w:rFonts w:ascii="Arial" w:hAnsi="Arial" w:cs="Arial"/>
          <w:spacing w:val="-8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pacing w:val="-8"/>
          <w:sz w:val="22"/>
          <w:szCs w:val="22"/>
        </w:rPr>
        <w:t>neaktuálne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  <w:r w:rsidR="00366EFC">
        <w:rPr>
          <w:rFonts w:ascii="Arial" w:hAnsi="Arial" w:cs="Arial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pacing w:val="-8"/>
          <w:sz w:val="22"/>
          <w:szCs w:val="22"/>
        </w:rPr>
        <w:t>neaktuálne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 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  <w:r w:rsidR="00366EFC">
        <w:rPr>
          <w:rFonts w:ascii="Arial" w:hAnsi="Arial" w:cs="Arial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pacing w:val="-8"/>
          <w:sz w:val="22"/>
          <w:szCs w:val="22"/>
        </w:rPr>
        <w:t>neaktuálne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  <w:r w:rsidR="00366EFC">
        <w:rPr>
          <w:rFonts w:ascii="Arial" w:hAnsi="Arial" w:cs="Arial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pacing w:val="-8"/>
          <w:sz w:val="22"/>
          <w:szCs w:val="22"/>
        </w:rPr>
        <w:t>neaktuálne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ascii="Arial" w:hAnsi="Arial" w:cs="Arial"/>
          <w:b/>
          <w:bCs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366EFC">
        <w:rPr>
          <w:rFonts w:ascii="Arial" w:hAnsi="Arial" w:cs="Arial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pacing w:val="-8"/>
          <w:sz w:val="22"/>
          <w:szCs w:val="22"/>
        </w:rPr>
        <w:t>neaktuálne</w:t>
      </w:r>
    </w:p>
    <w:sectPr w:rsidR="0092341D" w:rsidSect="0092341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462A" w:rsidRDefault="00CC46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CC462A" w:rsidRDefault="00CC46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1D" w:rsidRDefault="00F9248D">
    <w:pPr>
      <w:spacing w:line="200" w:lineRule="exact"/>
      <w:rPr>
        <w:rFonts w:ascii="Times New Roman" w:hAnsi="Times New Roman" w:cs="Times New Roman"/>
        <w:sz w:val="20"/>
        <w:szCs w:val="20"/>
      </w:rPr>
    </w:pPr>
    <w:r w:rsidRPr="00F9248D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6145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92341D" w:rsidRDefault="0092341D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F9248D">
                  <w:rPr>
                    <w:rFonts w:cs="Times New Roman"/>
                  </w:rPr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F9248D">
                  <w:rPr>
                    <w:rFonts w:cs="Times New Roman"/>
                  </w:rPr>
                  <w:fldChar w:fldCharType="separate"/>
                </w:r>
                <w:r w:rsidR="00794698">
                  <w:rPr>
                    <w:rFonts w:cs="Times New Roman"/>
                    <w:noProof/>
                  </w:rPr>
                  <w:t>1</w:t>
                </w:r>
                <w:r w:rsidR="00F9248D">
                  <w:rPr>
                    <w:rFonts w:cs="Times New Roman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462A" w:rsidRDefault="00CC46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CC462A" w:rsidRDefault="00CC46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1D" w:rsidRDefault="0092341D">
    <w:pPr>
      <w:pStyle w:val="Hlavika"/>
      <w:rPr>
        <w:rFonts w:ascii="Times New Roman" w:hAnsi="Times New Roman" w:cs="Times New Roman"/>
      </w:rPr>
    </w:pPr>
  </w:p>
  <w:p w:rsidR="0092341D" w:rsidRDefault="0092341D">
    <w:pPr>
      <w:pStyle w:val="Hlavika"/>
      <w:rPr>
        <w:rFonts w:ascii="Times New Roman" w:hAnsi="Times New Roman" w:cs="Times New Roman"/>
      </w:rPr>
    </w:pPr>
  </w:p>
  <w:p w:rsidR="0092341D" w:rsidRDefault="0092341D">
    <w:pPr>
      <w:pStyle w:val="Hlavika"/>
      <w:rPr>
        <w:rFonts w:ascii="Times New Roman" w:hAnsi="Times New Roman" w:cs="Times New Roman"/>
      </w:rPr>
    </w:pPr>
  </w:p>
  <w:p w:rsidR="0092341D" w:rsidRDefault="0092341D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>Po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>
      <w:rPr>
        <w:rFonts w:ascii="Arial" w:hAnsi="Arial" w:cs="Arial"/>
        <w:sz w:val="22"/>
        <w:szCs w:val="22"/>
        <w:bdr w:val="single" w:sz="4" w:space="0" w:color="auto"/>
      </w:rPr>
      <w:t>n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>
      <w:rPr>
        <w:rFonts w:ascii="Arial" w:hAnsi="Arial" w:cs="Arial"/>
        <w:sz w:val="22"/>
        <w:szCs w:val="22"/>
        <w:bdr w:val="single" w:sz="4" w:space="0" w:color="auto"/>
      </w:rPr>
      <w:t>m</w:t>
    </w:r>
    <w:r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>
      <w:rPr>
        <w:rFonts w:ascii="Arial" w:hAnsi="Arial" w:cs="Arial"/>
        <w:sz w:val="22"/>
        <w:szCs w:val="22"/>
        <w:bdr w:val="single" w:sz="4" w:space="0" w:color="auto"/>
      </w:rPr>
      <w:t>y</w:t>
    </w:r>
    <w:r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>
      <w:rPr>
        <w:rFonts w:ascii="Arial" w:hAnsi="Arial" w:cs="Arial"/>
        <w:sz w:val="22"/>
        <w:szCs w:val="22"/>
        <w:bdr w:val="single" w:sz="4" w:space="0" w:color="auto"/>
      </w:rPr>
      <w:t>č MÚJ 3 –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262BF0">
      <w:rPr>
        <w:rFonts w:ascii="Arial" w:hAnsi="Arial" w:cs="Arial"/>
        <w:sz w:val="22"/>
        <w:szCs w:val="22"/>
        <w:bdr w:val="single" w:sz="4" w:space="0" w:color="auto"/>
      </w:rPr>
      <w:t>36285943</w:t>
    </w:r>
    <w:r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262BF0">
      <w:rPr>
        <w:rFonts w:ascii="Arial" w:hAnsi="Arial" w:cs="Arial"/>
        <w:sz w:val="22"/>
        <w:szCs w:val="22"/>
        <w:bdr w:val="single" w:sz="4" w:space="0" w:color="auto"/>
      </w:rPr>
      <w:t>2022154134</w:t>
    </w:r>
  </w:p>
  <w:p w:rsidR="0092341D" w:rsidRDefault="0092341D">
    <w:pPr>
      <w:pStyle w:val="Hlavika"/>
      <w:rPr>
        <w:rFonts w:ascii="Times New Roman" w:hAnsi="Times New Roman" w:cs="Times New Roman"/>
        <w:sz w:val="24"/>
        <w:szCs w:val="24"/>
      </w:rPr>
    </w:pPr>
  </w:p>
  <w:p w:rsidR="0092341D" w:rsidRDefault="0092341D">
    <w:pPr>
      <w:pStyle w:val="Hlavika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cs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cs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ascii="Times New Roman" w:hAnsi="Times New Roman"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cs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6147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92341D"/>
    <w:rsid w:val="000001FC"/>
    <w:rsid w:val="00201898"/>
    <w:rsid w:val="00262BF0"/>
    <w:rsid w:val="002A687D"/>
    <w:rsid w:val="00366EFC"/>
    <w:rsid w:val="00794698"/>
    <w:rsid w:val="0092341D"/>
    <w:rsid w:val="00927FD3"/>
    <w:rsid w:val="00A6679E"/>
    <w:rsid w:val="00A967D0"/>
    <w:rsid w:val="00AE36F1"/>
    <w:rsid w:val="00CC462A"/>
    <w:rsid w:val="00D325B5"/>
    <w:rsid w:val="00DE4FE2"/>
    <w:rsid w:val="00E04399"/>
    <w:rsid w:val="00E11B36"/>
    <w:rsid w:val="00F24630"/>
    <w:rsid w:val="00F92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24630"/>
    <w:pPr>
      <w:widowControl w:val="0"/>
    </w:pPr>
    <w:rPr>
      <w:rFonts w:ascii="Calibri" w:hAnsi="Calibri" w:cs="Calibri"/>
      <w:lang w:val="sk-SK" w:eastAsia="en-US"/>
    </w:rPr>
  </w:style>
  <w:style w:type="paragraph" w:styleId="Nadpis1">
    <w:name w:val="heading 1"/>
    <w:basedOn w:val="Normlny"/>
    <w:link w:val="Nadpis1Char"/>
    <w:uiPriority w:val="99"/>
    <w:qFormat/>
    <w:rsid w:val="00F24630"/>
    <w:pPr>
      <w:outlineLvl w:val="0"/>
    </w:pPr>
    <w:rPr>
      <w:rFonts w:ascii="Times New Roman" w:hAnsi="Times New Roman" w:cstheme="minorBidi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2341D"/>
    <w:rPr>
      <w:rFonts w:asciiTheme="majorHAnsi" w:eastAsiaTheme="majorEastAsia" w:hAnsiTheme="majorHAnsi" w:cstheme="majorBidi"/>
      <w:b/>
      <w:bCs/>
      <w:kern w:val="32"/>
      <w:sz w:val="32"/>
      <w:szCs w:val="32"/>
      <w:lang w:val="sk-SK" w:eastAsia="en-US"/>
    </w:rPr>
  </w:style>
  <w:style w:type="paragraph" w:styleId="Zkladntext">
    <w:name w:val="Body Text"/>
    <w:basedOn w:val="Normlny"/>
    <w:link w:val="ZkladntextChar"/>
    <w:uiPriority w:val="99"/>
    <w:rsid w:val="00F24630"/>
    <w:pPr>
      <w:ind w:left="668" w:hanging="567"/>
    </w:pPr>
    <w:rPr>
      <w:rFonts w:ascii="Times New Roman" w:hAnsi="Times New Roman" w:cstheme="minorBidi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92341D"/>
    <w:rPr>
      <w:rFonts w:ascii="Calibri" w:hAnsi="Calibri" w:cs="Calibri"/>
      <w:lang w:val="sk-SK" w:eastAsia="en-US"/>
    </w:rPr>
  </w:style>
  <w:style w:type="paragraph" w:styleId="Odsekzoznamu">
    <w:name w:val="List Paragraph"/>
    <w:basedOn w:val="Normlny"/>
    <w:uiPriority w:val="99"/>
    <w:qFormat/>
    <w:rsid w:val="00F24630"/>
  </w:style>
  <w:style w:type="paragraph" w:customStyle="1" w:styleId="TableParagraph">
    <w:name w:val="Table Paragraph"/>
    <w:basedOn w:val="Normlny"/>
    <w:uiPriority w:val="99"/>
    <w:rsid w:val="00F24630"/>
  </w:style>
  <w:style w:type="paragraph" w:styleId="Hlavika">
    <w:name w:val="header"/>
    <w:basedOn w:val="Normlny"/>
    <w:link w:val="HlavikaChar"/>
    <w:uiPriority w:val="99"/>
    <w:rsid w:val="00F2463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24630"/>
    <w:rPr>
      <w:rFonts w:ascii="Times New Roman" w:hAnsi="Times New Roman" w:cs="Times New Roman"/>
    </w:rPr>
  </w:style>
  <w:style w:type="paragraph" w:styleId="Pta">
    <w:name w:val="footer"/>
    <w:basedOn w:val="Normlny"/>
    <w:link w:val="PtaChar"/>
    <w:uiPriority w:val="99"/>
    <w:rsid w:val="00F2463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24630"/>
    <w:rPr>
      <w:rFonts w:ascii="Times New Roman" w:hAnsi="Times New Roman"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E36F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E36F1"/>
    <w:rPr>
      <w:rFonts w:ascii="Tahoma" w:hAnsi="Tahoma" w:cs="Tahoma"/>
      <w:sz w:val="16"/>
      <w:szCs w:val="16"/>
      <w:lang w:val="sk-SK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</w:pPr>
    <w:rPr>
      <w:rFonts w:ascii="Calibri" w:hAnsi="Calibri" w:cs="Calibri"/>
      <w:lang w:val="sk-SK" w:eastAsia="en-US"/>
    </w:rPr>
  </w:style>
  <w:style w:type="paragraph" w:styleId="Nadpis1">
    <w:name w:val="heading 1"/>
    <w:basedOn w:val="Normln"/>
    <w:link w:val="Nadpis1Char"/>
    <w:uiPriority w:val="99"/>
    <w:qFormat/>
    <w:pPr>
      <w:outlineLvl w:val="0"/>
    </w:pPr>
    <w:rPr>
      <w:rFonts w:ascii="Times New Roman" w:hAnsi="Times New Roman" w:cstheme="minorBidi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2341D"/>
    <w:rPr>
      <w:rFonts w:asciiTheme="majorHAnsi" w:eastAsiaTheme="majorEastAsia" w:hAnsiTheme="majorHAnsi" w:cstheme="majorBidi"/>
      <w:b/>
      <w:bCs/>
      <w:kern w:val="32"/>
      <w:sz w:val="32"/>
      <w:szCs w:val="32"/>
      <w:lang w:val="sk-SK" w:eastAsia="en-US"/>
    </w:rPr>
  </w:style>
  <w:style w:type="paragraph" w:styleId="Zkladntext">
    <w:name w:val="Body Text"/>
    <w:basedOn w:val="Normln"/>
    <w:link w:val="ZkladntextChar"/>
    <w:uiPriority w:val="99"/>
    <w:pPr>
      <w:ind w:left="668" w:hanging="567"/>
    </w:pPr>
    <w:rPr>
      <w:rFonts w:ascii="Times New Roman" w:hAnsi="Times New Roman" w:cstheme="minorBidi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2341D"/>
    <w:rPr>
      <w:rFonts w:ascii="Calibri" w:hAnsi="Calibri" w:cs="Calibri"/>
      <w:lang w:val="sk-SK" w:eastAsia="en-US"/>
    </w:rPr>
  </w:style>
  <w:style w:type="paragraph" w:styleId="Odstavecseseznamem">
    <w:name w:val="List Paragraph"/>
    <w:basedOn w:val="Normln"/>
    <w:uiPriority w:val="99"/>
    <w:qFormat/>
  </w:style>
  <w:style w:type="paragraph" w:customStyle="1" w:styleId="TableParagraph">
    <w:name w:val="Table Paragraph"/>
    <w:basedOn w:val="Normln"/>
    <w:uiPriority w:val="99"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Pr>
      <w:rFonts w:ascii="Times New Roman" w:hAnsi="Times New Roman"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Pr>
      <w:rFonts w:ascii="Times New Roman" w:hAnsi="Times New Roman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E36F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36F1"/>
    <w:rPr>
      <w:rFonts w:ascii="Tahoma" w:hAnsi="Tahoma" w:cs="Tahoma"/>
      <w:sz w:val="16"/>
      <w:szCs w:val="16"/>
      <w:lang w:val="sk-SK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pc</cp:lastModifiedBy>
  <cp:revision>2</cp:revision>
  <cp:lastPrinted>2016-03-16T17:56:00Z</cp:lastPrinted>
  <dcterms:created xsi:type="dcterms:W3CDTF">2017-03-21T17:09:00Z</dcterms:created>
  <dcterms:modified xsi:type="dcterms:W3CDTF">2017-03-21T17:09:00Z</dcterms:modified>
</cp:coreProperties>
</file>