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AE" w:rsidRDefault="001F77AE" w:rsidP="00BE61B2">
      <w:pPr>
        <w:rPr>
          <w:b/>
        </w:rPr>
      </w:pPr>
    </w:p>
    <w:p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rsidR="00A23465" w:rsidRPr="00A23465" w:rsidRDefault="00A23465" w:rsidP="00BE61B2">
      <w:pPr>
        <w:rPr>
          <w:rFonts w:ascii="Book Antiqua" w:hAnsi="Book Antiqua"/>
          <w:b/>
          <w:sz w:val="28"/>
          <w:szCs w:val="28"/>
        </w:rPr>
      </w:pPr>
    </w:p>
    <w:p w:rsidR="00BE61B2" w:rsidRPr="00A23465" w:rsidRDefault="00BE61B2" w:rsidP="00A23465">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rsidR="00E751B7" w:rsidRPr="009B2293" w:rsidRDefault="002003E1" w:rsidP="009B2293">
      <w:pPr>
        <w:spacing w:after="0" w:line="360" w:lineRule="auto"/>
        <w:rPr>
          <w:rFonts w:ascii="Book Antiqua" w:hAnsi="Book Antiqua"/>
          <w:sz w:val="24"/>
          <w:szCs w:val="24"/>
        </w:rPr>
      </w:pPr>
      <w:r>
        <w:rPr>
          <w:rFonts w:ascii="Book Antiqua" w:hAnsi="Book Antiqua"/>
          <w:sz w:val="24"/>
          <w:szCs w:val="24"/>
        </w:rPr>
        <w:t>JONO, spol.</w:t>
      </w:r>
      <w:r w:rsidR="009B2293" w:rsidRPr="009B2293">
        <w:rPr>
          <w:rFonts w:ascii="Book Antiqua" w:hAnsi="Book Antiqua"/>
          <w:sz w:val="24"/>
          <w:szCs w:val="24"/>
        </w:rPr>
        <w:t xml:space="preserve"> s</w:t>
      </w:r>
      <w:r>
        <w:rPr>
          <w:rFonts w:ascii="Book Antiqua" w:hAnsi="Book Antiqua"/>
          <w:sz w:val="24"/>
          <w:szCs w:val="24"/>
        </w:rPr>
        <w:t xml:space="preserve"> </w:t>
      </w:r>
      <w:r w:rsidR="009B2293" w:rsidRPr="009B2293">
        <w:rPr>
          <w:rFonts w:ascii="Book Antiqua" w:hAnsi="Book Antiqua"/>
          <w:sz w:val="24"/>
          <w:szCs w:val="24"/>
        </w:rPr>
        <w:t xml:space="preserve">r.o. </w:t>
      </w:r>
    </w:p>
    <w:p w:rsidR="00E751B7" w:rsidRPr="009B2293" w:rsidRDefault="002003E1" w:rsidP="009B2293">
      <w:pPr>
        <w:spacing w:after="0" w:line="360" w:lineRule="auto"/>
        <w:rPr>
          <w:rFonts w:ascii="Book Antiqua" w:hAnsi="Book Antiqua"/>
          <w:sz w:val="24"/>
          <w:szCs w:val="24"/>
        </w:rPr>
      </w:pPr>
      <w:r>
        <w:rPr>
          <w:rFonts w:ascii="Book Antiqua" w:hAnsi="Book Antiqua"/>
          <w:sz w:val="24"/>
          <w:szCs w:val="24"/>
        </w:rPr>
        <w:t>Stavebná 23D</w:t>
      </w:r>
      <w:r w:rsidR="009B2293" w:rsidRPr="009B2293">
        <w:rPr>
          <w:rFonts w:ascii="Book Antiqua" w:hAnsi="Book Antiqua"/>
          <w:sz w:val="24"/>
          <w:szCs w:val="24"/>
        </w:rPr>
        <w:t>, 97</w:t>
      </w:r>
      <w:r w:rsidR="00B32561">
        <w:rPr>
          <w:rFonts w:ascii="Book Antiqua" w:hAnsi="Book Antiqua"/>
          <w:sz w:val="24"/>
          <w:szCs w:val="24"/>
        </w:rPr>
        <w:t>4 0</w:t>
      </w:r>
      <w:r>
        <w:rPr>
          <w:rFonts w:ascii="Book Antiqua" w:hAnsi="Book Antiqua"/>
          <w:sz w:val="24"/>
          <w:szCs w:val="24"/>
        </w:rPr>
        <w:t>1</w:t>
      </w:r>
      <w:r w:rsidR="00B32561">
        <w:rPr>
          <w:rFonts w:ascii="Book Antiqua" w:hAnsi="Book Antiqua"/>
          <w:sz w:val="24"/>
          <w:szCs w:val="24"/>
        </w:rPr>
        <w:t xml:space="preserve">  Banská Bystrica</w:t>
      </w:r>
    </w:p>
    <w:p w:rsidR="00FF3845" w:rsidRDefault="00FF384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rsidR="00B32561" w:rsidRDefault="00A23465" w:rsidP="00B32561">
      <w:pPr>
        <w:pStyle w:val="Zkladntext"/>
        <w:ind w:left="0"/>
        <w:rPr>
          <w:rFonts w:ascii="Book Antiqua" w:hAnsi="Book Antiqua"/>
          <w:sz w:val="22"/>
          <w:szCs w:val="22"/>
        </w:rPr>
      </w:pPr>
      <w:r w:rsidRPr="00A23465">
        <w:rPr>
          <w:rFonts w:ascii="Book Antiqua" w:hAnsi="Book Antiqua"/>
          <w:sz w:val="22"/>
          <w:szCs w:val="22"/>
        </w:rPr>
        <w:t xml:space="preserve">Spoločnosť </w:t>
      </w:r>
      <w:r w:rsidR="002003E1">
        <w:rPr>
          <w:rFonts w:ascii="Book Antiqua" w:hAnsi="Book Antiqua"/>
          <w:sz w:val="22"/>
          <w:szCs w:val="22"/>
        </w:rPr>
        <w:t>JONO spol.,</w:t>
      </w:r>
      <w:r w:rsidR="009B2293">
        <w:rPr>
          <w:rFonts w:ascii="Book Antiqua" w:hAnsi="Book Antiqua"/>
          <w:sz w:val="22"/>
          <w:szCs w:val="22"/>
        </w:rPr>
        <w:t xml:space="preserve"> s</w:t>
      </w:r>
      <w:r w:rsidR="002003E1">
        <w:rPr>
          <w:rFonts w:ascii="Book Antiqua" w:hAnsi="Book Antiqua"/>
          <w:sz w:val="22"/>
          <w:szCs w:val="22"/>
        </w:rPr>
        <w:t xml:space="preserve"> </w:t>
      </w:r>
      <w:r w:rsidR="009B2293">
        <w:rPr>
          <w:rFonts w:ascii="Book Antiqua" w:hAnsi="Book Antiqua"/>
          <w:sz w:val="22"/>
          <w:szCs w:val="22"/>
        </w:rPr>
        <w:t>r.o.</w:t>
      </w:r>
      <w:r w:rsidRPr="00A23465">
        <w:rPr>
          <w:rFonts w:ascii="Book Antiqua" w:hAnsi="Book Antiqua"/>
          <w:sz w:val="22"/>
          <w:szCs w:val="22"/>
        </w:rPr>
        <w:t xml:space="preserve"> (ďalej len Spoločnosť), bola založená </w:t>
      </w:r>
      <w:r w:rsidR="002003E1">
        <w:rPr>
          <w:rFonts w:ascii="Book Antiqua" w:hAnsi="Book Antiqua"/>
          <w:sz w:val="22"/>
          <w:szCs w:val="22"/>
        </w:rPr>
        <w:t>25. 01.1995</w:t>
      </w:r>
      <w:r w:rsidRPr="00A23465">
        <w:rPr>
          <w:rFonts w:ascii="Book Antiqua" w:hAnsi="Book Antiqua"/>
          <w:sz w:val="22"/>
          <w:szCs w:val="22"/>
        </w:rPr>
        <w:t xml:space="preserve">  a do obchodného registra bola zapísaná </w:t>
      </w:r>
      <w:r w:rsidR="002003E1">
        <w:rPr>
          <w:rFonts w:ascii="Book Antiqua" w:hAnsi="Book Antiqua"/>
          <w:sz w:val="22"/>
          <w:szCs w:val="22"/>
        </w:rPr>
        <w:t>25.01.1995</w:t>
      </w:r>
      <w:r w:rsidRPr="00A23465">
        <w:rPr>
          <w:rFonts w:ascii="Book Antiqua" w:hAnsi="Book Antiqua"/>
          <w:sz w:val="22"/>
          <w:szCs w:val="22"/>
        </w:rPr>
        <w:t xml:space="preserve"> (Obchodný register</w:t>
      </w:r>
      <w:r w:rsidR="002003E1">
        <w:rPr>
          <w:rFonts w:ascii="Book Antiqua" w:hAnsi="Book Antiqua"/>
          <w:sz w:val="22"/>
          <w:szCs w:val="22"/>
        </w:rPr>
        <w:t xml:space="preserve"> </w:t>
      </w:r>
      <w:r w:rsidR="00B32561">
        <w:rPr>
          <w:rFonts w:ascii="Book Antiqua" w:hAnsi="Book Antiqua"/>
          <w:sz w:val="22"/>
          <w:szCs w:val="22"/>
        </w:rPr>
        <w:t xml:space="preserve">Okresného súdu Banská Bystrica, oddiel s.r.o. vložka </w:t>
      </w:r>
      <w:r w:rsidR="002003E1">
        <w:rPr>
          <w:rFonts w:ascii="Book Antiqua" w:hAnsi="Book Antiqua"/>
          <w:sz w:val="22"/>
          <w:szCs w:val="22"/>
        </w:rPr>
        <w:t>2462</w:t>
      </w:r>
      <w:r w:rsidR="00B32561">
        <w:rPr>
          <w:rFonts w:ascii="Book Antiqua" w:hAnsi="Book Antiqua"/>
          <w:sz w:val="22"/>
          <w:szCs w:val="22"/>
        </w:rPr>
        <w:t>/S).</w:t>
      </w:r>
    </w:p>
    <w:p w:rsidR="002003E1" w:rsidRPr="00B32561" w:rsidRDefault="002003E1" w:rsidP="00B32561">
      <w:pPr>
        <w:pStyle w:val="Zkladntext"/>
        <w:ind w:left="0"/>
        <w:rPr>
          <w:rFonts w:ascii="Book Antiqua" w:hAnsi="Book Antiqua"/>
          <w:sz w:val="22"/>
          <w:szCs w:val="22"/>
        </w:rPr>
      </w:pPr>
      <w:r>
        <w:rPr>
          <w:rFonts w:ascii="Book Antiqua" w:hAnsi="Book Antiqua"/>
          <w:sz w:val="22"/>
          <w:szCs w:val="22"/>
        </w:rPr>
        <w:t xml:space="preserve">Dňa 21.12.2016 zmenila spoločnosť sídlo z Partizánskej cesty 15, 974 01  Banská Bystrica  na Stavebnú 23D, 97401 Banská Bystrica. </w:t>
      </w:r>
    </w:p>
    <w:p w:rsidR="00A23465" w:rsidRDefault="00A2346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bookmarkStart w:id="0" w:name="_GoBack"/>
      <w:bookmarkEnd w:id="0"/>
    </w:p>
    <w:p w:rsidR="00A23465" w:rsidRPr="00A23465" w:rsidRDefault="00A23465" w:rsidP="00A23465">
      <w:pPr>
        <w:pStyle w:val="Nadpis2"/>
        <w:spacing w:before="0" w:after="0" w:line="240" w:lineRule="auto"/>
        <w:jc w:val="left"/>
        <w:rPr>
          <w:rFonts w:ascii="Book Antiqua" w:hAnsi="Book Antiqua"/>
          <w:i w:val="0"/>
          <w:sz w:val="22"/>
          <w:szCs w:val="22"/>
        </w:rPr>
      </w:pPr>
    </w:p>
    <w:p w:rsidR="00A23465" w:rsidRDefault="00A23465" w:rsidP="005D1C9C">
      <w:pPr>
        <w:rPr>
          <w:rFonts w:ascii="Book Antiqua" w:hAnsi="Book Antiqua"/>
          <w:sz w:val="16"/>
          <w:szCs w:val="16"/>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201</w:t>
      </w:r>
      <w:r w:rsidR="008A4FF4">
        <w:rPr>
          <w:rFonts w:ascii="Book Antiqua" w:hAnsi="Book Antiqua"/>
          <w:b w:val="0"/>
          <w:i w:val="0"/>
          <w:sz w:val="22"/>
          <w:szCs w:val="22"/>
        </w:rPr>
        <w:t>6</w:t>
      </w:r>
      <w:r w:rsidR="009B2293">
        <w:rPr>
          <w:rFonts w:ascii="Book Antiqua" w:hAnsi="Book Antiqua"/>
          <w:b w:val="0"/>
          <w:i w:val="0"/>
          <w:sz w:val="22"/>
          <w:szCs w:val="22"/>
        </w:rPr>
        <w:t xml:space="preserve"> je </w:t>
      </w:r>
      <w:r w:rsidR="002003E1">
        <w:rPr>
          <w:rFonts w:ascii="Book Antiqua" w:hAnsi="Book Antiqua"/>
          <w:b w:val="0"/>
          <w:i w:val="0"/>
          <w:sz w:val="22"/>
          <w:szCs w:val="22"/>
        </w:rPr>
        <w:t>3</w:t>
      </w:r>
      <w:r w:rsidR="009B2293">
        <w:rPr>
          <w:rFonts w:ascii="Book Antiqua" w:hAnsi="Book Antiqua"/>
          <w:b w:val="0"/>
          <w:i w:val="0"/>
          <w:sz w:val="22"/>
          <w:szCs w:val="22"/>
        </w:rPr>
        <w:t xml:space="preserve">. </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Účtovná jednotka má uzatvorené pracovnoprávne vzťahy so zamestnancami na základe pracovnej </w:t>
      </w:r>
      <w:r w:rsidR="009B2293">
        <w:rPr>
          <w:rFonts w:ascii="Book Antiqua" w:hAnsi="Book Antiqua"/>
          <w:b w:val="0"/>
          <w:i w:val="0"/>
          <w:sz w:val="22"/>
          <w:szCs w:val="22"/>
        </w:rPr>
        <w:t>zmluvy</w:t>
      </w:r>
      <w:r w:rsidRPr="00A23465">
        <w:rPr>
          <w:rFonts w:ascii="Book Antiqua" w:hAnsi="Book Antiqua"/>
          <w:b w:val="0"/>
          <w:i w:val="0"/>
          <w:sz w:val="22"/>
          <w:szCs w:val="22"/>
        </w:rPr>
        <w:t xml:space="preserve">, </w:t>
      </w:r>
      <w:r w:rsidR="002003E1">
        <w:rPr>
          <w:rFonts w:ascii="Book Antiqua" w:hAnsi="Book Antiqua"/>
          <w:b w:val="0"/>
          <w:i w:val="0"/>
          <w:sz w:val="22"/>
          <w:szCs w:val="22"/>
        </w:rPr>
        <w:t>aj</w:t>
      </w:r>
      <w:r w:rsidR="00AA2A1B">
        <w:rPr>
          <w:rFonts w:ascii="Book Antiqua" w:hAnsi="Book Antiqua"/>
          <w:b w:val="0"/>
          <w:i w:val="0"/>
          <w:sz w:val="22"/>
          <w:szCs w:val="22"/>
        </w:rPr>
        <w:t xml:space="preserve"> </w:t>
      </w:r>
      <w:r w:rsidRPr="00A23465">
        <w:rPr>
          <w:rFonts w:ascii="Book Antiqua" w:hAnsi="Book Antiqua"/>
          <w:b w:val="0"/>
          <w:i w:val="0"/>
          <w:sz w:val="22"/>
          <w:szCs w:val="22"/>
        </w:rPr>
        <w:t>na základe dohôd o pracovnej činnosti</w:t>
      </w:r>
      <w:r w:rsidR="009B2293">
        <w:rPr>
          <w:rFonts w:ascii="Book Antiqua" w:hAnsi="Book Antiqua"/>
          <w:b w:val="0"/>
          <w:i w:val="0"/>
          <w:sz w:val="22"/>
          <w:szCs w:val="22"/>
        </w:rPr>
        <w:t xml:space="preserve">. </w:t>
      </w:r>
    </w:p>
    <w:p w:rsidR="00A23465" w:rsidRDefault="00AA2A1B" w:rsidP="005D1C9C">
      <w:pPr>
        <w:rPr>
          <w:rFonts w:ascii="Book Antiqua" w:hAnsi="Book Antiqua"/>
          <w:sz w:val="16"/>
          <w:szCs w:val="16"/>
        </w:rPr>
      </w:pPr>
      <w:r>
        <w:rPr>
          <w:rFonts w:ascii="Book Antiqua" w:hAnsi="Book Antiqua"/>
          <w:sz w:val="16"/>
          <w:szCs w:val="16"/>
        </w:rPr>
        <w:t xml:space="preserve"> </w:t>
      </w:r>
    </w:p>
    <w:p w:rsidR="00BE61B2" w:rsidRPr="00A23465" w:rsidRDefault="00BE61B2">
      <w:pPr>
        <w:rPr>
          <w:rFonts w:ascii="Book Antiqua" w:hAnsi="Book Antiqua"/>
        </w:rPr>
      </w:pPr>
    </w:p>
    <w:p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rsidR="00E751B7" w:rsidRPr="002E5D8A" w:rsidRDefault="00E751B7" w:rsidP="00E751B7">
      <w:pPr>
        <w:pStyle w:val="Zkladntext"/>
        <w:ind w:left="450"/>
        <w:rPr>
          <w:rFonts w:ascii="Book Antiqua" w:hAnsi="Book Antiqua"/>
          <w:sz w:val="22"/>
          <w:szCs w:val="22"/>
        </w:rPr>
      </w:pP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poistenia majetku určeného na prevádzkovú činnosť a iného poistného súvisiaceho s prevádzkovou činnosťou. Takéto poistenie sa od 1. januára 2011 účtuje na účet 548 – Ostatné náklady na hospodársku činnosť;</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rsidR="00E751B7" w:rsidRPr="00A23465" w:rsidRDefault="00E751B7" w:rsidP="00E751B7">
      <w:pPr>
        <w:pStyle w:val="Zkladntext"/>
        <w:ind w:left="709"/>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 xml:space="preserve">Uvedené zmeny nemajú vplyv na výsledok hospodárenia vykázaný v predchádzajúcich účtovných obdobiach, keďže sa aplikujú </w:t>
      </w:r>
      <w:proofErr w:type="spellStart"/>
      <w:r w:rsidRPr="002E5D8A">
        <w:rPr>
          <w:rFonts w:ascii="Book Antiqua" w:hAnsi="Book Antiqua"/>
          <w:sz w:val="22"/>
          <w:szCs w:val="22"/>
        </w:rPr>
        <w:t>prospektívne</w:t>
      </w:r>
      <w:proofErr w:type="spellEnd"/>
      <w:r w:rsidRPr="002E5D8A">
        <w:rPr>
          <w:rFonts w:ascii="Book Antiqua" w:hAnsi="Book Antiqua"/>
          <w:sz w:val="22"/>
          <w:szCs w:val="22"/>
        </w:rPr>
        <w:t xml:space="preserve"> na účtovné prípady, ktoré vznikli po 1. januári 2011.</w:t>
      </w:r>
    </w:p>
    <w:p w:rsidR="00E751B7" w:rsidRPr="00A23465" w:rsidRDefault="00E751B7" w:rsidP="00E751B7">
      <w:pPr>
        <w:pStyle w:val="Zkladntext"/>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lastRenderedPageBreak/>
        <w:t xml:space="preserve">V súvislosti so zmenou účtovania zákazkovej výroby, zákazkovej výstavby nehnuteľnosti a obstarania nehnuteľnosti na účel ďalšieho predaja boli do súvahy a výkazu ziskov a strát doplnené nové účty. </w:t>
      </w:r>
    </w:p>
    <w:p w:rsidR="00E751B7" w:rsidRPr="00A23465" w:rsidRDefault="00E751B7" w:rsidP="00E751B7">
      <w:pPr>
        <w:pStyle w:val="Zkladntext"/>
        <w:ind w:left="0"/>
        <w:rPr>
          <w:rFonts w:ascii="Book Antiqua" w:hAnsi="Book Antiqua"/>
        </w:rPr>
      </w:pPr>
    </w:p>
    <w:p w:rsidR="002E5D8A" w:rsidRDefault="002E5D8A" w:rsidP="002E5D8A">
      <w:pPr>
        <w:pStyle w:val="Zkladntext"/>
      </w:pPr>
    </w:p>
    <w:p w:rsidR="002E5D8A" w:rsidRDefault="002E5D8A" w:rsidP="002E5D8A">
      <w:pPr>
        <w:pStyle w:val="Zkladntext"/>
        <w:ind w:left="0"/>
      </w:pPr>
    </w:p>
    <w:p w:rsidR="00A54AAB" w:rsidRPr="00A54AAB" w:rsidRDefault="00A54AAB" w:rsidP="002E5D8A">
      <w:pPr>
        <w:pStyle w:val="Zkladntext"/>
        <w:ind w:left="0"/>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nehmotného majetku nie sú od 1. júla 2010 úroky z cudzích zdrojov, ktoré vznikli do momentu zaradenia dlhodobého nehmotného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E5D8A" w:rsidRDefault="002E5D8A" w:rsidP="002E5D8A">
      <w:pPr>
        <w:pStyle w:val="Zkladntext"/>
      </w:pPr>
    </w:p>
    <w:p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br w:type="page"/>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01"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417"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544"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817"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69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Softvér</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w:t>
      </w:r>
      <w:r w:rsidRPr="00A7208C">
        <w:rPr>
          <w:rFonts w:ascii="Book Antiqua" w:hAnsi="Book Antiqua"/>
          <w:sz w:val="22"/>
          <w:szCs w:val="22"/>
        </w:rPr>
        <w:lastRenderedPageBreak/>
        <w:t>uvedení do používania. Pozemky sa neodpisujú. Predpokladaná doba používania, metóda odpisovania a odpisová sadzba sú uvedené v nasledujúcej tabuľke:</w:t>
      </w:r>
    </w:p>
    <w:p w:rsidR="002E5D8A" w:rsidRDefault="002E5D8A"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76"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42"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98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118" w:type="dxa"/>
            <w:gridSpan w:val="2"/>
            <w:tcBorders>
              <w:top w:val="single" w:sz="4" w:space="0" w:color="auto"/>
            </w:tcBorders>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výroba sa vykazuje použitím metódy stupňa dokončenia zákazky (angl. </w:t>
      </w:r>
      <w:proofErr w:type="spellStart"/>
      <w:r w:rsidRPr="00A7208C">
        <w:rPr>
          <w:rFonts w:ascii="Book Antiqua" w:hAnsi="Book Antiqua"/>
          <w:sz w:val="22"/>
          <w:szCs w:val="22"/>
        </w:rPr>
        <w:t>percentage-of-completion-method</w:t>
      </w:r>
      <w:proofErr w:type="spellEnd"/>
      <w:r w:rsidRPr="00A7208C">
        <w:rPr>
          <w:rFonts w:ascii="Book Antiqua" w:hAnsi="Book Antiqua"/>
          <w:sz w:val="22"/>
          <w:szCs w:val="22"/>
        </w:rPr>
        <w:t>).</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rsidR="002E5D8A" w:rsidRDefault="002E5D8A"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lastRenderedPageBreak/>
        <w:t>Náklady budúcich období a príjmy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rsidR="002E5D8A" w:rsidRPr="00A7208C" w:rsidRDefault="002E5D8A" w:rsidP="002E5D8A">
      <w:pPr>
        <w:pStyle w:val="Pismenka"/>
        <w:numPr>
          <w:ilvl w:val="0"/>
          <w:numId w:val="0"/>
        </w:numPr>
        <w:ind w:left="360"/>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D8A" w:rsidRPr="00A7208C" w:rsidRDefault="002E5D8A" w:rsidP="002E5D8A">
      <w:pPr>
        <w:pStyle w:val="Pismenka"/>
        <w:numPr>
          <w:ilvl w:val="0"/>
          <w:numId w:val="0"/>
        </w:numPr>
        <w:ind w:left="360"/>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 xml:space="preserve">(12) </w:t>
      </w:r>
      <w:r w:rsidR="002E5D8A" w:rsidRPr="00A7208C">
        <w:rPr>
          <w:rFonts w:ascii="Book Antiqua" w:hAnsi="Book Antiqua"/>
          <w:sz w:val="22"/>
          <w:szCs w:val="22"/>
        </w:rPr>
        <w:t>Výdavky budúcich období a výnosy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E5D8A" w:rsidRDefault="002E5D8A" w:rsidP="00A7208C">
      <w:pPr>
        <w:pStyle w:val="Zkladntext"/>
        <w:rPr>
          <w:rFonts w:ascii="Book Antiqua" w:hAnsi="Book Antiqua"/>
          <w:sz w:val="22"/>
          <w:szCs w:val="22"/>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rPr>
        <w:t xml:space="preserve"> </w:t>
      </w:r>
      <w:r w:rsidRPr="00A7208C">
        <w:rPr>
          <w:rFonts w:ascii="Book Antiqua" w:hAnsi="Book Antiqua"/>
          <w:sz w:val="22"/>
          <w:szCs w:val="22"/>
        </w:rPr>
        <w:t xml:space="preserve">so zaúčtovaním odpisov z tohto dlhodobého majetku. </w:t>
      </w:r>
    </w:p>
    <w:p w:rsidR="00A7208C" w:rsidRPr="00A7208C" w:rsidRDefault="00A7208C" w:rsidP="00A7208C">
      <w:pPr>
        <w:pStyle w:val="Zkladntext"/>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2E5D8A" w:rsidRPr="00A7208C" w:rsidRDefault="002E5D8A"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rsidR="002E5D8A" w:rsidRDefault="002E5D8A" w:rsidP="002E5D8A">
      <w:pPr>
        <w:pStyle w:val="Zkladntext"/>
        <w:rPr>
          <w:rFonts w:ascii="Book Antiqua" w:hAnsi="Book Antiqua"/>
          <w:sz w:val="22"/>
          <w:szCs w:val="22"/>
        </w:rPr>
      </w:pPr>
    </w:p>
    <w:p w:rsidR="002003E1" w:rsidRDefault="002003E1"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lastRenderedPageBreak/>
        <w:t>Výnosy</w:t>
      </w:r>
    </w:p>
    <w:p w:rsidR="009B2293" w:rsidRDefault="002E5D8A" w:rsidP="002E5D8A">
      <w:pPr>
        <w:pStyle w:val="Zkladntext"/>
        <w:rPr>
          <w:rFonts w:ascii="Book Antiqua" w:hAnsi="Book Antiqua"/>
          <w:sz w:val="22"/>
          <w:szCs w:val="22"/>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E5D8A" w:rsidRPr="00A23465" w:rsidRDefault="002E5D8A">
      <w:pPr>
        <w:rPr>
          <w:rFonts w:ascii="Book Antiqua" w:hAnsi="Book Antiqua"/>
        </w:rPr>
      </w:pPr>
    </w:p>
    <w:p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bookmarkStart w:id="1" w:name="_MON_1488186422"/>
    <w:bookmarkEnd w:id="1"/>
    <w:p w:rsidR="00EC1CF9" w:rsidRDefault="002003E1" w:rsidP="00EC1CF9">
      <w:pPr>
        <w:pStyle w:val="Zkladntext"/>
      </w:pPr>
      <w:r>
        <w:object w:dxaOrig="9617" w:dyaOrig="5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321.5pt" o:ole="" o:preferrelative="f">
            <v:imagedata r:id="rId9" o:title=""/>
            <o:lock v:ext="edit" aspectratio="f"/>
          </v:shape>
          <o:OLEObject Type="Embed" ProgID="Excel.Sheet.8" ShapeID="_x0000_i1025" DrawAspect="Content" ObjectID="_1551098493" r:id="rId10"/>
        </w:object>
      </w:r>
    </w:p>
    <w:p w:rsidR="00EC1CF9" w:rsidRDefault="00EC1CF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náklado</w:t>
      </w:r>
      <w:r w:rsidRPr="00EC1CF9">
        <w:rPr>
          <w:rFonts w:ascii="Book Antiqua" w:hAnsi="Book Antiqua"/>
          <w:b/>
        </w:rPr>
        <w:t>ch</w:t>
      </w:r>
    </w:p>
    <w:bookmarkStart w:id="2" w:name="_MON_1488186493"/>
    <w:bookmarkEnd w:id="2"/>
    <w:p w:rsidR="00085DCC" w:rsidRDefault="00024675" w:rsidP="00085DCC">
      <w:pPr>
        <w:pStyle w:val="Zkladntext"/>
      </w:pPr>
      <w:r>
        <w:object w:dxaOrig="9956" w:dyaOrig="5766">
          <v:shape id="_x0000_i1026" type="#_x0000_t75" style="width:535pt;height:323.15pt" o:ole="" o:preferrelative="f">
            <v:imagedata r:id="rId11" o:title=""/>
            <o:lock v:ext="edit" aspectratio="f"/>
          </v:shape>
          <o:OLEObject Type="Embed" ProgID="Excel.Sheet.8" ShapeID="_x0000_i1026" DrawAspect="Content" ObjectID="_1551098494" r:id="rId12"/>
        </w:object>
      </w:r>
    </w:p>
    <w:p w:rsidR="00085DCC" w:rsidRDefault="00085DCC" w:rsidP="00085DCC">
      <w:pPr>
        <w:pStyle w:val="Zkladntext"/>
      </w:pPr>
    </w:p>
    <w:p w:rsidR="00085DCC" w:rsidRDefault="00085DCC" w:rsidP="00085DCC">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rsidR="00085DCC" w:rsidRDefault="00085DCC" w:rsidP="00085DCC">
      <w:pPr>
        <w:pStyle w:val="Zkladntext"/>
      </w:pPr>
    </w:p>
    <w:p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bookmarkStart w:id="3" w:name="_MON_1488186534"/>
    <w:bookmarkEnd w:id="3"/>
    <w:p w:rsidR="00F14DD7" w:rsidRDefault="00024675" w:rsidP="00085DCC">
      <w:pPr>
        <w:spacing w:after="0"/>
        <w:ind w:left="426"/>
        <w:jc w:val="both"/>
      </w:pPr>
      <w:r>
        <w:object w:dxaOrig="9795" w:dyaOrig="2614">
          <v:shape id="_x0000_i1027" type="#_x0000_t75" style="width:512.35pt;height:143.15pt" o:ole="" o:preferrelative="f">
            <v:imagedata r:id="rId13" o:title=""/>
            <o:lock v:ext="edit" aspectratio="f"/>
          </v:shape>
          <o:OLEObject Type="Embed" ProgID="Excel.Sheet.8" ShapeID="_x0000_i1027" DrawAspect="Content" ObjectID="_1551098495" r:id="rId14"/>
        </w:object>
      </w:r>
    </w:p>
    <w:p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rsidR="00F14DD7" w:rsidRDefault="00F14DD7" w:rsidP="00085DCC">
      <w:pPr>
        <w:spacing w:after="0"/>
        <w:ind w:left="426"/>
        <w:jc w:val="both"/>
      </w:pPr>
    </w:p>
    <w:p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rsidR="00F14DD7" w:rsidRPr="00F14DD7" w:rsidRDefault="00F14DD7" w:rsidP="00F14DD7">
      <w:pPr>
        <w:pStyle w:val="Zkladntext"/>
        <w:rPr>
          <w:rFonts w:ascii="Book Antiqua" w:hAnsi="Book Antiqua"/>
          <w:sz w:val="22"/>
          <w:szCs w:val="22"/>
        </w:rPr>
      </w:pPr>
      <w:r w:rsidRPr="00F14DD7">
        <w:rPr>
          <w:rFonts w:ascii="Book Antiqua" w:hAnsi="Book Antiqua"/>
          <w:sz w:val="22"/>
          <w:szCs w:val="22"/>
        </w:rPr>
        <w:t>Bankové úvery spoločnosť nemá.</w:t>
      </w:r>
    </w:p>
    <w:p w:rsidR="00F14DD7" w:rsidRPr="00F14DD7" w:rsidRDefault="00F14DD7" w:rsidP="00BE61B2">
      <w:pPr>
        <w:jc w:val="both"/>
        <w:rPr>
          <w:rFonts w:ascii="Book Antiqua" w:hAnsi="Book Antiqua"/>
          <w:b/>
        </w:rPr>
      </w:pPr>
    </w:p>
    <w:p w:rsidR="00EC1CF9" w:rsidRDefault="00EC1CF9" w:rsidP="00BE61B2">
      <w:pPr>
        <w:jc w:val="both"/>
        <w:rPr>
          <w:rFonts w:ascii="Book Antiqua" w:hAnsi="Book Antiqua"/>
          <w:b/>
        </w:rPr>
      </w:pP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vlastných akciách</w:t>
      </w:r>
    </w:p>
    <w:p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rsidR="00001E1F" w:rsidRDefault="00001E1F" w:rsidP="00B6656B">
      <w:pPr>
        <w:spacing w:after="0"/>
        <w:ind w:left="360"/>
        <w:jc w:val="both"/>
        <w:rPr>
          <w:rFonts w:ascii="Book Antiqua" w:hAnsi="Book Antiqua"/>
        </w:rPr>
      </w:pPr>
      <w:r>
        <w:rPr>
          <w:rFonts w:ascii="Book Antiqua" w:hAnsi="Book Antiqua"/>
        </w:rPr>
        <w:t>Žiadne nemá.</w:t>
      </w:r>
    </w:p>
    <w:p w:rsidR="00D52B8D" w:rsidRDefault="00D52B8D" w:rsidP="00B6656B">
      <w:pPr>
        <w:spacing w:after="0"/>
        <w:ind w:left="360"/>
        <w:jc w:val="both"/>
        <w:rPr>
          <w:rFonts w:ascii="Book Antiqua" w:hAnsi="Book Antiqua"/>
        </w:rPr>
      </w:pPr>
    </w:p>
    <w:p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rsidR="00001E1F" w:rsidRDefault="00001E1F" w:rsidP="00B6656B">
      <w:pPr>
        <w:spacing w:after="0"/>
        <w:ind w:left="360"/>
        <w:jc w:val="both"/>
        <w:rPr>
          <w:rFonts w:ascii="Book Antiqua" w:hAnsi="Book Antiqua"/>
        </w:rPr>
      </w:pPr>
    </w:p>
    <w:p w:rsidR="00001E1F" w:rsidRDefault="00AA2A1B" w:rsidP="00001E1F">
      <w:pPr>
        <w:pStyle w:val="Zkladntext"/>
        <w:ind w:left="425"/>
      </w:pPr>
      <w:r>
        <w:object w:dxaOrig="10256" w:dyaOrig="2476">
          <v:shape id="_x0000_i1028" type="#_x0000_t75" style="width:506.5pt;height:136.45pt" o:ole="" o:preferrelative="f">
            <v:imagedata r:id="rId15" o:title=""/>
            <o:lock v:ext="edit" aspectratio="f"/>
          </v:shape>
          <o:OLEObject Type="Embed" ProgID="Excel.Sheet.8" ShapeID="_x0000_i1028" DrawAspect="Content" ObjectID="_1551098496" r:id="rId16"/>
        </w:object>
      </w:r>
    </w:p>
    <w:p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rsidR="00D52B8D" w:rsidRDefault="00D52B8D" w:rsidP="00B6656B">
      <w:pPr>
        <w:spacing w:after="0"/>
        <w:ind w:left="360"/>
        <w:jc w:val="both"/>
        <w:rPr>
          <w:rFonts w:ascii="Book Antiqua" w:hAnsi="Book Antiqua"/>
        </w:rPr>
      </w:pPr>
    </w:p>
    <w:p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rsidR="00D52B8D" w:rsidRPr="00B6656B" w:rsidRDefault="00D52B8D" w:rsidP="00B6656B">
      <w:pPr>
        <w:spacing w:after="0"/>
        <w:ind w:left="360"/>
        <w:jc w:val="both"/>
        <w:rPr>
          <w:rFonts w:ascii="Book Antiqua" w:hAnsi="Book Antiqua"/>
        </w:rPr>
      </w:pPr>
    </w:p>
    <w:p w:rsidR="00F14DD7" w:rsidRDefault="00F14DD7" w:rsidP="00BE61B2">
      <w:pPr>
        <w:jc w:val="both"/>
        <w:rPr>
          <w:rFonts w:ascii="Book Antiqua" w:hAnsi="Book Antiqua"/>
          <w:b/>
        </w:rPr>
      </w:pPr>
    </w:p>
    <w:p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rsidR="00FF3845" w:rsidRDefault="00FF3845" w:rsidP="00FF3845">
      <w:pPr>
        <w:spacing w:after="0"/>
        <w:ind w:left="360"/>
        <w:jc w:val="both"/>
        <w:rPr>
          <w:rFonts w:ascii="Book Antiqua" w:hAnsi="Book Antiqua"/>
        </w:rPr>
      </w:pPr>
      <w:r>
        <w:rPr>
          <w:rFonts w:ascii="Book Antiqua" w:hAnsi="Book Antiqua"/>
        </w:rPr>
        <w:t>Spoločnosť nemá podmienený majetok</w:t>
      </w:r>
      <w:r w:rsidR="00B32561">
        <w:rPr>
          <w:rFonts w:ascii="Book Antiqua" w:hAnsi="Book Antiqua"/>
        </w:rPr>
        <w:t>.</w:t>
      </w:r>
    </w:p>
    <w:p w:rsidR="00FF3845" w:rsidRDefault="00FF3845" w:rsidP="00FF3845">
      <w:pPr>
        <w:pStyle w:val="Zkladntext"/>
        <w:ind w:left="0"/>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rsidR="00FF3845" w:rsidRDefault="00FF3845" w:rsidP="00FF3845">
      <w:pPr>
        <w:spacing w:after="0"/>
        <w:ind w:left="360"/>
        <w:jc w:val="both"/>
        <w:rPr>
          <w:rFonts w:ascii="Book Antiqua" w:hAnsi="Book Antiqua"/>
        </w:rPr>
      </w:pPr>
      <w:r>
        <w:rPr>
          <w:rFonts w:ascii="Book Antiqua" w:hAnsi="Book Antiqua"/>
        </w:rPr>
        <w:t>Spoločnosť nemá podmienené záväzky</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pStyle w:val="Zkladntext"/>
        <w:ind w:left="0"/>
      </w:pPr>
    </w:p>
    <w:p w:rsidR="00FF3845" w:rsidRPr="00A23465" w:rsidRDefault="00FF3845" w:rsidP="00BE61B2">
      <w:pPr>
        <w:jc w:val="both"/>
        <w:rPr>
          <w:rFonts w:ascii="Book Antiqua" w:hAnsi="Book Antiqua"/>
          <w:b/>
        </w:rPr>
      </w:pPr>
    </w:p>
    <w:p w:rsidR="005D1C9C" w:rsidRPr="00A23465" w:rsidRDefault="005D1C9C" w:rsidP="00BE61B2">
      <w:pPr>
        <w:jc w:val="both"/>
        <w:rPr>
          <w:rFonts w:ascii="Book Antiqua" w:hAnsi="Book Antiqua"/>
          <w:b/>
        </w:rPr>
      </w:pPr>
    </w:p>
    <w:sectPr w:rsidR="005D1C9C" w:rsidRPr="00A23465" w:rsidSect="005D1C9C">
      <w:headerReference w:type="default" r:id="rId17"/>
      <w:footerReference w:type="default" r:id="rId18"/>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B76" w:rsidRDefault="00424B76" w:rsidP="00BE61B2">
      <w:pPr>
        <w:spacing w:after="0" w:line="240" w:lineRule="auto"/>
      </w:pPr>
      <w:r>
        <w:separator/>
      </w:r>
    </w:p>
  </w:endnote>
  <w:endnote w:type="continuationSeparator" w:id="0">
    <w:p w:rsidR="00424B76" w:rsidRDefault="00424B76"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9C" w:rsidRDefault="005D1C9C">
    <w:pPr>
      <w:pStyle w:val="Pta"/>
    </w:pPr>
    <w:r>
      <w:t xml:space="preserve">Strana | </w:t>
    </w:r>
    <w:r>
      <w:fldChar w:fldCharType="begin"/>
    </w:r>
    <w:r>
      <w:instrText>PAGE   \* MERGEFORMAT</w:instrText>
    </w:r>
    <w:r>
      <w:fldChar w:fldCharType="separate"/>
    </w:r>
    <w:r w:rsidR="00002AB6">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B76" w:rsidRDefault="00424B76" w:rsidP="00BE61B2">
      <w:pPr>
        <w:spacing w:after="0" w:line="240" w:lineRule="auto"/>
      </w:pPr>
      <w:r>
        <w:separator/>
      </w:r>
    </w:p>
  </w:footnote>
  <w:footnote w:type="continuationSeparator" w:id="0">
    <w:p w:rsidR="00424B76" w:rsidRDefault="00424B76" w:rsidP="00BE6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051A53" w:rsidRPr="00051A53" w:rsidTr="00E91949">
      <w:trPr>
        <w:trHeight w:val="340"/>
      </w:trPr>
      <w:tc>
        <w:tcPr>
          <w:tcW w:w="2802" w:type="dxa"/>
          <w:vAlign w:val="center"/>
        </w:tcPr>
        <w:p w:rsidR="00051A53" w:rsidRPr="00E91949" w:rsidRDefault="00051A53"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w:t>
          </w:r>
          <w:proofErr w:type="spellStart"/>
          <w:r w:rsidRPr="00E91949">
            <w:rPr>
              <w:b/>
              <w:color w:val="000000" w:themeColor="text1"/>
              <w:sz w:val="24"/>
              <w:szCs w:val="24"/>
            </w:rPr>
            <w:t>Úč</w:t>
          </w:r>
          <w:proofErr w:type="spellEnd"/>
          <w:r w:rsidRPr="00E91949">
            <w:rPr>
              <w:b/>
              <w:color w:val="000000" w:themeColor="text1"/>
              <w:sz w:val="24"/>
              <w:szCs w:val="24"/>
            </w:rPr>
            <w:t xml:space="preserve"> MÚJ 3 – 01 </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IČO</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6</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7</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7</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DIČ</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2003E1" w:rsidP="005D1C9C">
          <w:pPr>
            <w:pStyle w:val="Zkladntext"/>
            <w:ind w:left="0" w:right="-143"/>
            <w:contextualSpacing/>
            <w:rPr>
              <w:color w:val="000000" w:themeColor="text1"/>
              <w:sz w:val="24"/>
            </w:rPr>
          </w:pPr>
          <w:r>
            <w:rPr>
              <w:color w:val="000000" w:themeColor="text1"/>
              <w:sz w:val="24"/>
            </w:rPr>
            <w:t>2</w:t>
          </w:r>
        </w:p>
      </w:tc>
    </w:tr>
  </w:tbl>
  <w:p w:rsidR="00BE61B2" w:rsidRPr="00051A53" w:rsidRDefault="00BE61B2" w:rsidP="00051A53">
    <w:pPr>
      <w:pStyle w:val="Zkladntext"/>
      <w:ind w:left="0" w:right="-143"/>
      <w:contextualSpacing/>
      <w:rPr>
        <w:color w:val="808080" w:themeColor="background1" w:themeShade="8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0"/>
  </w:num>
  <w:num w:numId="4">
    <w:abstractNumId w:val="6"/>
  </w:num>
  <w:num w:numId="5">
    <w:abstractNumId w:val="4"/>
  </w:num>
  <w:num w:numId="6">
    <w:abstractNumId w:val="15"/>
  </w:num>
  <w:num w:numId="7">
    <w:abstractNumId w:val="3"/>
  </w:num>
  <w:num w:numId="8">
    <w:abstractNumId w:val="9"/>
  </w:num>
  <w:num w:numId="9">
    <w:abstractNumId w:val="12"/>
  </w:num>
  <w:num w:numId="10">
    <w:abstractNumId w:val="16"/>
  </w:num>
  <w:num w:numId="11">
    <w:abstractNumId w:val="13"/>
  </w:num>
  <w:num w:numId="12">
    <w:abstractNumId w:val="15"/>
  </w:num>
  <w:num w:numId="13">
    <w:abstractNumId w:val="14"/>
  </w:num>
  <w:num w:numId="14">
    <w:abstractNumId w:val="2"/>
  </w:num>
  <w:num w:numId="15">
    <w:abstractNumId w:val="11"/>
  </w:num>
  <w:num w:numId="16">
    <w:abstractNumId w:val="5"/>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1B2"/>
    <w:rsid w:val="00001E1F"/>
    <w:rsid w:val="00002AB6"/>
    <w:rsid w:val="00024675"/>
    <w:rsid w:val="00051A53"/>
    <w:rsid w:val="00085DCC"/>
    <w:rsid w:val="000A7F05"/>
    <w:rsid w:val="001910C9"/>
    <w:rsid w:val="001C1C51"/>
    <w:rsid w:val="001F77AE"/>
    <w:rsid w:val="002003E1"/>
    <w:rsid w:val="00250F80"/>
    <w:rsid w:val="002E5D8A"/>
    <w:rsid w:val="00402678"/>
    <w:rsid w:val="00424B76"/>
    <w:rsid w:val="004F187D"/>
    <w:rsid w:val="005D1C9C"/>
    <w:rsid w:val="008A4FF4"/>
    <w:rsid w:val="00956FFD"/>
    <w:rsid w:val="009A573F"/>
    <w:rsid w:val="009B2293"/>
    <w:rsid w:val="00A150BE"/>
    <w:rsid w:val="00A23465"/>
    <w:rsid w:val="00A35CAA"/>
    <w:rsid w:val="00A54AAB"/>
    <w:rsid w:val="00A7208C"/>
    <w:rsid w:val="00AA2A1B"/>
    <w:rsid w:val="00B32561"/>
    <w:rsid w:val="00B6656B"/>
    <w:rsid w:val="00BE61B2"/>
    <w:rsid w:val="00C31195"/>
    <w:rsid w:val="00D00C53"/>
    <w:rsid w:val="00D02DC4"/>
    <w:rsid w:val="00D52B8D"/>
    <w:rsid w:val="00D563D7"/>
    <w:rsid w:val="00E751B7"/>
    <w:rsid w:val="00E91949"/>
    <w:rsid w:val="00EC1CF9"/>
    <w:rsid w:val="00F14DD7"/>
    <w:rsid w:val="00F2361D"/>
    <w:rsid w:val="00F30842"/>
    <w:rsid w:val="00FB08C2"/>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Pracovn__h_rok_programu_Microsoft_Excel_97-20032.xls"/><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Pracovn__h_rok_programu_Microsoft_Excel_97-20034.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oleObject" Target="embeddings/Pracovn__h_rok_programu_Microsoft_Excel_97-2003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Pracovn__h_rok_programu_Microsoft_Excel_97-20033.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F35D0-3A26-48A3-B4E4-8A5684A0B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1864</Words>
  <Characters>10630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ntb</cp:lastModifiedBy>
  <cp:revision>7</cp:revision>
  <cp:lastPrinted>2017-03-15T14:55:00Z</cp:lastPrinted>
  <dcterms:created xsi:type="dcterms:W3CDTF">2017-03-03T13:10:00Z</dcterms:created>
  <dcterms:modified xsi:type="dcterms:W3CDTF">2017-03-15T14:55:00Z</dcterms:modified>
</cp:coreProperties>
</file>