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487" w:rsidRDefault="009A1487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</w:t>
      </w:r>
    </w:p>
    <w:p w:rsidR="009A1487" w:rsidRDefault="009A1487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Všeobecné údaje</w:t>
      </w:r>
    </w:p>
    <w:p w:rsidR="009A1487" w:rsidRDefault="009A148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9A1487" w:rsidRDefault="009A148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Názov právnickej osoby a jej sídlo alebo meno a priezvisko fyzickej osoby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87"/>
      </w:tblGrid>
      <w:tr w:rsidR="009A1487">
        <w:trPr>
          <w:trHeight w:val="355"/>
        </w:trPr>
        <w:tc>
          <w:tcPr>
            <w:tcW w:w="8187" w:type="dxa"/>
            <w:vAlign w:val="center"/>
          </w:tcPr>
          <w:p w:rsidR="009A1487" w:rsidRDefault="009A148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NORSIM  s.r.o., Holubičia 4, 940 77  Nové Zámky</w:t>
            </w:r>
          </w:p>
        </w:tc>
      </w:tr>
    </w:tbl>
    <w:p w:rsidR="009A1487" w:rsidRDefault="009A1487">
      <w:pPr>
        <w:pStyle w:val="ListParagraph"/>
        <w:jc w:val="both"/>
        <w:rPr>
          <w:rFonts w:ascii="Times New Roman" w:hAnsi="Times New Roman" w:cs="Times New Roman"/>
        </w:rPr>
      </w:pPr>
    </w:p>
    <w:p w:rsidR="009A1487" w:rsidRDefault="009A148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 konsolidovanom celku, a to</w:t>
      </w:r>
    </w:p>
    <w:p w:rsidR="009A1487" w:rsidRDefault="009A148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obchodné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  <w:spacing w:val="-1"/>
        </w:rPr>
        <w:t>meno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</w:rPr>
        <w:t>a sídlo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  <w:spacing w:val="-1"/>
        </w:rPr>
        <w:t>konsolidujúcej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  <w:spacing w:val="-1"/>
        </w:rPr>
        <w:t>účtovnej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  <w:spacing w:val="-1"/>
        </w:rPr>
        <w:t>jednotky,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</w:rPr>
        <w:t>ktorá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  <w:spacing w:val="-1"/>
        </w:rPr>
        <w:t>zostavuje</w:t>
      </w:r>
      <w:r>
        <w:rPr>
          <w:rFonts w:ascii="Times New Roman" w:hAnsi="Times New Roman" w:cs="Times New Roman"/>
          <w:spacing w:val="71"/>
        </w:rPr>
        <w:t xml:space="preserve"> </w:t>
      </w:r>
      <w:r>
        <w:rPr>
          <w:rFonts w:ascii="Times New Roman" w:hAnsi="Times New Roman" w:cs="Times New Roman"/>
        </w:rPr>
        <w:t xml:space="preserve">konsolidovanú účtovnú </w:t>
      </w:r>
      <w:r>
        <w:rPr>
          <w:rFonts w:ascii="Times New Roman" w:hAnsi="Times New Roman" w:cs="Times New Roman"/>
          <w:spacing w:val="-1"/>
        </w:rPr>
        <w:t>závierku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 xml:space="preserve">za tú skupinu účtovných </w:t>
      </w:r>
      <w:r>
        <w:rPr>
          <w:rFonts w:ascii="Times New Roman" w:hAnsi="Times New Roman" w:cs="Times New Roman"/>
          <w:spacing w:val="-1"/>
        </w:rPr>
        <w:t>jednotiek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konsolidovaného</w:t>
      </w:r>
      <w:r>
        <w:rPr>
          <w:rFonts w:ascii="Times New Roman" w:hAnsi="Times New Roman" w:cs="Times New Roman"/>
          <w:spacing w:val="53"/>
        </w:rPr>
        <w:t xml:space="preserve"> </w:t>
      </w:r>
      <w:r>
        <w:rPr>
          <w:rFonts w:ascii="Times New Roman" w:hAnsi="Times New Roman" w:cs="Times New Roman"/>
        </w:rPr>
        <w:t>celku,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  <w:spacing w:val="-1"/>
        </w:rPr>
        <w:t>ktorého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súčasťou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je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aj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  <w:spacing w:val="-1"/>
        </w:rPr>
        <w:t>účtovná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jednotka;</w:t>
      </w:r>
      <w:r>
        <w:rPr>
          <w:rFonts w:ascii="Times New Roman" w:hAnsi="Times New Roman" w:cs="Times New Roman"/>
          <w:spacing w:val="10"/>
        </w:rPr>
        <w:t xml:space="preserve"> </w:t>
      </w:r>
      <w:r>
        <w:rPr>
          <w:rFonts w:ascii="Times New Roman" w:hAnsi="Times New Roman" w:cs="Times New Roman"/>
        </w:rPr>
        <w:t>uvádza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  <w:spacing w:val="-1"/>
        </w:rPr>
        <w:t>aj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obchodné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  <w:spacing w:val="-1"/>
        </w:rPr>
        <w:t>meno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</w:rPr>
        <w:t>sídlo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</w:rPr>
        <w:t>účtovnej</w:t>
      </w:r>
      <w:r>
        <w:rPr>
          <w:rFonts w:ascii="Times New Roman" w:hAnsi="Times New Roman" w:cs="Times New Roman"/>
          <w:spacing w:val="-1"/>
        </w:rPr>
        <w:t xml:space="preserve"> jednotky,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1"/>
        </w:rPr>
        <w:t xml:space="preserve">ktorá </w:t>
      </w:r>
      <w:r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  <w:spacing w:val="-1"/>
        </w:rPr>
        <w:t>bezprostredne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1"/>
        </w:rPr>
        <w:t>konsolidujúcou</w:t>
      </w:r>
      <w:r>
        <w:rPr>
          <w:rFonts w:ascii="Times New Roman" w:hAnsi="Times New Roman" w:cs="Times New Roman"/>
        </w:rPr>
        <w:t xml:space="preserve"> účtovnou </w:t>
      </w:r>
      <w:r>
        <w:rPr>
          <w:rFonts w:ascii="Times New Roman" w:hAnsi="Times New Roman" w:cs="Times New Roman"/>
          <w:spacing w:val="-1"/>
        </w:rPr>
        <w:t>jednotkou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12"/>
      </w:tblGrid>
      <w:tr w:rsidR="009A1487">
        <w:trPr>
          <w:trHeight w:val="368"/>
        </w:trPr>
        <w:tc>
          <w:tcPr>
            <w:tcW w:w="9212" w:type="dxa"/>
            <w:vAlign w:val="center"/>
          </w:tcPr>
          <w:p w:rsidR="009A1487" w:rsidRDefault="009A148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negatívne</w:t>
            </w:r>
          </w:p>
        </w:tc>
      </w:tr>
    </w:tbl>
    <w:p w:rsidR="009A1487" w:rsidRDefault="009A1487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9A1487" w:rsidRDefault="009A148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9A1487" w:rsidRDefault="009A148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8 zákona obchodné meno a sídlo materskej účtovnej jednotky zostavujúcej konsolidovanú účtovnú závierku podľa osobitných predpisov</w:t>
      </w:r>
      <w:r>
        <w:rPr>
          <w:rFonts w:ascii="Times New Roman" w:hAnsi="Times New Roman" w:cs="Times New Roman"/>
          <w:spacing w:val="-1"/>
          <w:sz w:val="10"/>
          <w:szCs w:val="10"/>
        </w:rPr>
        <w:t>,</w:t>
      </w:r>
      <w:r>
        <w:rPr>
          <w:rFonts w:ascii="Times New Roman" w:hAnsi="Times New Roman" w:cs="Times New Roman"/>
          <w:spacing w:val="-1"/>
          <w:position w:val="11"/>
          <w:sz w:val="10"/>
          <w:szCs w:val="10"/>
        </w:rPr>
        <w:t>4)</w:t>
      </w:r>
      <w:r>
        <w:rPr>
          <w:rFonts w:ascii="Times New Roman" w:hAnsi="Times New Roman" w:cs="Times New Roman"/>
          <w:spacing w:val="-1"/>
          <w:sz w:val="16"/>
          <w:szCs w:val="16"/>
        </w:rPr>
        <w:t xml:space="preserve">  </w:t>
      </w:r>
    </w:p>
    <w:p w:rsidR="009A1487" w:rsidRDefault="009A148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12 zákona obchodné meno a sídlo dcérskych účtovných jednotiek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12"/>
      </w:tblGrid>
      <w:tr w:rsidR="009A1487">
        <w:trPr>
          <w:trHeight w:val="350"/>
        </w:trPr>
        <w:tc>
          <w:tcPr>
            <w:tcW w:w="9212" w:type="dxa"/>
            <w:vAlign w:val="center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negatívne</w:t>
            </w:r>
          </w:p>
        </w:tc>
      </w:tr>
    </w:tbl>
    <w:p w:rsidR="009A1487" w:rsidRDefault="009A1487">
      <w:pPr>
        <w:ind w:left="1080"/>
        <w:jc w:val="both"/>
        <w:rPr>
          <w:rFonts w:ascii="Times New Roman" w:hAnsi="Times New Roman" w:cs="Times New Roman"/>
        </w:rPr>
      </w:pPr>
    </w:p>
    <w:p w:rsidR="009A1487" w:rsidRDefault="009A148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Priemerný prepočítaný počet zamestnancov:</w:t>
      </w:r>
      <w:r>
        <w:rPr>
          <w:rFonts w:ascii="Times New Roman" w:hAnsi="Times New Roman" w:cs="Times New Roman"/>
        </w:rPr>
        <w:tab/>
        <w:t>0</w:t>
      </w:r>
      <w:r>
        <w:rPr>
          <w:rFonts w:ascii="Times New Roman" w:hAnsi="Times New Roman" w:cs="Times New Roman"/>
          <w:bdr w:val="single" w:sz="4" w:space="0" w:color="auto"/>
        </w:rPr>
        <w:t xml:space="preserve">     </w:t>
      </w:r>
    </w:p>
    <w:p w:rsidR="009A1487" w:rsidRDefault="009A1487">
      <w:pPr>
        <w:rPr>
          <w:rFonts w:ascii="Times New Roman" w:hAnsi="Times New Roman" w:cs="Times New Roman"/>
        </w:rPr>
      </w:pPr>
    </w:p>
    <w:p w:rsidR="009A1487" w:rsidRDefault="009A1487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II</w:t>
      </w:r>
    </w:p>
    <w:p w:rsidR="009A1487" w:rsidRDefault="009A1487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 o prijatých postupoch</w:t>
      </w:r>
    </w:p>
    <w:p w:rsidR="009A1487" w:rsidRDefault="009A1487">
      <w:pPr>
        <w:pStyle w:val="ListParagraph"/>
        <w:numPr>
          <w:ilvl w:val="0"/>
          <w:numId w:val="4"/>
        </w:numPr>
        <w:spacing w:after="60"/>
        <w:ind w:left="714" w:hanging="35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Informácia, či je účtovná závierka zostavená za splnenia predpokladu, že účtovná jednotka bude nepretržite pokračovať vo svojej činnosti: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áno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9A1487" w:rsidRDefault="009A1487">
      <w:pPr>
        <w:pStyle w:val="ListParagraph"/>
        <w:spacing w:after="60"/>
        <w:ind w:left="714"/>
        <w:jc w:val="both"/>
        <w:rPr>
          <w:rFonts w:ascii="Times New Roman" w:hAnsi="Times New Roman" w:cs="Times New Roman"/>
          <w:b/>
          <w:bCs/>
        </w:rPr>
      </w:pPr>
    </w:p>
    <w:p w:rsidR="009A1487" w:rsidRDefault="009A148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jednotlivých položiek majetku a záväzkov, a to</w:t>
      </w:r>
    </w:p>
    <w:p w:rsidR="009A1487" w:rsidRDefault="009A1487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dlhodobého nehmotného majetku, dlhodobého hmotného a dlhodobého finančného majetku: </w:t>
      </w:r>
      <w:r>
        <w:rPr>
          <w:rFonts w:ascii="Times New Roman" w:hAnsi="Times New Roman" w:cs="Times New Roman"/>
          <w:b/>
          <w:bCs/>
          <w:i/>
          <w:iCs/>
        </w:rPr>
        <w:t>obstarávacou cenou</w:t>
      </w:r>
    </w:p>
    <w:p w:rsidR="009A1487" w:rsidRDefault="009A1487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zásob obstaraných kúpou, zásob vytvorených vlastnou činnosťou: </w:t>
      </w:r>
      <w:r>
        <w:rPr>
          <w:rFonts w:ascii="Times New Roman" w:hAnsi="Times New Roman" w:cs="Times New Roman"/>
          <w:b/>
          <w:bCs/>
          <w:i/>
          <w:iCs/>
        </w:rPr>
        <w:t>obstarávacou cenou</w:t>
      </w:r>
    </w:p>
    <w:p w:rsidR="009A1487" w:rsidRDefault="009A1487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pohľadávok: </w:t>
      </w:r>
      <w:r>
        <w:rPr>
          <w:rFonts w:ascii="Times New Roman" w:hAnsi="Times New Roman" w:cs="Times New Roman"/>
          <w:b/>
          <w:bCs/>
          <w:i/>
          <w:iCs/>
        </w:rPr>
        <w:t>menovitou hodnotou</w:t>
      </w:r>
    </w:p>
    <w:p w:rsidR="009A1487" w:rsidRDefault="009A1487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krátkodobého finančného majetku: </w:t>
      </w:r>
      <w:r>
        <w:rPr>
          <w:rFonts w:ascii="Times New Roman" w:hAnsi="Times New Roman" w:cs="Times New Roman"/>
          <w:b/>
          <w:bCs/>
          <w:i/>
          <w:iCs/>
        </w:rPr>
        <w:t>menovitou hodnotou</w:t>
      </w:r>
    </w:p>
    <w:p w:rsidR="009A1487" w:rsidRDefault="009A1487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záväzkov vrátane rezerv, dlhopisov, pôžičiek a úverov: </w:t>
      </w:r>
      <w:r>
        <w:rPr>
          <w:rFonts w:ascii="Times New Roman" w:hAnsi="Times New Roman" w:cs="Times New Roman"/>
          <w:b/>
          <w:bCs/>
          <w:i/>
          <w:iCs/>
        </w:rPr>
        <w:t>menovitou hodnotou</w:t>
      </w:r>
    </w:p>
    <w:p w:rsidR="009A1487" w:rsidRDefault="009A1487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derivátových operácií: </w:t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9A1487" w:rsidRDefault="009A1487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9A1487" w:rsidRDefault="009A148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zostavenia odpisového plánu pre jednotlivé druhy dlhodobého hmotného majetku a dlhodobého nehmotného majetku, pričom sa uvádza doba opisovania, použité sadzby odpisov a odpisové metódy pri určení odpisov:</w:t>
      </w:r>
    </w:p>
    <w:p w:rsidR="009A1487" w:rsidRDefault="009A1487">
      <w:pPr>
        <w:pStyle w:val="ListParagraph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Odpisový plán účtovných odpisov hmotného majetku sa zostavil interným predpisom tak, že za základ sa vzali metódy používané pri vyčísľovaní daňových odpisov.</w:t>
      </w:r>
    </w:p>
    <w:p w:rsidR="009A1487" w:rsidRDefault="009A1487">
      <w:pPr>
        <w:pStyle w:val="ListParagraph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Odpisové sadzby pre účtovné a daňové odpisy podnikateľa sa rovnajú. Ročný účtovný odpis sa odlišoval od daňového odpisu podľa počtu mesiacov od zaradenia majetku do konca roka. Od 1.1.2012 sa uplatňuje aj u daňových odpisov pomerná časť z ročného odpisu.</w:t>
      </w:r>
    </w:p>
    <w:p w:rsidR="009A1487" w:rsidRDefault="009A1487">
      <w:pPr>
        <w:pStyle w:val="ListParagraph"/>
        <w:jc w:val="both"/>
        <w:rPr>
          <w:rFonts w:ascii="Times New Roman" w:hAnsi="Times New Roman" w:cs="Times New Roman"/>
          <w:i/>
          <w:iCs/>
        </w:rPr>
      </w:pPr>
    </w:p>
    <w:p w:rsidR="009A1487" w:rsidRDefault="009A1487">
      <w:pPr>
        <w:pStyle w:val="ListParagraph"/>
        <w:jc w:val="both"/>
        <w:rPr>
          <w:rFonts w:ascii="Times New Roman" w:hAnsi="Times New Roman" w:cs="Times New Roman"/>
          <w:i/>
          <w:i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32"/>
        <w:gridCol w:w="1843"/>
        <w:gridCol w:w="1649"/>
        <w:gridCol w:w="1895"/>
      </w:tblGrid>
      <w:tr w:rsidR="009A1487">
        <w:trPr>
          <w:trHeight w:val="340"/>
        </w:trPr>
        <w:tc>
          <w:tcPr>
            <w:tcW w:w="2932" w:type="dxa"/>
            <w:vAlign w:val="center"/>
          </w:tcPr>
          <w:p w:rsidR="009A1487" w:rsidRDefault="009A148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Druh majetku</w:t>
            </w:r>
          </w:p>
        </w:tc>
        <w:tc>
          <w:tcPr>
            <w:tcW w:w="1843" w:type="dxa"/>
            <w:vAlign w:val="center"/>
          </w:tcPr>
          <w:p w:rsidR="009A1487" w:rsidRDefault="009A148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Doba odpisovania</w:t>
            </w:r>
          </w:p>
        </w:tc>
        <w:tc>
          <w:tcPr>
            <w:tcW w:w="1649" w:type="dxa"/>
            <w:vAlign w:val="center"/>
          </w:tcPr>
          <w:p w:rsidR="009A1487" w:rsidRDefault="009A148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Sadzba odpisov</w:t>
            </w:r>
          </w:p>
        </w:tc>
        <w:tc>
          <w:tcPr>
            <w:tcW w:w="1895" w:type="dxa"/>
            <w:vAlign w:val="center"/>
          </w:tcPr>
          <w:p w:rsidR="009A1487" w:rsidRDefault="009A148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Odpisová metóda</w:t>
            </w:r>
          </w:p>
        </w:tc>
      </w:tr>
      <w:tr w:rsidR="009A1487">
        <w:trPr>
          <w:trHeight w:val="340"/>
        </w:trPr>
        <w:tc>
          <w:tcPr>
            <w:tcW w:w="2932" w:type="dxa"/>
            <w:vAlign w:val="center"/>
          </w:tcPr>
          <w:p w:rsidR="009A1487" w:rsidRDefault="009A148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9A1487" w:rsidRDefault="009A148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  <w:bookmarkStart w:id="0" w:name="_GoBack"/>
            <w:bookmarkEnd w:id="0"/>
          </w:p>
        </w:tc>
        <w:tc>
          <w:tcPr>
            <w:tcW w:w="1649" w:type="dxa"/>
            <w:vAlign w:val="center"/>
          </w:tcPr>
          <w:p w:rsidR="009A1487" w:rsidRDefault="009A148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95" w:type="dxa"/>
            <w:vAlign w:val="center"/>
          </w:tcPr>
          <w:p w:rsidR="009A1487" w:rsidRDefault="009A148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9A1487">
        <w:trPr>
          <w:trHeight w:val="340"/>
        </w:trPr>
        <w:tc>
          <w:tcPr>
            <w:tcW w:w="2932" w:type="dxa"/>
            <w:vAlign w:val="center"/>
          </w:tcPr>
          <w:p w:rsidR="009A1487" w:rsidRDefault="009A148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  <w:vAlign w:val="center"/>
          </w:tcPr>
          <w:p w:rsidR="009A1487" w:rsidRDefault="009A148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9" w:type="dxa"/>
            <w:vAlign w:val="center"/>
          </w:tcPr>
          <w:p w:rsidR="009A1487" w:rsidRDefault="009A148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95" w:type="dxa"/>
            <w:vAlign w:val="center"/>
          </w:tcPr>
          <w:p w:rsidR="009A1487" w:rsidRDefault="009A148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9A1487">
        <w:trPr>
          <w:trHeight w:val="340"/>
        </w:trPr>
        <w:tc>
          <w:tcPr>
            <w:tcW w:w="2932" w:type="dxa"/>
            <w:vAlign w:val="center"/>
          </w:tcPr>
          <w:p w:rsidR="009A1487" w:rsidRDefault="009A148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  <w:vAlign w:val="center"/>
          </w:tcPr>
          <w:p w:rsidR="009A1487" w:rsidRDefault="009A148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9" w:type="dxa"/>
            <w:vAlign w:val="center"/>
          </w:tcPr>
          <w:p w:rsidR="009A1487" w:rsidRDefault="009A148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95" w:type="dxa"/>
            <w:vAlign w:val="center"/>
          </w:tcPr>
          <w:p w:rsidR="009A1487" w:rsidRDefault="009A148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9A1487">
        <w:trPr>
          <w:trHeight w:val="340"/>
        </w:trPr>
        <w:tc>
          <w:tcPr>
            <w:tcW w:w="2932" w:type="dxa"/>
            <w:vAlign w:val="center"/>
          </w:tcPr>
          <w:p w:rsidR="009A1487" w:rsidRDefault="009A148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  <w:vAlign w:val="center"/>
          </w:tcPr>
          <w:p w:rsidR="009A1487" w:rsidRDefault="009A148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9" w:type="dxa"/>
            <w:vAlign w:val="center"/>
          </w:tcPr>
          <w:p w:rsidR="009A1487" w:rsidRDefault="009A148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95" w:type="dxa"/>
            <w:vAlign w:val="center"/>
          </w:tcPr>
          <w:p w:rsidR="009A1487" w:rsidRDefault="009A148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:rsidR="009A1487" w:rsidRDefault="009A1487">
      <w:pPr>
        <w:pStyle w:val="ListParagraph"/>
        <w:jc w:val="both"/>
        <w:rPr>
          <w:rFonts w:ascii="Times New Roman" w:hAnsi="Times New Roman" w:cs="Times New Roman"/>
          <w:i/>
          <w:iCs/>
        </w:rPr>
      </w:pPr>
    </w:p>
    <w:p w:rsidR="009A1487" w:rsidRDefault="009A148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Zmeny účtovných zásad a zmeny účtovných metód s uvedením dôvodu týchto zmien a vyčíslením ich vplyvu na finančnú hodnota majetku, záväzkov, základného imania a výsledku hospodárenia účtovnej jednotky:</w:t>
      </w:r>
    </w:p>
    <w:p w:rsidR="009A1487" w:rsidRDefault="009A1487">
      <w:pPr>
        <w:pStyle w:val="ListParagraph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Účtovné metódy a účtovné zásady sú aplikované v zmysle platného zákona o účtovníctve a postupov účtovania pre podnikateľov účtujúcich v podvojnom účtovníctve.</w:t>
      </w:r>
    </w:p>
    <w:p w:rsidR="009A1487" w:rsidRDefault="009A1487">
      <w:pPr>
        <w:pStyle w:val="ListParagraph"/>
        <w:jc w:val="both"/>
        <w:rPr>
          <w:rFonts w:ascii="Times New Roman" w:hAnsi="Times New Roman" w:cs="Times New Roman"/>
          <w:i/>
          <w:iCs/>
        </w:rPr>
      </w:pPr>
    </w:p>
    <w:p w:rsidR="009A1487" w:rsidRDefault="009A148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o dotáciách a ich oceňovanie v účtovníctve:    </w:t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9A1487" w:rsidRDefault="009A1487">
      <w:pPr>
        <w:pStyle w:val="ListParagraph"/>
        <w:jc w:val="both"/>
        <w:rPr>
          <w:rFonts w:ascii="Times New Roman" w:hAnsi="Times New Roman" w:cs="Times New Roman"/>
        </w:rPr>
      </w:pPr>
    </w:p>
    <w:p w:rsidR="009A1487" w:rsidRDefault="009A148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o účtovaní významných opráv chýb minulých účtovných období v bežnom účtovnom období s uvedením vplyvu na nerozdelený zisku minulých rokov alebo neuhradenú stratu minulých rokov; súčasne sa môže uviesť aj účtovanie nevýznamných chýb minulých účtovných období s uvedením vplyvu na výsledok hospodárenia bežného účtovného obdobia:   </w:t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9A1487" w:rsidRDefault="009A1487">
      <w:pPr>
        <w:jc w:val="both"/>
        <w:rPr>
          <w:rFonts w:ascii="Times New Roman" w:hAnsi="Times New Roman" w:cs="Times New Roman"/>
        </w:rPr>
      </w:pPr>
    </w:p>
    <w:p w:rsidR="009A1487" w:rsidRDefault="009A1487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III</w:t>
      </w:r>
    </w:p>
    <w:p w:rsidR="009A1487" w:rsidRDefault="009A148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Informácie, ktoré vysvetľujú a dopĺňajú súvahu a výkaz ziskov a strát</w:t>
      </w:r>
    </w:p>
    <w:p w:rsidR="009A1487" w:rsidRDefault="009A1487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pohrôm:   </w:t>
      </w:r>
    </w:p>
    <w:p w:rsidR="009A1487" w:rsidRDefault="009A1487">
      <w:pPr>
        <w:pStyle w:val="ListParagraph"/>
        <w:ind w:firstLine="696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9A1487" w:rsidRDefault="009A1487">
      <w:pPr>
        <w:pStyle w:val="ListParagraph"/>
        <w:jc w:val="both"/>
        <w:rPr>
          <w:rFonts w:ascii="Times New Roman" w:hAnsi="Times New Roman" w:cs="Times New Roman"/>
        </w:rPr>
      </w:pPr>
    </w:p>
    <w:p w:rsidR="009A1487" w:rsidRDefault="009A1487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záväzkoch, a to</w:t>
      </w:r>
    </w:p>
    <w:p w:rsidR="009A1487" w:rsidRDefault="009A1487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záväzkov so zostatkovou dobou splatnosti dlhšou ako päť rokov,</w:t>
      </w:r>
    </w:p>
    <w:p w:rsidR="009A1487" w:rsidRDefault="009A1487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zabezpečených záväzkov, opis a spôsoby zabezpečenia záväzkov.</w:t>
      </w:r>
    </w:p>
    <w:p w:rsidR="009A1487" w:rsidRDefault="009A1487">
      <w:pPr>
        <w:pStyle w:val="ListParagraph"/>
        <w:ind w:left="1080" w:firstLine="336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9A1487" w:rsidRDefault="009A1487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9A1487" w:rsidRDefault="009A1487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akciách, a to</w:t>
      </w:r>
    </w:p>
    <w:p w:rsidR="009A1487" w:rsidRDefault="009A1487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dôvode nadobudnutia vlastných akcií počas účtovného obdobia</w:t>
      </w:r>
    </w:p>
    <w:p w:rsidR="009A1487" w:rsidRDefault="009A1487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informáciách, ktorými sú</w:t>
      </w:r>
    </w:p>
    <w:p w:rsidR="009A1487" w:rsidRDefault="009A1487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imaní.</w:t>
      </w:r>
    </w:p>
    <w:p w:rsidR="009A1487" w:rsidRDefault="009A1487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hodnota, za ktorú sa vlastné akcie počas účtovné obdobia nadobudli a počet a hodnota, za ktorú sa vlastné akcie počas účtovné obdobia previedli na inú osobu</w:t>
      </w:r>
    </w:p>
    <w:p w:rsidR="009A1487" w:rsidRDefault="009A1487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počte, menovitej hodnote a hodnote, za ktorú sa vlastné akcie nadobudli a ktoré účtovná jednotka má v držbe k poslednému dňu účtovného obdobia; uvádza sa aj ich percentuálny podiel na upísanom základnom imaní.</w:t>
      </w:r>
    </w:p>
    <w:p w:rsidR="009A1487" w:rsidRDefault="009A1487">
      <w:pPr>
        <w:pStyle w:val="ListParagraph"/>
        <w:ind w:left="1080" w:firstLine="3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9A1487" w:rsidRDefault="009A1487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9A1487" w:rsidRDefault="009A1487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orgánoch účtovnej jednotky, a to</w:t>
      </w:r>
    </w:p>
    <w:p w:rsidR="009A1487" w:rsidRDefault="009A1487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výške jednotlivých druhov záruk alebo iných zabezpečení poskytnutých pre členov štatutárneho orgánu, dozorného orgánu a iného orgánu účtovnej jednotky, a to v členení za jednotlivé orgány,</w:t>
      </w:r>
    </w:p>
    <w:p w:rsidR="009A1487" w:rsidRDefault="009A1487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pôžičkách poskytnutých členom štatutárneho orgánu, dozorného orgánu a iného orgánu účtovnej jednotky a to</w:t>
      </w:r>
    </w:p>
    <w:p w:rsidR="009A1487" w:rsidRDefault="009A1487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poskytnutých pôžičiek k poslednému dňu účtovného obdobia v členení za jednotlivé orgány</w:t>
      </w:r>
    </w:p>
    <w:p w:rsidR="009A1487" w:rsidRDefault="009A1487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splatených pôžičiek k poslednému dňu účtovného obdobia v členení za jednotlivé orgány</w:t>
      </w:r>
    </w:p>
    <w:p w:rsidR="009A1487" w:rsidRDefault="009A1487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odpustených pôžičiek a odpísaných pôžičiek k poslednému dňu účtovného obdobia v členení za jednotlivé orgány</w:t>
      </w:r>
    </w:p>
    <w:p w:rsidR="009A1487" w:rsidRDefault="009A1487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hlavných podmienkach, na základe ktorých im boli záruky alebo iné zabezpečenie a pôžičky poskytnuté; pri pôžičkách sa uvádzajú úrokové sadzby,</w:t>
      </w:r>
    </w:p>
    <w:p w:rsidR="009A1487" w:rsidRDefault="009A1487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použitých finančných prostriedkov alebo iného plnenia na súkromné účely členmi štatutárneho orgánu, dozorného orgánu a iného orgánu účtovnej jednotky, ktoré je potrebné vyúčtovať.</w:t>
      </w:r>
    </w:p>
    <w:p w:rsidR="009A1487" w:rsidRDefault="009A1487">
      <w:pPr>
        <w:pStyle w:val="ListParagraph"/>
        <w:ind w:left="1080" w:firstLine="336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9A1487" w:rsidRDefault="009A1487">
      <w:pPr>
        <w:pStyle w:val="ListParagraph"/>
        <w:ind w:left="1080" w:firstLine="336"/>
        <w:jc w:val="both"/>
        <w:rPr>
          <w:rFonts w:ascii="Times New Roman" w:hAnsi="Times New Roman" w:cs="Times New Roman"/>
        </w:rPr>
      </w:pPr>
    </w:p>
    <w:p w:rsidR="009A1487" w:rsidRDefault="009A1487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povinnostiach účtovnej jednotky, a to</w:t>
      </w:r>
    </w:p>
    <w:p w:rsidR="009A1487" w:rsidRDefault="009A1487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finančných povinností, ktoré sa nevykazujú v súvahe, ale sú významné na posúdenie finančnej situácie účtovnej jednotky, napríklad povinností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9A1487" w:rsidRDefault="009A1487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 podmienených záväzkov, ktorými sa rozumie</w:t>
      </w:r>
    </w:p>
    <w:p w:rsidR="009A1487" w:rsidRDefault="009A1487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9A1487" w:rsidRDefault="009A1487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existuje povinnosť, ktorá vznikla ako dôsledok minulej udalosti, ale ktorá sa nevykazuje v súvahe, pretože</w:t>
      </w:r>
    </w:p>
    <w:p w:rsidR="009A1487" w:rsidRDefault="009A1487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2a. nie je pravdepodobné, že na splnenie tejto povinnosti bude potrebný úbytok ekonomických úžitkov, alebo</w:t>
      </w:r>
    </w:p>
    <w:p w:rsidR="009A1487" w:rsidRDefault="009A1487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2b. výška tejto povinnosti sa nedá spoľahlivo oceniť,</w:t>
      </w:r>
    </w:p>
    <w:p w:rsidR="009A1487" w:rsidRDefault="009A1487">
      <w:pPr>
        <w:pStyle w:val="ListParagraph"/>
        <w:ind w:left="18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9A1487" w:rsidRDefault="009A1487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opise významných finančných povinností a významných podmienených záväzkov:</w:t>
      </w:r>
      <w:r>
        <w:rPr>
          <w:rFonts w:ascii="Times New Roman" w:hAnsi="Times New Roman" w:cs="Times New Roman"/>
          <w:b/>
          <w:bCs/>
          <w:i/>
          <w:iCs/>
        </w:rPr>
        <w:t xml:space="preserve"> negatívne</w:t>
      </w:r>
    </w:p>
    <w:p w:rsidR="009A1487" w:rsidRDefault="009A1487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finančných povinností a významných podmienených záväzkov voči dcérskej účtovnej jednotke a účtovnej jednotke s podstatným vplyvom: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9A1487" w:rsidRDefault="009A1487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opise </w:t>
      </w:r>
      <w:r>
        <w:rPr>
          <w:rFonts w:ascii="Times New Roman" w:hAnsi="Times New Roman" w:cs="Times New Roman"/>
          <w:b/>
          <w:bCs/>
        </w:rPr>
        <w:t>významných</w:t>
      </w:r>
      <w:r>
        <w:rPr>
          <w:rFonts w:ascii="Times New Roman" w:hAnsi="Times New Roman" w:cs="Times New Roman"/>
        </w:rPr>
        <w:t xml:space="preserve"> povinností účtovnej jednotky vyplývajúcich z dôchodkových programov pre zamestnancov: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9A1487" w:rsidRDefault="009A1487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9A1487" w:rsidRDefault="009A1487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udelení výlučného práva alebo osobitného práva, ktoré sa udelilo právo poskytovať služby vo verejnom záujme, pričom sa uvádza náhrada za túto činnosť v akejkoľvek forme, a ak sa zároveň vykonávajú aj iné činnosti, uvádzajú sa aj informácie o</w:t>
      </w:r>
    </w:p>
    <w:p w:rsidR="009A1487" w:rsidRDefault="009A1487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formách prijatej náhrady: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9A1487" w:rsidRDefault="009A1487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účtovných zásadách použitých pri prideľovaní nákladov a výnosov: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9A1487" w:rsidRDefault="009A1487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druhoch činností účtovnej jednotky: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9A1487" w:rsidRDefault="009A1487">
      <w:pPr>
        <w:jc w:val="both"/>
        <w:rPr>
          <w:rFonts w:ascii="Times New Roman" w:hAnsi="Times New Roman" w:cs="Times New Roman"/>
        </w:rPr>
      </w:pPr>
    </w:p>
    <w:p w:rsidR="009A1487" w:rsidRDefault="009A1487">
      <w:pPr>
        <w:rPr>
          <w:rFonts w:ascii="Times New Roman" w:hAnsi="Times New Roman" w:cs="Times New Roman"/>
        </w:rPr>
      </w:pPr>
      <w:r>
        <w:rPr>
          <w:rStyle w:val="FootnoteReference"/>
        </w:rPr>
        <w:footnoteReference w:id="1"/>
      </w:r>
    </w:p>
    <w:p w:rsidR="009A1487" w:rsidRDefault="009A1487">
      <w:pPr>
        <w:rPr>
          <w:rFonts w:ascii="Times New Roman" w:hAnsi="Times New Roman" w:cs="Times New Roman"/>
        </w:rPr>
      </w:pPr>
    </w:p>
    <w:p w:rsidR="009A1487" w:rsidRDefault="009A1487">
      <w:pPr>
        <w:rPr>
          <w:rFonts w:ascii="Times New Roman" w:hAnsi="Times New Roman" w:cs="Times New Roman"/>
        </w:rPr>
      </w:pPr>
    </w:p>
    <w:p w:rsidR="009A1487" w:rsidRDefault="009A1487">
      <w:pPr>
        <w:rPr>
          <w:rFonts w:ascii="Times New Roman" w:hAnsi="Times New Roman" w:cs="Times New Roman"/>
        </w:rPr>
      </w:pPr>
    </w:p>
    <w:p w:rsidR="009A1487" w:rsidRDefault="009A1487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zabezpečených záväzkoch podľa § 4 ods. 4 pism. e) druhého bodu opatrenia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36"/>
        <w:gridCol w:w="2092"/>
      </w:tblGrid>
      <w:tr w:rsidR="009A1487">
        <w:trPr>
          <w:trHeight w:val="284"/>
        </w:trPr>
        <w:tc>
          <w:tcPr>
            <w:tcW w:w="6836" w:type="dxa"/>
            <w:vAlign w:val="center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Formy zabezpečenia záväzku</w:t>
            </w:r>
          </w:p>
        </w:tc>
        <w:tc>
          <w:tcPr>
            <w:tcW w:w="2092" w:type="dxa"/>
            <w:vAlign w:val="center"/>
          </w:tcPr>
          <w:p w:rsidR="009A1487" w:rsidRDefault="009A148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Suma zabez. záväzku</w:t>
            </w:r>
          </w:p>
        </w:tc>
      </w:tr>
      <w:tr w:rsidR="009A1487">
        <w:trPr>
          <w:trHeight w:val="284"/>
        </w:trPr>
        <w:tc>
          <w:tcPr>
            <w:tcW w:w="6836" w:type="dxa"/>
            <w:vAlign w:val="center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ručením</w:t>
            </w:r>
          </w:p>
        </w:tc>
        <w:tc>
          <w:tcPr>
            <w:tcW w:w="2092" w:type="dxa"/>
            <w:vAlign w:val="center"/>
          </w:tcPr>
          <w:p w:rsidR="009A1487" w:rsidRDefault="009A148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A1487">
        <w:trPr>
          <w:trHeight w:val="284"/>
        </w:trPr>
        <w:tc>
          <w:tcPr>
            <w:tcW w:w="6836" w:type="dxa"/>
            <w:vAlign w:val="center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zmluvnou pokutou</w:t>
            </w:r>
          </w:p>
        </w:tc>
        <w:tc>
          <w:tcPr>
            <w:tcW w:w="2092" w:type="dxa"/>
            <w:vAlign w:val="center"/>
          </w:tcPr>
          <w:p w:rsidR="009A1487" w:rsidRDefault="009A148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A1487">
        <w:trPr>
          <w:trHeight w:val="284"/>
        </w:trPr>
        <w:tc>
          <w:tcPr>
            <w:tcW w:w="6836" w:type="dxa"/>
            <w:vAlign w:val="center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Zabezpečovací prevod práva</w:t>
            </w:r>
          </w:p>
        </w:tc>
        <w:tc>
          <w:tcPr>
            <w:tcW w:w="2092" w:type="dxa"/>
            <w:vAlign w:val="center"/>
          </w:tcPr>
          <w:p w:rsidR="009A1487" w:rsidRDefault="009A148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A1487">
        <w:trPr>
          <w:trHeight w:val="284"/>
        </w:trPr>
        <w:tc>
          <w:tcPr>
            <w:tcW w:w="6836" w:type="dxa"/>
            <w:vAlign w:val="center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Zabezpečovacie postúpenie pohľadávky</w:t>
            </w:r>
          </w:p>
        </w:tc>
        <w:tc>
          <w:tcPr>
            <w:tcW w:w="2092" w:type="dxa"/>
            <w:vAlign w:val="center"/>
          </w:tcPr>
          <w:p w:rsidR="009A1487" w:rsidRDefault="009A148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A1487">
        <w:trPr>
          <w:trHeight w:val="284"/>
        </w:trPr>
        <w:tc>
          <w:tcPr>
            <w:tcW w:w="6836" w:type="dxa"/>
            <w:vAlign w:val="center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Iná forma zabezpečenie</w:t>
            </w:r>
          </w:p>
        </w:tc>
        <w:tc>
          <w:tcPr>
            <w:tcW w:w="2092" w:type="dxa"/>
            <w:vAlign w:val="center"/>
          </w:tcPr>
          <w:p w:rsidR="009A1487" w:rsidRDefault="009A148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A1487">
        <w:trPr>
          <w:trHeight w:val="284"/>
        </w:trPr>
        <w:tc>
          <w:tcPr>
            <w:tcW w:w="6836" w:type="dxa"/>
            <w:vAlign w:val="center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Celková suma zabezpečených záväzkov</w:t>
            </w:r>
          </w:p>
        </w:tc>
        <w:tc>
          <w:tcPr>
            <w:tcW w:w="2092" w:type="dxa"/>
            <w:vAlign w:val="center"/>
          </w:tcPr>
          <w:p w:rsidR="009A1487" w:rsidRDefault="009A148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:rsidR="009A1487" w:rsidRDefault="009A1487">
      <w:pPr>
        <w:ind w:left="360"/>
        <w:rPr>
          <w:rFonts w:ascii="Times New Roman" w:hAnsi="Times New Roman" w:cs="Times New Roman"/>
        </w:rPr>
      </w:pPr>
    </w:p>
    <w:p w:rsidR="009A1487" w:rsidRDefault="009A1487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64"/>
        <w:gridCol w:w="1506"/>
        <w:gridCol w:w="1484"/>
        <w:gridCol w:w="1504"/>
        <w:gridCol w:w="1485"/>
        <w:gridCol w:w="1485"/>
      </w:tblGrid>
      <w:tr w:rsidR="009A1487">
        <w:tc>
          <w:tcPr>
            <w:tcW w:w="1464" w:type="dxa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 menovitá hodnota nadob. vlast. akcií počas účtovného obdobia</w:t>
            </w:r>
          </w:p>
        </w:tc>
        <w:tc>
          <w:tcPr>
            <w:tcW w:w="1506" w:type="dxa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 hodnota nadobudnutí a vlastných akcií počas účtov. obdobia</w:t>
            </w:r>
          </w:p>
        </w:tc>
        <w:tc>
          <w:tcPr>
            <w:tcW w:w="1484" w:type="dxa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Podiel na upísanom základnom imaní v %</w:t>
            </w:r>
          </w:p>
        </w:tc>
        <w:tc>
          <w:tcPr>
            <w:tcW w:w="1504" w:type="dxa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Menovitá hodnota prevedených vlast. akcií počas účtovného obdobia</w:t>
            </w:r>
          </w:p>
        </w:tc>
        <w:tc>
          <w:tcPr>
            <w:tcW w:w="1485" w:type="dxa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 hodnota prevedenia vlast. akcií počas účtovného obdobia</w:t>
            </w:r>
          </w:p>
        </w:tc>
        <w:tc>
          <w:tcPr>
            <w:tcW w:w="1485" w:type="dxa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Podiel na základnom imaní v %</w:t>
            </w:r>
          </w:p>
        </w:tc>
      </w:tr>
      <w:tr w:rsidR="009A1487">
        <w:trPr>
          <w:trHeight w:val="340"/>
        </w:trPr>
        <w:tc>
          <w:tcPr>
            <w:tcW w:w="1464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4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A1487">
        <w:trPr>
          <w:trHeight w:val="340"/>
        </w:trPr>
        <w:tc>
          <w:tcPr>
            <w:tcW w:w="1464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1487">
        <w:trPr>
          <w:trHeight w:val="340"/>
        </w:trPr>
        <w:tc>
          <w:tcPr>
            <w:tcW w:w="1464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A1487" w:rsidRDefault="009A1487">
      <w:pPr>
        <w:ind w:left="360"/>
        <w:rPr>
          <w:rFonts w:ascii="Times New Roman" w:hAnsi="Times New Roman" w:cs="Times New Roman"/>
        </w:rPr>
      </w:pPr>
    </w:p>
    <w:p w:rsidR="009A1487" w:rsidRDefault="009A1487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80"/>
        <w:gridCol w:w="2981"/>
        <w:gridCol w:w="2967"/>
      </w:tblGrid>
      <w:tr w:rsidR="009A1487">
        <w:tc>
          <w:tcPr>
            <w:tcW w:w="2980" w:type="dxa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 menovitá hodnota vlastných akcií držaných k poslednému dňu účtovného obdobia</w:t>
            </w:r>
          </w:p>
        </w:tc>
        <w:tc>
          <w:tcPr>
            <w:tcW w:w="2981" w:type="dxa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 hodnota nadobudnutia vlastných akcií držaných k poslednému dňu účtovného obdobia</w:t>
            </w:r>
          </w:p>
        </w:tc>
        <w:tc>
          <w:tcPr>
            <w:tcW w:w="2967" w:type="dxa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Podiel na upísanom základnom imaní v %</w:t>
            </w:r>
          </w:p>
        </w:tc>
      </w:tr>
      <w:tr w:rsidR="009A1487">
        <w:trPr>
          <w:trHeight w:val="340"/>
        </w:trPr>
        <w:tc>
          <w:tcPr>
            <w:tcW w:w="2980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1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7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A1487">
        <w:trPr>
          <w:trHeight w:val="340"/>
        </w:trPr>
        <w:tc>
          <w:tcPr>
            <w:tcW w:w="2980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1487">
        <w:trPr>
          <w:trHeight w:val="340"/>
        </w:trPr>
        <w:tc>
          <w:tcPr>
            <w:tcW w:w="2980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A1487" w:rsidRDefault="009A1487">
      <w:pPr>
        <w:ind w:left="360"/>
        <w:rPr>
          <w:rFonts w:ascii="Times New Roman" w:hAnsi="Times New Roman" w:cs="Times New Roman"/>
        </w:rPr>
      </w:pPr>
    </w:p>
    <w:p w:rsidR="009A1487" w:rsidRDefault="009A1487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poskytnutých pôžičkách, zárukách a iných plnení pre členov štatutárnych orgánov, správnych orgánov a dozorných orgánov podľa ô 4 ods. 4 písm. g) druhého bodu opatrenia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01"/>
        <w:gridCol w:w="850"/>
        <w:gridCol w:w="761"/>
        <w:gridCol w:w="709"/>
        <w:gridCol w:w="761"/>
        <w:gridCol w:w="850"/>
        <w:gridCol w:w="992"/>
      </w:tblGrid>
      <w:tr w:rsidR="009A1487">
        <w:trPr>
          <w:cantSplit/>
        </w:trPr>
        <w:tc>
          <w:tcPr>
            <w:tcW w:w="4001" w:type="dxa"/>
            <w:vMerge w:val="restart"/>
            <w:vAlign w:val="center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6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Orgány účtovnej jednotky</w:t>
            </w:r>
          </w:p>
        </w:tc>
      </w:tr>
      <w:tr w:rsidR="009A1487">
        <w:trPr>
          <w:cantSplit/>
        </w:trPr>
        <w:tc>
          <w:tcPr>
            <w:tcW w:w="4001" w:type="dxa"/>
            <w:vMerge/>
            <w:vAlign w:val="center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Štatutárny</w:t>
            </w:r>
          </w:p>
        </w:tc>
        <w:tc>
          <w:tcPr>
            <w:tcW w:w="1418" w:type="dxa"/>
            <w:gridSpan w:val="2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Správny</w:t>
            </w:r>
          </w:p>
        </w:tc>
        <w:tc>
          <w:tcPr>
            <w:tcW w:w="1842" w:type="dxa"/>
            <w:gridSpan w:val="2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Dozorný</w:t>
            </w:r>
          </w:p>
        </w:tc>
      </w:tr>
      <w:tr w:rsidR="009A1487">
        <w:trPr>
          <w:cantSplit/>
        </w:trPr>
        <w:tc>
          <w:tcPr>
            <w:tcW w:w="4001" w:type="dxa"/>
            <w:vMerge/>
            <w:vAlign w:val="center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850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992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</w:tr>
      <w:tr w:rsidR="009A1487">
        <w:trPr>
          <w:trHeight w:val="340"/>
        </w:trPr>
        <w:tc>
          <w:tcPr>
            <w:tcW w:w="4001" w:type="dxa"/>
            <w:vAlign w:val="center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850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1487">
        <w:trPr>
          <w:trHeight w:val="340"/>
        </w:trPr>
        <w:tc>
          <w:tcPr>
            <w:tcW w:w="4001" w:type="dxa"/>
            <w:vAlign w:val="center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850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A1487">
        <w:trPr>
          <w:trHeight w:val="340"/>
        </w:trPr>
        <w:tc>
          <w:tcPr>
            <w:tcW w:w="4001" w:type="dxa"/>
            <w:vAlign w:val="center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odpustených a odpísaných pôžičiek k poslednému dňu účtovného obdobia</w:t>
            </w:r>
          </w:p>
        </w:tc>
        <w:tc>
          <w:tcPr>
            <w:tcW w:w="850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A1487">
        <w:trPr>
          <w:trHeight w:val="340"/>
        </w:trPr>
        <w:tc>
          <w:tcPr>
            <w:tcW w:w="4001" w:type="dxa"/>
            <w:vAlign w:val="center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Poskytnuné preddavky na budúce mzdy</w:t>
            </w:r>
          </w:p>
        </w:tc>
        <w:tc>
          <w:tcPr>
            <w:tcW w:w="850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1487">
        <w:trPr>
          <w:trHeight w:val="340"/>
        </w:trPr>
        <w:tc>
          <w:tcPr>
            <w:tcW w:w="4001" w:type="dxa"/>
            <w:vAlign w:val="center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záruk podľa jednotlivých druhov záruk</w:t>
            </w:r>
          </w:p>
        </w:tc>
        <w:tc>
          <w:tcPr>
            <w:tcW w:w="850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A1487">
        <w:trPr>
          <w:trHeight w:val="340"/>
        </w:trPr>
        <w:tc>
          <w:tcPr>
            <w:tcW w:w="4001" w:type="dxa"/>
            <w:vAlign w:val="center"/>
          </w:tcPr>
          <w:p w:rsidR="009A1487" w:rsidRDefault="009A1487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záruky, garancie</w:t>
            </w:r>
          </w:p>
        </w:tc>
        <w:tc>
          <w:tcPr>
            <w:tcW w:w="850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A1487">
        <w:trPr>
          <w:trHeight w:val="340"/>
        </w:trPr>
        <w:tc>
          <w:tcPr>
            <w:tcW w:w="4001" w:type="dxa"/>
            <w:vAlign w:val="center"/>
          </w:tcPr>
          <w:p w:rsidR="009A1487" w:rsidRDefault="009A1487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ručenie</w:t>
            </w:r>
          </w:p>
        </w:tc>
        <w:tc>
          <w:tcPr>
            <w:tcW w:w="850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:rsidR="009A1487" w:rsidRDefault="009A1487">
      <w:pPr>
        <w:rPr>
          <w:rFonts w:ascii="Times New Roman" w:hAnsi="Times New Roman" w:cs="Times New Roman"/>
        </w:rPr>
      </w:pPr>
    </w:p>
    <w:sectPr w:rsidR="009A1487" w:rsidSect="009A1487">
      <w:headerReference w:type="default" r:id="rId7"/>
      <w:pgSz w:w="11906" w:h="16838"/>
      <w:pgMar w:top="1417" w:right="1417" w:bottom="1417" w:left="1417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487" w:rsidRDefault="009A1487">
      <w:pPr>
        <w:spacing w:after="0" w:line="240" w:lineRule="auto"/>
      </w:pPr>
      <w:r>
        <w:separator/>
      </w:r>
    </w:p>
  </w:endnote>
  <w:endnote w:type="continuationSeparator" w:id="0">
    <w:p w:rsidR="009A1487" w:rsidRDefault="009A1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487" w:rsidRDefault="009A1487">
      <w:pPr>
        <w:spacing w:after="0" w:line="240" w:lineRule="auto"/>
      </w:pPr>
      <w:r>
        <w:separator/>
      </w:r>
    </w:p>
  </w:footnote>
  <w:footnote w:type="continuationSeparator" w:id="0">
    <w:p w:rsidR="009A1487" w:rsidRDefault="009A1487">
      <w:pPr>
        <w:spacing w:after="0" w:line="240" w:lineRule="auto"/>
      </w:pPr>
      <w:r>
        <w:continuationSeparator/>
      </w:r>
    </w:p>
  </w:footnote>
  <w:footnote w:id="1">
    <w:p w:rsidR="009A1487" w:rsidRDefault="009A1487">
      <w:pPr>
        <w:pStyle w:val="FootnoteText"/>
        <w:jc w:val="both"/>
        <w:rPr>
          <w:sz w:val="16"/>
          <w:szCs w:val="16"/>
        </w:rPr>
      </w:pPr>
      <w:r>
        <w:rPr>
          <w:sz w:val="16"/>
          <w:szCs w:val="16"/>
        </w:rPr>
        <w:t>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</w:t>
      </w:r>
    </w:p>
    <w:p w:rsidR="009A1487" w:rsidRDefault="009A1487">
      <w:pPr>
        <w:pStyle w:val="FootnoteText"/>
        <w:jc w:val="both"/>
      </w:pPr>
      <w:r>
        <w:rPr>
          <w:sz w:val="16"/>
          <w:szCs w:val="16"/>
        </w:rPr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487" w:rsidRDefault="009A1487">
    <w:pPr>
      <w:pStyle w:val="Header"/>
      <w:rPr>
        <w:b/>
        <w:bCs/>
        <w:sz w:val="18"/>
        <w:szCs w:val="18"/>
      </w:rPr>
    </w:pPr>
    <w:r>
      <w:rPr>
        <w:b/>
        <w:bCs/>
        <w:sz w:val="18"/>
        <w:szCs w:val="18"/>
      </w:rPr>
      <w:t>Poznámky Úč MÚJ 3 – 01</w:t>
    </w:r>
    <w:r>
      <w:rPr>
        <w:b/>
        <w:bCs/>
        <w:sz w:val="18"/>
        <w:szCs w:val="18"/>
      </w:rPr>
      <w:tab/>
      <w:t>IČO: 45 314 616</w:t>
    </w:r>
    <w:r>
      <w:rPr>
        <w:rStyle w:val="ra"/>
        <w:rFonts w:ascii="Tahoma" w:hAnsi="Tahoma" w:cs="Tahoma"/>
        <w:b/>
        <w:bCs/>
      </w:rPr>
      <w:t xml:space="preserve"> </w:t>
    </w:r>
    <w:r>
      <w:rPr>
        <w:b/>
        <w:bCs/>
        <w:sz w:val="18"/>
        <w:szCs w:val="18"/>
      </w:rPr>
      <w:tab/>
      <w:t xml:space="preserve">DIČ: 2022928336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E603F"/>
    <w:multiLevelType w:val="hybridMultilevel"/>
    <w:tmpl w:val="B6EC2688"/>
    <w:lvl w:ilvl="0" w:tplc="9B56BC34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079B06F1"/>
    <w:multiLevelType w:val="hybridMultilevel"/>
    <w:tmpl w:val="092C2EBA"/>
    <w:lvl w:ilvl="0" w:tplc="8B3611F4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2">
    <w:nsid w:val="08E90312"/>
    <w:multiLevelType w:val="hybridMultilevel"/>
    <w:tmpl w:val="4B6035FE"/>
    <w:lvl w:ilvl="0" w:tplc="CC4E5BB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3">
    <w:nsid w:val="0D69391C"/>
    <w:multiLevelType w:val="hybridMultilevel"/>
    <w:tmpl w:val="B9A4697E"/>
    <w:lvl w:ilvl="0" w:tplc="2790493A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4">
    <w:nsid w:val="0E101C8A"/>
    <w:multiLevelType w:val="hybridMultilevel"/>
    <w:tmpl w:val="C0202ECE"/>
    <w:lvl w:ilvl="0" w:tplc="BDF887C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11243507"/>
    <w:multiLevelType w:val="hybridMultilevel"/>
    <w:tmpl w:val="E7ECE9DE"/>
    <w:lvl w:ilvl="0" w:tplc="6B249B44">
      <w:start w:val="4"/>
      <w:numFmt w:val="bullet"/>
      <w:lvlText w:val=""/>
      <w:lvlJc w:val="left"/>
      <w:pPr>
        <w:ind w:left="60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7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9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360" w:hanging="360"/>
      </w:pPr>
      <w:rPr>
        <w:rFonts w:ascii="Wingdings" w:hAnsi="Wingdings" w:cs="Wingdings" w:hint="default"/>
      </w:rPr>
    </w:lvl>
  </w:abstractNum>
  <w:abstractNum w:abstractNumId="6">
    <w:nsid w:val="11BA4BF2"/>
    <w:multiLevelType w:val="hybridMultilevel"/>
    <w:tmpl w:val="6964AD7C"/>
    <w:lvl w:ilvl="0" w:tplc="345C391C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7">
    <w:nsid w:val="1393271D"/>
    <w:multiLevelType w:val="hybridMultilevel"/>
    <w:tmpl w:val="591C204E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1CDC5279"/>
    <w:multiLevelType w:val="hybridMultilevel"/>
    <w:tmpl w:val="FC38B08A"/>
    <w:lvl w:ilvl="0" w:tplc="609A470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9">
    <w:nsid w:val="1E5304E1"/>
    <w:multiLevelType w:val="hybridMultilevel"/>
    <w:tmpl w:val="69986A4E"/>
    <w:lvl w:ilvl="0" w:tplc="B9A21838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0">
    <w:nsid w:val="2FB85A30"/>
    <w:multiLevelType w:val="hybridMultilevel"/>
    <w:tmpl w:val="BCD0E796"/>
    <w:lvl w:ilvl="0" w:tplc="281C31EE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1">
    <w:nsid w:val="36FA651C"/>
    <w:multiLevelType w:val="hybridMultilevel"/>
    <w:tmpl w:val="51189372"/>
    <w:lvl w:ilvl="0" w:tplc="951A944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12">
    <w:nsid w:val="3FA26D9C"/>
    <w:multiLevelType w:val="hybridMultilevel"/>
    <w:tmpl w:val="36AE04AE"/>
    <w:lvl w:ilvl="0" w:tplc="6BB45B6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13">
    <w:nsid w:val="46206AB9"/>
    <w:multiLevelType w:val="hybridMultilevel"/>
    <w:tmpl w:val="37D41DAE"/>
    <w:lvl w:ilvl="0" w:tplc="BF166118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4">
    <w:nsid w:val="5A1E0758"/>
    <w:multiLevelType w:val="hybridMultilevel"/>
    <w:tmpl w:val="2F203F84"/>
    <w:lvl w:ilvl="0" w:tplc="83747C98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5">
    <w:nsid w:val="676C6859"/>
    <w:multiLevelType w:val="hybridMultilevel"/>
    <w:tmpl w:val="DFEE2BD6"/>
    <w:lvl w:ilvl="0" w:tplc="E4BED668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6">
    <w:nsid w:val="7F595B41"/>
    <w:multiLevelType w:val="hybridMultilevel"/>
    <w:tmpl w:val="A1F0098C"/>
    <w:lvl w:ilvl="0" w:tplc="F5A41F1A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7">
    <w:nsid w:val="7FAE091B"/>
    <w:multiLevelType w:val="hybridMultilevel"/>
    <w:tmpl w:val="57FA911A"/>
    <w:lvl w:ilvl="0" w:tplc="732491C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14"/>
  </w:num>
  <w:num w:numId="6">
    <w:abstractNumId w:val="16"/>
  </w:num>
  <w:num w:numId="7">
    <w:abstractNumId w:val="8"/>
  </w:num>
  <w:num w:numId="8">
    <w:abstractNumId w:val="6"/>
  </w:num>
  <w:num w:numId="9">
    <w:abstractNumId w:val="2"/>
  </w:num>
  <w:num w:numId="10">
    <w:abstractNumId w:val="13"/>
  </w:num>
  <w:num w:numId="11">
    <w:abstractNumId w:val="11"/>
  </w:num>
  <w:num w:numId="12">
    <w:abstractNumId w:val="3"/>
  </w:num>
  <w:num w:numId="13">
    <w:abstractNumId w:val="12"/>
  </w:num>
  <w:num w:numId="14">
    <w:abstractNumId w:val="15"/>
  </w:num>
  <w:num w:numId="15">
    <w:abstractNumId w:val="10"/>
  </w:num>
  <w:num w:numId="16">
    <w:abstractNumId w:val="7"/>
  </w:num>
  <w:num w:numId="17">
    <w:abstractNumId w:val="5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1487"/>
    <w:rsid w:val="009A1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Tahoma" w:hAnsi="Tahoma" w:cs="Tahoma"/>
      <w:sz w:val="20"/>
      <w:szCs w:val="20"/>
      <w:lang w:val="sk-SK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FootnoteText">
    <w:name w:val="footnote text"/>
    <w:basedOn w:val="Normal"/>
    <w:link w:val="FootnoteTextChar"/>
    <w:uiPriority w:val="99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character" w:customStyle="1" w:styleId="ra">
    <w:name w:val="ra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6</Pages>
  <Words>1313</Words>
  <Characters>7486</Characters>
  <Application>Microsoft Office Outlook</Application>
  <DocSecurity>0</DocSecurity>
  <Lines>0</Lines>
  <Paragraphs>0</Paragraphs>
  <ScaleCrop>false</ScaleCrop>
  <Company>Your Company Name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Your User Name</dc:creator>
  <cp:keywords/>
  <dc:description/>
  <cp:lastModifiedBy> Virágova</cp:lastModifiedBy>
  <cp:revision>2</cp:revision>
  <dcterms:created xsi:type="dcterms:W3CDTF">2016-03-30T09:11:00Z</dcterms:created>
  <dcterms:modified xsi:type="dcterms:W3CDTF">2016-03-30T09:11:00Z</dcterms:modified>
</cp:coreProperties>
</file>