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2"/>
        <w:numPr>
          <w:ilvl w:val="0"/>
          <w:numId w:val="0"/>
        </w:numPr>
        <w:tabs>
          <w:tab w:val="left" w:pos="142" w:leader="none"/>
        </w:tabs>
        <w:spacing w:before="360" w:after="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adpis2"/>
        <w:numPr>
          <w:ilvl w:val="0"/>
          <w:numId w:val="0"/>
        </w:numPr>
        <w:tabs>
          <w:tab w:val="left" w:pos="142" w:leader="none"/>
        </w:tabs>
        <w:spacing w:before="360" w:after="6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31.12.2016</w:t>
      </w:r>
    </w:p>
    <w:p>
      <w:pPr>
        <w:pStyle w:val="Nadpis2"/>
        <w:numPr>
          <w:ilvl w:val="0"/>
          <w:numId w:val="0"/>
        </w:numPr>
        <w:tabs>
          <w:tab w:val="left" w:pos="567" w:leader="none"/>
        </w:tabs>
        <w:spacing w:before="360" w:after="60"/>
        <w:ind w:left="284" w:hanging="0"/>
        <w:rPr>
          <w:b/>
          <w:b/>
        </w:rPr>
      </w:pPr>
      <w:r>
        <w:rPr>
          <w:b/>
        </w:rPr>
      </w:r>
    </w:p>
    <w:p>
      <w:pPr>
        <w:pStyle w:val="Nadpis2"/>
        <w:numPr>
          <w:ilvl w:val="0"/>
          <w:numId w:val="0"/>
        </w:numPr>
        <w:tabs>
          <w:tab w:val="left" w:pos="567" w:leader="none"/>
        </w:tabs>
        <w:spacing w:before="360" w:after="60"/>
        <w:ind w:left="284" w:hanging="0"/>
        <w:rPr/>
      </w:pPr>
      <w:r>
        <w:rPr>
          <w:b/>
        </w:rPr>
        <w:t xml:space="preserve"> </w:t>
      </w:r>
      <w:r>
        <w:rPr>
          <w:b/>
        </w:rPr>
        <w:t>Názov účtovnej jednotky:</w:t>
      </w:r>
      <w:r>
        <w:rPr>
          <w:b/>
          <w:bCs/>
        </w:rPr>
        <w:t xml:space="preserve"> </w:t>
        <w:tab/>
        <w:tab/>
        <w:t>Nadácia Dobrý obchodník</w:t>
      </w:r>
    </w:p>
    <w:p>
      <w:pPr>
        <w:pStyle w:val="Normal"/>
        <w:spacing w:before="60" w:after="0"/>
        <w:ind w:left="2832" w:firstLine="708"/>
        <w:rPr/>
      </w:pPr>
      <w:r>
        <w:rPr/>
        <w:t>Bajkalská 25, 827 18 Bratislava</w:t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ind w:firstLine="89"/>
        <w:rPr/>
      </w:pPr>
      <w:r>
        <w:rPr>
          <w:u w:val="single"/>
        </w:rPr>
        <w:t>Všeobecné údaje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60"/>
        <w:ind w:left="709" w:hanging="425"/>
        <w:rPr/>
      </w:pPr>
      <w:r>
        <w:rPr>
          <w:b/>
        </w:rPr>
        <w:t>Zakladateľ účtovnej jednotky:</w:t>
        <w:tab/>
        <w:tab/>
      </w:r>
      <w:r>
        <w:rPr/>
        <w:t>Zväz obchodu a cestovného ruchu SR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60"/>
        <w:ind w:left="709" w:hanging="425"/>
        <w:rPr>
          <w:b/>
          <w:b/>
        </w:rPr>
      </w:pPr>
      <w:r>
        <w:rPr>
          <w:b/>
        </w:rPr>
        <w:t>Dátum založenia alebo zriadenia účtovnej jednotky:</w:t>
        <w:tab/>
      </w:r>
    </w:p>
    <w:p>
      <w:pPr>
        <w:pStyle w:val="Normal"/>
        <w:spacing w:before="120" w:after="0"/>
        <w:ind w:left="567" w:hanging="0"/>
        <w:rPr/>
      </w:pPr>
      <w:r>
        <w:rPr/>
        <w:t>Účtovná jednotka bola založená v súlade so zákonom č. 34/2002 Z.z. o nadáciách podpísaním nadačnej listiny dňa 11.12.2012.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120"/>
        <w:ind w:left="568" w:hanging="284"/>
        <w:rPr>
          <w:b/>
          <w:b/>
        </w:rPr>
      </w:pPr>
      <w:r>
        <w:rPr>
          <w:b/>
        </w:rPr>
        <w:t>Informácie o členoch štatutárnych orgánov, dozorných orgánov a iných orgánov účtovnej jednotky:</w:t>
      </w:r>
    </w:p>
    <w:p>
      <w:pPr>
        <w:pStyle w:val="Normal"/>
        <w:spacing w:before="120" w:after="120"/>
        <w:ind w:left="567" w:hanging="0"/>
        <w:rPr/>
      </w:pPr>
      <w:r>
        <w:rPr/>
        <w:t>Orgány účtovnej jednotky sú správca nadácie, správna rada a revízor.</w:t>
      </w:r>
    </w:p>
    <w:tbl>
      <w:tblPr>
        <w:tblW w:w="8940" w:type="dxa"/>
        <w:jc w:val="left"/>
        <w:tblInd w:w="421" w:type="dxa"/>
        <w:tblBorders>
          <w:top w:val="single" w:sz="4" w:space="0" w:color="00000A"/>
          <w:left w:val="single" w:sz="4" w:space="0" w:color="000001"/>
        </w:tblBorders>
        <w:tblCellMar>
          <w:top w:w="0" w:type="dxa"/>
          <w:left w:w="-5" w:type="dxa"/>
          <w:bottom w:w="0" w:type="dxa"/>
          <w:right w:w="0" w:type="dxa"/>
        </w:tblCellMar>
        <w:tblLook w:val="0000"/>
      </w:tblPr>
      <w:tblGrid>
        <w:gridCol w:w="2419"/>
        <w:gridCol w:w="6520"/>
      </w:tblGrid>
      <w:tr>
        <w:trPr>
          <w:trHeight w:val="227" w:hRule="atLeast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pacing w:before="20" w:after="20"/>
              <w:ind w:left="136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6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Mgr. Ľubica Schulczová - od 11.2.2016</w:t>
            </w:r>
          </w:p>
          <w:p>
            <w:pPr>
              <w:pStyle w:val="Normal"/>
              <w:widowControl w:val="false"/>
              <w:spacing w:before="20" w:after="20"/>
              <w:ind w:left="136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Veronika Hauswaldová – od 21.7.2015 do 11.2.2016</w:t>
            </w:r>
          </w:p>
        </w:tc>
      </w:tr>
      <w:tr>
        <w:trPr>
          <w:trHeight w:val="227" w:hRule="atLeast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pacing w:before="20" w:after="20"/>
              <w:ind w:left="136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6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Pavol Konštiak PhD – predseda</w:t>
            </w:r>
          </w:p>
        </w:tc>
      </w:tr>
      <w:tr>
        <w:trPr>
          <w:trHeight w:val="282" w:hRule="atLeast"/>
        </w:trPr>
        <w:tc>
          <w:tcPr>
            <w:tcW w:w="2419" w:type="dxa"/>
            <w:vMerge w:val="continue"/>
            <w:tcBorders>
              <w:left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6" w:right="-137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6" w:right="-137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František Ťapuš – člen</w:t>
            </w:r>
          </w:p>
        </w:tc>
      </w:tr>
      <w:tr>
        <w:trPr>
          <w:trHeight w:val="282" w:hRule="atLeast"/>
        </w:trPr>
        <w:tc>
          <w:tcPr>
            <w:tcW w:w="2419" w:type="dxa"/>
            <w:vMerge w:val="continue"/>
            <w:tcBorders>
              <w:left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6" w:right="-137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7" w:right="-137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Štefan Mácsadi - člen</w:t>
            </w:r>
          </w:p>
        </w:tc>
      </w:tr>
      <w:tr>
        <w:trPr>
          <w:trHeight w:val="282" w:hRule="atLeast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pacing w:before="20" w:after="20"/>
              <w:ind w:left="136" w:right="-137" w:hanging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pacing w:before="20" w:after="20"/>
              <w:ind w:left="137" w:right="-137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Judr. Martin Katriak </w:t>
            </w:r>
          </w:p>
        </w:tc>
      </w:tr>
    </w:tbl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jc w:val="left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8945"/>
      </w:tblGrid>
      <w:tr>
        <w:trPr/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Texttabukyvavo"/>
              <w:spacing w:before="60"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120"/>
        <w:ind w:left="568" w:hanging="284"/>
        <w:rPr>
          <w:b/>
          <w:b/>
        </w:rPr>
      </w:pPr>
      <w:r>
        <w:rPr>
          <w:b/>
        </w:rPr>
        <w:t>Počet zamestnancov účtovnej jednotky</w:t>
      </w:r>
    </w:p>
    <w:p>
      <w:pPr>
        <w:pStyle w:val="Normal"/>
        <w:spacing w:before="120" w:after="120"/>
        <w:ind w:left="567" w:hanging="0"/>
        <w:rPr/>
      </w:pPr>
      <w:r>
        <w:rPr/>
        <w:t>Účtovná jednotka nemá žiadnych zamestnancov.</w:t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480" w:after="120"/>
        <w:ind w:left="425" w:hanging="0"/>
        <w:rPr>
          <w:bCs/>
        </w:rPr>
      </w:pPr>
      <w:r>
        <w:rPr/>
        <w:t xml:space="preserve">Informácie o účtovných zásadách a účtovných metódach     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6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180" w:after="6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>
      <w:pPr>
        <w:pStyle w:val="Nadpis2"/>
        <w:numPr>
          <w:ilvl w:val="1"/>
          <w:numId w:val="2"/>
        </w:numPr>
        <w:spacing w:before="180" w:after="6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>
      <w:pPr>
        <w:pStyle w:val="Nadpis3"/>
        <w:numPr>
          <w:ilvl w:val="2"/>
          <w:numId w:val="2"/>
        </w:numPr>
        <w:ind w:left="851" w:hanging="284"/>
        <w:rPr/>
      </w:pPr>
      <w:r>
        <w:rPr/>
        <w:t>pohľadávky boli pri vzniku oceňované nominálnou hodnotou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ind w:left="681" w:hanging="114"/>
        <w:rPr/>
      </w:pPr>
      <w:r>
        <w:rPr/>
        <w:t>krátkodobý finančný majetok -</w:t>
      </w:r>
      <w:r>
        <w:rPr>
          <w:bCs/>
        </w:rPr>
        <w:t xml:space="preserve"> peňažné prostriedky a ceniny boli oceňované nominálnou hodnotou,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ind w:left="851" w:hanging="284"/>
        <w:rPr/>
      </w:pPr>
      <w:r>
        <w:rPr/>
        <w:t xml:space="preserve">záväzky vrátane rezerv </w:t>
      </w:r>
      <w:r>
        <w:rPr>
          <w:bCs/>
        </w:rPr>
        <w:t>boli pri vzniku oceňované nominálnou</w:t>
      </w:r>
      <w:r>
        <w:rPr/>
        <w:t xml:space="preserve"> hodnotou,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1"/>
          <w:numId w:val="2"/>
        </w:numPr>
        <w:spacing w:before="180" w:after="6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>
      <w:pPr>
        <w:pStyle w:val="Nadpis3"/>
        <w:numPr>
          <w:ilvl w:val="0"/>
          <w:numId w:val="0"/>
        </w:numPr>
        <w:spacing w:before="120" w:after="0"/>
        <w:ind w:left="567" w:hanging="0"/>
        <w:rPr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ind w:left="851" w:hanging="284"/>
        <w:rPr/>
      </w:pPr>
      <w:r>
        <w:rPr/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ind w:left="851" w:hanging="284"/>
        <w:rPr/>
      </w:pPr>
      <w:r>
        <w:rPr/>
        <w:t>Opravné položky účtovná jednotka netvorila</w:t>
      </w:r>
    </w:p>
    <w:p>
      <w:pPr>
        <w:pStyle w:val="Normal"/>
        <w:rPr/>
      </w:pPr>
      <w:r>
        <w:rPr/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240" w:after="120"/>
        <w:ind w:left="426" w:hanging="0"/>
        <w:rPr>
          <w:rFonts w:ascii="Calibri" w:hAnsi="Calibri" w:cs="Calibri"/>
          <w:bCs/>
          <w:sz w:val="18"/>
          <w:szCs w:val="18"/>
        </w:rPr>
      </w:pPr>
      <w:r>
        <w:rPr/>
        <w:t xml:space="preserve">Informácie, ktoré dopĺňajú a vysvetľujú údaje v súvahe 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120"/>
        <w:ind w:left="568" w:hanging="284"/>
        <w:rPr/>
      </w:pPr>
      <w:r>
        <w:rPr>
          <w:b/>
          <w:bCs/>
        </w:rPr>
        <w:t>Opis a výška zmien vlastných zdrojov krytia majetku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spacing w:before="240" w:after="60"/>
        <w:ind w:left="681" w:hanging="114"/>
        <w:rPr/>
      </w:pPr>
      <w:r>
        <w:rPr/>
        <w:t>Základné imanie</w:t>
      </w:r>
    </w:p>
    <w:tbl>
      <w:tblPr>
        <w:tblW w:w="9670" w:type="dxa"/>
        <w:jc w:val="left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4395"/>
        <w:gridCol w:w="2268"/>
        <w:gridCol w:w="3007"/>
      </w:tblGrid>
      <w:tr>
        <w:trPr>
          <w:trHeight w:val="462" w:hRule="atLeast"/>
          <w:cantSplit w:val="true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  <w:vAlign w:val="center"/>
          </w:tcPr>
          <w:p>
            <w:pPr>
              <w:pStyle w:val="Zhlavietabukystred"/>
              <w:keepNext/>
              <w:keepLines/>
              <w:suppressLineNumbers/>
              <w:spacing w:before="6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  <w:vAlign w:val="center"/>
          </w:tcPr>
          <w:p>
            <w:pPr>
              <w:pStyle w:val="Zhlavietabukystred"/>
              <w:keepNext/>
              <w:keepLines/>
              <w:suppressLineNumbers/>
              <w:spacing w:before="6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65" w:type="dxa"/>
            </w:tcMar>
            <w:vAlign w:val="center"/>
          </w:tcPr>
          <w:p>
            <w:pPr>
              <w:pStyle w:val="Zhlavietabukystred"/>
              <w:keepNext/>
              <w:keepLines/>
              <w:suppressLineNumbers/>
              <w:spacing w:before="6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>
        <w:trPr>
          <w:cantSplit w:val="true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Zhlavietabukyvavo"/>
              <w:spacing w:before="60" w:after="60"/>
              <w:rPr>
                <w:b/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Texttabukyvpravo"/>
              <w:spacing w:before="60" w:after="60"/>
              <w:rPr>
                <w:b/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Texttabukyvpravo"/>
              <w:spacing w:before="60" w:after="60"/>
              <w:rPr/>
            </w:pPr>
            <w:r>
              <w:rPr>
                <w:b/>
                <w:bCs/>
              </w:rPr>
              <w:t>6 640</w:t>
            </w:r>
          </w:p>
        </w:tc>
      </w:tr>
      <w:tr>
        <w:trPr>
          <w:cantSplit w:val="true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Zhlavietabukyvavo"/>
              <w:keepNext/>
              <w:keepLines w:val="false"/>
              <w:spacing w:before="60" w:after="0"/>
              <w:jc w:val="left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65" w:type="dxa"/>
            </w:tcMar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</w:rPr>
              <w:t>6 640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spacing w:before="240" w:after="60"/>
        <w:ind w:left="680" w:hanging="113"/>
        <w:rPr/>
      </w:pPr>
      <w:r>
        <w:rPr/>
        <w:t>Zmeny vlastných zdrojov v priebehu bežného účtovného obdobia</w:t>
      </w:r>
    </w:p>
    <w:tbl>
      <w:tblPr>
        <w:tblW w:w="9675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3123"/>
        <w:gridCol w:w="1416"/>
        <w:gridCol w:w="1276"/>
        <w:gridCol w:w="1276"/>
        <w:gridCol w:w="1049"/>
        <w:gridCol w:w="1534"/>
      </w:tblGrid>
      <w:tr>
        <w:trPr/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157" w:hRule="atLeast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spacing w:before="60" w:after="60"/>
              <w:jc w:val="left"/>
              <w:rPr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>
        <w:trPr>
          <w:trHeight w:val="264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60"/>
              <w:rPr/>
            </w:pPr>
            <w:r>
              <w:rPr>
                <w:bCs/>
                <w:sz w:val="18"/>
              </w:rPr>
              <w:t>6 640</w:t>
            </w:r>
          </w:p>
        </w:tc>
      </w:tr>
      <w:tr>
        <w:trPr>
          <w:trHeight w:val="223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i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>
        <w:trPr>
          <w:trHeight w:val="228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i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</w:t>
            </w:r>
            <w:r>
              <w:rPr>
                <w:i/>
                <w:sz w:val="18"/>
                <w:szCs w:val="21"/>
              </w:rPr>
              <w:t>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/>
            </w:r>
          </w:p>
        </w:tc>
      </w:tr>
      <w:tr>
        <w:trPr>
          <w:trHeight w:val="192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i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</w:t>
            </w:r>
            <w:r>
              <w:rPr>
                <w:i/>
                <w:sz w:val="18"/>
                <w:szCs w:val="21"/>
              </w:rPr>
              <w:t>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i/>
                <w:i/>
                <w:sz w:val="18"/>
              </w:rPr>
            </w:pPr>
            <w:r>
              <w:rPr>
                <w:bCs/>
                <w:i/>
                <w:sz w:val="18"/>
              </w:rPr>
            </w:r>
          </w:p>
        </w:tc>
      </w:tr>
      <w:tr>
        <w:trPr>
          <w:trHeight w:val="270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239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202" w:hRule="atLeast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60"/>
              <w:jc w:val="left"/>
              <w:rPr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>
        <w:trPr>
          <w:trHeight w:val="366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184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187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189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Nevysporiadaný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7 939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10 006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17 945</w:t>
            </w:r>
          </w:p>
        </w:tc>
      </w:tr>
      <w:tr>
        <w:trPr>
          <w:trHeight w:val="330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10 005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  <w:t>7 245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-10 005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-7 245</w:t>
            </w:r>
          </w:p>
        </w:tc>
      </w:tr>
      <w:tr>
        <w:trPr>
          <w:trHeight w:val="155" w:hRule="atLeast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before="60" w:after="60"/>
              <w:jc w:val="left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color w:val="0033CC"/>
              </w:rPr>
            </w:pPr>
            <w:r>
              <w:rPr>
                <w:b/>
                <w:bCs/>
                <w:sz w:val="18"/>
              </w:rPr>
              <w:t>24 584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6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6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7 245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6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color w:val="0033CC"/>
              </w:rPr>
            </w:pPr>
            <w:r>
              <w:rPr>
                <w:b/>
                <w:bCs/>
                <w:sz w:val="18"/>
              </w:rPr>
              <w:t>17 340</w:t>
            </w:r>
          </w:p>
        </w:tc>
      </w:tr>
    </w:tbl>
    <w:p>
      <w:pPr>
        <w:pStyle w:val="Nadpis3"/>
        <w:numPr>
          <w:ilvl w:val="0"/>
          <w:numId w:val="0"/>
        </w:numPr>
        <w:tabs>
          <w:tab w:val="left" w:pos="851" w:leader="none"/>
        </w:tabs>
        <w:spacing w:before="240" w:after="60"/>
        <w:ind w:left="851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spacing w:before="240" w:after="60"/>
        <w:ind w:left="851" w:hanging="284"/>
        <w:rPr>
          <w:sz w:val="16"/>
          <w:szCs w:val="16"/>
        </w:rPr>
      </w:pPr>
      <w:r>
        <w:rPr/>
        <w:t>informácia o rozdelení účtovného zisku vykázaného v minulom účtovnom období</w:t>
      </w:r>
    </w:p>
    <w:tbl>
      <w:tblPr>
        <w:tblW w:w="9723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7248"/>
        <w:gridCol w:w="2474"/>
      </w:tblGrid>
      <w:tr>
        <w:trPr>
          <w:trHeight w:val="417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/>
                <w:bCs/>
                <w:sz w:val="18"/>
              </w:rPr>
              <w:t>10 005</w:t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Prevod do nevysporiadaného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10 005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360" w:after="120"/>
        <w:ind w:left="568" w:hanging="284"/>
        <w:rPr/>
      </w:pPr>
      <w:r>
        <w:rPr>
          <w:b/>
          <w:bCs/>
        </w:rPr>
        <w:t>Opis a výška cudzích zdrojov</w:t>
      </w:r>
    </w:p>
    <w:p>
      <w:pPr>
        <w:pStyle w:val="Nadpis3"/>
        <w:numPr>
          <w:ilvl w:val="2"/>
          <w:numId w:val="2"/>
        </w:numPr>
        <w:tabs>
          <w:tab w:val="left" w:pos="851" w:leader="none"/>
        </w:tabs>
        <w:spacing w:before="240" w:after="60"/>
        <w:ind w:left="851" w:hanging="284"/>
        <w:rPr>
          <w:sz w:val="18"/>
          <w:szCs w:val="21"/>
        </w:rPr>
      </w:pPr>
      <w:r>
        <w:rPr/>
        <w:t>tvorba a použitie rezerv</w:t>
      </w:r>
    </w:p>
    <w:tbl>
      <w:tblPr>
        <w:tblW w:w="9624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3392"/>
        <w:gridCol w:w="1417"/>
        <w:gridCol w:w="1222"/>
        <w:gridCol w:w="1197"/>
        <w:gridCol w:w="1197"/>
        <w:gridCol w:w="1198"/>
      </w:tblGrid>
      <w:tr>
        <w:trPr>
          <w:trHeight w:val="345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>
        <w:trPr>
          <w:trHeight w:val="345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300</w:t>
            </w:r>
          </w:p>
        </w:tc>
      </w:tr>
      <w:tr>
        <w:trPr>
          <w:trHeight w:val="345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</w:tr>
      <w:tr>
        <w:trPr>
          <w:trHeight w:val="197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</w:tr>
      <w:tr>
        <w:trPr>
          <w:trHeight w:val="330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>
          <w:trHeight w:val="330" w:hRule="atLeast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jc w:val="left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</w:tr>
    </w:tbl>
    <w:p>
      <w:pPr>
        <w:pStyle w:val="Nadpis3"/>
        <w:numPr>
          <w:ilvl w:val="2"/>
          <w:numId w:val="2"/>
        </w:numPr>
        <w:tabs>
          <w:tab w:val="left" w:pos="851" w:leader="none"/>
        </w:tabs>
        <w:spacing w:before="360" w:after="60"/>
        <w:ind w:left="851" w:hanging="284"/>
        <w:rPr>
          <w:sz w:val="16"/>
          <w:szCs w:val="16"/>
        </w:rPr>
      </w:pPr>
      <w:r>
        <w:rPr/>
        <w:t>prehľad o výške záväzkov do lehoty splatnosti a po lehote splatnosti a podľa zostatkovej doby splatnosti</w:t>
      </w:r>
    </w:p>
    <w:tbl>
      <w:tblPr>
        <w:tblW w:w="9723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6124"/>
        <w:gridCol w:w="1702"/>
        <w:gridCol w:w="1897"/>
      </w:tblGrid>
      <w:tr>
        <w:trPr>
          <w:trHeight w:val="367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86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/>
            </w:r>
          </w:p>
        </w:tc>
      </w:tr>
      <w:tr>
        <w:trPr>
          <w:trHeight w:val="186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>
        <w:trPr>
          <w:trHeight w:val="186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</w:t>
            </w:r>
          </w:p>
        </w:tc>
      </w:tr>
      <w:tr>
        <w:trPr>
          <w:trHeight w:val="186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62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</w:tr>
      <w:tr>
        <w:trPr>
          <w:trHeight w:val="284" w:hRule="atLeast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/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</w:t>
            </w:r>
          </w:p>
        </w:tc>
      </w:tr>
    </w:tbl>
    <w:p>
      <w:pPr>
        <w:pStyle w:val="Nadpis3"/>
        <w:numPr>
          <w:ilvl w:val="0"/>
          <w:numId w:val="0"/>
        </w:numPr>
        <w:tabs>
          <w:tab w:val="left" w:pos="851" w:leader="none"/>
        </w:tabs>
        <w:spacing w:before="0" w:after="60"/>
        <w:ind w:left="851" w:hanging="0"/>
        <w:rPr/>
      </w:pPr>
      <w:r>
        <w:rPr/>
      </w:r>
    </w:p>
    <w:p>
      <w:pPr>
        <w:pStyle w:val="Nadpis3"/>
        <w:numPr>
          <w:ilvl w:val="0"/>
          <w:numId w:val="0"/>
        </w:numPr>
        <w:tabs>
          <w:tab w:val="left" w:pos="851" w:leader="none"/>
        </w:tabs>
        <w:spacing w:before="0" w:after="60"/>
        <w:ind w:left="851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120" w:after="120"/>
        <w:ind w:left="425" w:hanging="0"/>
        <w:rPr>
          <w:bCs/>
        </w:rPr>
      </w:pPr>
      <w:r>
        <w:rPr/>
        <w:t xml:space="preserve">Informácie, ktoré dopĺňajú a vysvetľujú údaje vo výkaze ziskov a strát 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5130"/>
        <w:gridCol w:w="2128"/>
        <w:gridCol w:w="2465"/>
      </w:tblGrid>
      <w:tr>
        <w:trPr>
          <w:trHeight w:val="2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  <w:t>21 340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  <w:t>21 104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</w:tr>
    </w:tbl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5130"/>
        <w:gridCol w:w="2128"/>
        <w:gridCol w:w="2465"/>
      </w:tblGrid>
      <w:tr>
        <w:trPr>
          <w:trHeight w:val="2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15 313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11 061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12 000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41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5130"/>
        <w:gridCol w:w="2128"/>
        <w:gridCol w:w="2465"/>
      </w:tblGrid>
      <w:tr>
        <w:trPr>
          <w:trHeight w:val="2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napToGrid w:val="false"/>
              <w:spacing w:before="60" w:after="0"/>
              <w:rPr>
                <w:bCs/>
                <w:sz w:val="18"/>
              </w:rPr>
            </w:pPr>
            <w:r>
              <w:rPr>
                <w:bCs/>
                <w:sz w:val="18"/>
              </w:rPr>
              <w:t>10 304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15 129</w:t>
            </w:r>
          </w:p>
        </w:tc>
      </w:tr>
      <w:tr>
        <w:trPr>
          <w:trHeight w:val="330" w:hRule="atLeast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jc w:val="left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/>
                <w:bCs/>
                <w:sz w:val="18"/>
              </w:rPr>
              <w:t>6 211</w:t>
            </w:r>
          </w:p>
        </w:tc>
      </w:tr>
    </w:tbl>
    <w:p>
      <w:pPr>
        <w:pStyle w:val="Nadpis2"/>
        <w:numPr>
          <w:ilvl w:val="0"/>
          <w:numId w:val="0"/>
        </w:numPr>
        <w:tabs>
          <w:tab w:val="left" w:pos="567" w:leader="none"/>
        </w:tabs>
        <w:spacing w:before="240" w:after="120"/>
        <w:ind w:left="568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jc w:val="left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3" w:type="dxa"/>
          <w:bottom w:w="0" w:type="dxa"/>
          <w:right w:w="28" w:type="dxa"/>
        </w:tblCellMar>
        <w:tblLook w:val="0000"/>
      </w:tblPr>
      <w:tblGrid>
        <w:gridCol w:w="5130"/>
        <w:gridCol w:w="2157"/>
      </w:tblGrid>
      <w:tr>
        <w:trPr>
          <w:trHeight w:val="375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Cs/>
                <w:sz w:val="18"/>
              </w:rPr>
              <w:t>300</w:t>
            </w:r>
          </w:p>
        </w:tc>
      </w:tr>
      <w:tr>
        <w:trPr>
          <w:trHeight w:val="330" w:hRule="atLeast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Texttabukyvpravo"/>
              <w:spacing w:before="60" w:after="0"/>
              <w:ind w:right="28" w:hanging="0"/>
              <w:jc w:val="right"/>
              <w:rPr/>
            </w:pPr>
            <w:r>
              <w:rPr>
                <w:b/>
                <w:bCs/>
                <w:sz w:val="18"/>
              </w:rPr>
              <w:t>300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120" w:after="120"/>
        <w:ind w:left="425" w:hanging="0"/>
        <w:rPr/>
      </w:pPr>
      <w:r>
        <w:rPr/>
        <w:t>Opis údajov na podsúvahových účtoch</w:t>
      </w:r>
    </w:p>
    <w:p>
      <w:pPr>
        <w:pStyle w:val="Nadpis2"/>
        <w:numPr>
          <w:ilvl w:val="0"/>
          <w:numId w:val="0"/>
        </w:numPr>
        <w:ind w:left="567" w:hanging="0"/>
        <w:rPr/>
      </w:pPr>
      <w:r>
        <w:rPr/>
        <w:t>Účtovná jednotka neeviduje žiadny majetok ani záväzky na podsúvahových účtoch</w:t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360" w:after="120"/>
        <w:ind w:left="425" w:hanging="0"/>
        <w:rPr/>
      </w:pPr>
      <w:r>
        <w:rPr/>
        <w:t>Ďalšie informácie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240" w:after="120"/>
        <w:ind w:left="568" w:hanging="284"/>
        <w:rPr/>
      </w:pPr>
      <w:r>
        <w:rPr/>
        <w:t>Účtovná jednotka nemá žiadne iné aktíva (podmienený majetok).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120" w:after="120"/>
        <w:ind w:left="568" w:hanging="284"/>
        <w:rPr/>
      </w:pPr>
      <w:r>
        <w:rPr/>
        <w:t>Účtovná jednotka nemá žiadne iné pasíva (podmienené záväzky).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120" w:after="120"/>
        <w:ind w:left="568" w:hanging="284"/>
        <w:rPr/>
      </w:pPr>
      <w:r>
        <w:rPr/>
        <w:t>Účtovná jednotka nemá žiadne iné finančné povinnosti, ktoré sa nesledujú v súvahe.</w:t>
      </w:r>
    </w:p>
    <w:p>
      <w:pPr>
        <w:pStyle w:val="Nadpis2"/>
        <w:numPr>
          <w:ilvl w:val="1"/>
          <w:numId w:val="2"/>
        </w:numPr>
        <w:tabs>
          <w:tab w:val="left" w:pos="567" w:leader="none"/>
        </w:tabs>
        <w:spacing w:before="120" w:after="120"/>
        <w:ind w:left="568" w:hanging="284"/>
        <w:rPr/>
      </w:pPr>
      <w:r>
        <w:rPr/>
        <w:t>Účtovná jednotka nemá vo vlastníctve ani v správe žiadne nehnuteľné kultúrne pamiatky.</w:t>
      </w:r>
    </w:p>
    <w:p>
      <w:pPr>
        <w:pStyle w:val="Nadpis1"/>
        <w:numPr>
          <w:ilvl w:val="0"/>
          <w:numId w:val="2"/>
        </w:numPr>
        <w:tabs>
          <w:tab w:val="left" w:pos="567" w:leader="none"/>
        </w:tabs>
        <w:spacing w:before="360" w:after="120"/>
        <w:ind w:left="425" w:hanging="0"/>
        <w:rPr/>
      </w:pPr>
      <w:r>
        <w:rPr/>
        <w:t>Nasledujúce udalosti po dni, ku ktorému sa zostavuje účtovná závierka</w:t>
      </w:r>
    </w:p>
    <w:p>
      <w:pPr>
        <w:pStyle w:val="Nadpis2"/>
        <w:numPr>
          <w:ilvl w:val="0"/>
          <w:numId w:val="0"/>
        </w:numPr>
        <w:tabs>
          <w:tab w:val="left" w:pos="567" w:leader="none"/>
        </w:tabs>
        <w:spacing w:before="120" w:after="120"/>
        <w:ind w:left="568" w:hanging="0"/>
        <w:rPr/>
      </w:pPr>
      <w:r>
        <w:rPr/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>
      <w:headerReference w:type="default" r:id="rId2"/>
      <w:footerReference w:type="default" r:id="rId3"/>
      <w:type w:val="nextPage"/>
      <w:pgSz w:w="11906" w:h="16838"/>
      <w:pgMar w:left="1418" w:right="851" w:header="709" w:top="1134" w:footer="709" w:bottom="1134" w:gutter="0"/>
      <w:pgNumType w:start="1" w:fmt="decimal"/>
      <w:formProt w:val="false"/>
      <w:textDirection w:val="lrTb"/>
      <w:docGrid w:type="default" w:linePitch="60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543" w:type="dxa"/>
      <w:jc w:val="left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000"/>
    </w:tblPr>
    <w:tblGrid>
      <w:gridCol w:w="2781"/>
      <w:gridCol w:w="2260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>
      <w:trPr>
        <w:trHeight w:val="330" w:hRule="atLeast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Hlavika"/>
            <w:rPr/>
          </w:pPr>
          <w:r>
            <w:rPr/>
            <w:t>Poznámky (Úč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Hlavika"/>
            <w:rPr/>
          </w:pPr>
          <w:r>
            <w:rPr/>
            <w:t xml:space="preserve">   </w:t>
          </w:r>
        </w:p>
      </w:tc>
      <w:tc>
        <w:tcPr>
          <w:tcW w:w="519" w:type="dxa"/>
          <w:tcBorders/>
          <w:shd w:color="auto" w:fill="auto" w:val="clear"/>
          <w:vAlign w:val="bottom"/>
        </w:tcPr>
        <w:p>
          <w:pPr>
            <w:pStyle w:val="Hlavika"/>
            <w:rPr/>
          </w:pPr>
          <w:r>
            <w:rPr/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 </w:t>
          </w:r>
          <w:r>
            <w:rPr/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rPr/>
          </w:pPr>
          <w:r>
            <w:rPr/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jc w:val="left"/>
            <w:rPr/>
          </w:pPr>
          <w:r>
            <w:rPr/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snapToGrid w:val="false"/>
            <w:jc w:val="center"/>
            <w:rPr/>
          </w:pPr>
          <w:r>
            <w:rPr/>
          </w: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snapToGrid w:val="false"/>
            <w:jc w:val="center"/>
            <w:rPr/>
          </w:pPr>
          <w:r>
            <w:rPr/>
          </w: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snapToGrid w:val="false"/>
            <w:jc w:val="center"/>
            <w:rPr/>
          </w:pPr>
          <w:r>
            <w:rPr/>
          </w: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  <w:insideH w:val="single" w:sz="4" w:space="0" w:color="000001"/>
            <w:insideV w:val="single" w:sz="4" w:space="0" w:color="000001"/>
          </w:tcBorders>
          <w:shd w:color="auto" w:fill="auto" w:val="clear"/>
          <w:tcMar>
            <w:left w:w="65" w:type="dxa"/>
          </w:tcMar>
          <w:vAlign w:val="center"/>
        </w:tcPr>
        <w:p>
          <w:pPr>
            <w:pStyle w:val="Hlavika"/>
            <w:snapToGrid w:val="false"/>
            <w:jc w:val="center"/>
            <w:rPr/>
          </w:pPr>
          <w:r>
            <w:rPr/>
          </w:r>
        </w:p>
      </w:tc>
    </w:tr>
  </w:tbl>
  <w:p>
    <w:pPr>
      <w:pStyle w:val="Hlavika"/>
      <w:rPr/>
    </w:pPr>
    <w:r>
      <w:rPr/>
      <w:t xml:space="preserve">   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sz w:val="24"/>
        <w:i w:val="false"/>
        <w:b/>
        <w:rFonts w:cs="Times New Roman"/>
      </w:rPr>
    </w:lvl>
    <w:lvl w:ilvl="1">
      <w:start w:val="1"/>
      <w:pStyle w:val="Nadpis2"/>
      <w:numFmt w:val="decimal"/>
      <w:lvlText w:val="%2."/>
      <w:lvlJc w:val="left"/>
      <w:pPr>
        <w:ind w:left="3063" w:hanging="227"/>
      </w:pPr>
      <w:rPr>
        <w:sz w:val="22"/>
        <w:i w:val="false"/>
        <w:b w:val="false"/>
        <w:rFonts w:cs="Times New Roman"/>
      </w:rPr>
    </w:lvl>
    <w:lvl w:ilvl="2">
      <w:start w:val="1"/>
      <w:pStyle w:val="Nadpis3"/>
      <w:numFmt w:val="lowerLetter"/>
      <w:lvlText w:val="%3)"/>
      <w:lvlJc w:val="left"/>
      <w:pPr>
        <w:ind w:left="2211" w:hanging="226"/>
      </w:pPr>
      <w:rPr>
        <w:sz w:val="22"/>
        <w:i w:val="false"/>
        <w:b w:val="false"/>
        <w:rFonts w:cs="Times New Roman"/>
        <w:color w:val="00000A"/>
      </w:rPr>
    </w:lvl>
    <w:lvl w:ilvl="3">
      <w:start w:val="1"/>
      <w:pStyle w:val="Nadpis4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pStyle w:val="Nadpis5"/>
      <w:numFmt w:val="decimal"/>
      <w:lvlText w:val="%1.%2.%3.%4.%5"/>
      <w:lvlJc w:val="left"/>
      <w:pPr>
        <w:ind w:left="0" w:hanging="0"/>
      </w:pPr>
    </w:lvl>
    <w:lvl w:ilvl="5">
      <w:start w:val="1"/>
      <w:pStyle w:val="Nadpis6"/>
      <w:numFmt w:val="decimal"/>
      <w:lvlText w:val="%1.%2.%3.%4.%5.%6"/>
      <w:lvlJc w:val="left"/>
      <w:pPr>
        <w:ind w:left="0" w:hanging="0"/>
      </w:pPr>
    </w:lvl>
    <w:lvl w:ilvl="6">
      <w:start w:val="1"/>
      <w:pStyle w:val="Nadpis7"/>
      <w:numFmt w:val="decimal"/>
      <w:lvlText w:val="%1.%2.%3.%4.%5.%6.%7"/>
      <w:lvlJc w:val="left"/>
      <w:pPr>
        <w:ind w:left="0" w:hanging="0"/>
      </w:pPr>
    </w:lvl>
    <w:lvl w:ilvl="7">
      <w:start w:val="1"/>
      <w:pStyle w:val="Nadpis8"/>
      <w:numFmt w:val="decimal"/>
      <w:lvlText w:val="%1.%2.%3.%4.%5.%6.%7.%8"/>
      <w:lvlJc w:val="left"/>
      <w:pPr>
        <w:ind w:left="0" w:hanging="0"/>
      </w:pPr>
    </w:lvl>
    <w:lvl w:ilvl="8">
      <w:start w:val="1"/>
      <w:pStyle w:val="Nadpis9"/>
      <w:numFmt w:val="decimal"/>
      <w:lvlText w:val="%1.%2.%3.%4.%5.%6.%7.%8.%9"/>
      <w:lvlJc w:val="left"/>
      <w:pPr>
        <w:ind w:left="0" w:hanging="0"/>
      </w:pPr>
    </w:lvl>
  </w:abstractNum>
  <w:abstractNum w:abstractNumId="2"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sz w:val="24"/>
        <w:i w:val="false"/>
        <w:b/>
        <w:rFonts w:cs="Times New Roman"/>
      </w:rPr>
    </w:lvl>
    <w:lvl w:ilvl="1">
      <w:start w:val="1"/>
      <w:numFmt w:val="decimal"/>
      <w:lvlText w:val="%2."/>
      <w:lvlJc w:val="left"/>
      <w:pPr>
        <w:ind w:left="3063" w:hanging="227"/>
      </w:pPr>
      <w:rPr>
        <w:sz w:val="16"/>
        <w:i w:val="false"/>
        <w:b/>
        <w:rFonts w:cs="Times New Roman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sz w:val="16"/>
        <w:i w:val="false"/>
        <w:b w:val="false"/>
        <w:rFonts w:cs="Times New Roman"/>
        <w:color w:val="00000A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hanging="0"/>
      </w:pPr>
    </w:lvl>
    <w:lvl w:ilvl="5">
      <w:start w:val="1"/>
      <w:numFmt w:val="decimal"/>
      <w:lvlText w:val="%1.%2.%3.%4.%5.%6"/>
      <w:lvlJc w:val="left"/>
      <w:pPr>
        <w:ind w:left="0" w:hanging="0"/>
      </w:pPr>
    </w:lvl>
    <w:lvl w:ilvl="6">
      <w:start w:val="1"/>
      <w:numFmt w:val="decimal"/>
      <w:lvlText w:val="%1.%2.%3.%4.%5.%6.%7"/>
      <w:lvlJc w:val="left"/>
      <w:pPr>
        <w:ind w:left="0" w:hanging="0"/>
      </w:pPr>
    </w:lvl>
    <w:lvl w:ilvl="7">
      <w:start w:val="1"/>
      <w:numFmt w:val="decimal"/>
      <w:lvlText w:val="%1.%2.%3.%4.%5.%6.%7.%8"/>
      <w:lvlJc w:val="left"/>
      <w:pPr>
        <w:ind w:left="0" w:hanging="0"/>
      </w:pPr>
    </w:lvl>
    <w:lvl w:ilvl="8">
      <w:start w:val="1"/>
      <w:numFmt w:val="decimal"/>
      <w:lvlText w:val="%1.%2.%3.%4.%5.%6.%7.%8.%9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false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0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520f2"/>
    <w:pPr>
      <w:widowControl/>
      <w:suppressAutoHyphens w:val="true"/>
      <w:bidi w:val="0"/>
      <w:jc w:val="both"/>
    </w:pPr>
    <w:rPr>
      <w:rFonts w:eastAsia="Calibri" w:ascii="Times New Roman" w:hAnsi="Times New Roman" w:cs="Times New Roman"/>
      <w:color w:val="auto"/>
      <w:sz w:val="22"/>
      <w:szCs w:val="22"/>
      <w:lang w:eastAsia="ar-SA" w:val="sk-SK" w:bidi="ar-SA"/>
    </w:rPr>
  </w:style>
  <w:style w:type="paragraph" w:styleId="Nadpis1">
    <w:name w:val="Heading 1"/>
    <w:basedOn w:val="Normal"/>
    <w:qFormat/>
    <w:rsid w:val="00e520f2"/>
    <w:pPr>
      <w:keepNext/>
      <w:keepLines/>
      <w:numPr>
        <w:ilvl w:val="0"/>
        <w:numId w:val="1"/>
      </w:numPr>
      <w:suppressLineNumbers/>
      <w:spacing w:before="360" w:after="60"/>
      <w:jc w:val="left"/>
      <w:outlineLvl w:val="0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al"/>
    <w:qFormat/>
    <w:rsid w:val="00e520f2"/>
    <w:pPr>
      <w:numPr>
        <w:ilvl w:val="1"/>
        <w:numId w:val="1"/>
      </w:numPr>
      <w:suppressLineNumbers/>
      <w:spacing w:before="120" w:after="60"/>
      <w:outlineLvl w:val="1"/>
      <w:outlineLvl w:val="1"/>
    </w:pPr>
    <w:rPr>
      <w:rFonts w:eastAsia="Times New Roman"/>
      <w:szCs w:val="20"/>
    </w:rPr>
  </w:style>
  <w:style w:type="paragraph" w:styleId="Nadpis3">
    <w:name w:val="Heading 3"/>
    <w:basedOn w:val="Normal"/>
    <w:qFormat/>
    <w:rsid w:val="00e520f2"/>
    <w:pPr>
      <w:numPr>
        <w:ilvl w:val="2"/>
        <w:numId w:val="1"/>
      </w:numPr>
      <w:suppressLineNumbers/>
      <w:spacing w:before="60" w:after="60"/>
      <w:outlineLvl w:val="2"/>
      <w:outlineLvl w:val="2"/>
    </w:pPr>
    <w:rPr>
      <w:rFonts w:eastAsia="Times New Roman"/>
      <w:szCs w:val="20"/>
    </w:rPr>
  </w:style>
  <w:style w:type="paragraph" w:styleId="Nadpis4">
    <w:name w:val="Heading 4"/>
    <w:basedOn w:val="Normal"/>
    <w:qFormat/>
    <w:rsid w:val="00e520f2"/>
    <w:pPr>
      <w:numPr>
        <w:ilvl w:val="3"/>
        <w:numId w:val="1"/>
      </w:numPr>
      <w:suppressLineNumbers/>
      <w:tabs>
        <w:tab w:val="left" w:pos="709" w:leader="none"/>
      </w:tabs>
      <w:spacing w:before="60" w:after="0"/>
      <w:outlineLvl w:val="3"/>
      <w:outlineLvl w:val="3"/>
    </w:pPr>
    <w:rPr>
      <w:rFonts w:eastAsia="Times New Roman"/>
      <w:szCs w:val="20"/>
    </w:rPr>
  </w:style>
  <w:style w:type="paragraph" w:styleId="Nadpis5">
    <w:name w:val="Heading 5"/>
    <w:basedOn w:val="Normal"/>
    <w:qFormat/>
    <w:rsid w:val="00e520f2"/>
    <w:pPr>
      <w:numPr>
        <w:ilvl w:val="4"/>
        <w:numId w:val="1"/>
      </w:numPr>
      <w:suppressLineNumbers/>
      <w:tabs>
        <w:tab w:val="left" w:pos="709" w:leader="none"/>
      </w:tabs>
      <w:spacing w:before="240" w:after="60"/>
      <w:outlineLvl w:val="4"/>
      <w:outlineLvl w:val="4"/>
    </w:pPr>
    <w:rPr>
      <w:rFonts w:eastAsia="Times New Roman"/>
      <w:szCs w:val="20"/>
    </w:rPr>
  </w:style>
  <w:style w:type="paragraph" w:styleId="Nadpis6">
    <w:name w:val="Heading 6"/>
    <w:basedOn w:val="Normal"/>
    <w:qFormat/>
    <w:rsid w:val="00e520f2"/>
    <w:pPr>
      <w:numPr>
        <w:ilvl w:val="5"/>
        <w:numId w:val="1"/>
      </w:numPr>
      <w:suppressLineNumbers/>
      <w:tabs>
        <w:tab w:val="left" w:pos="709" w:leader="none"/>
      </w:tabs>
      <w:spacing w:before="240" w:after="60"/>
      <w:outlineLvl w:val="5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al"/>
    <w:qFormat/>
    <w:rsid w:val="00e520f2"/>
    <w:pPr>
      <w:numPr>
        <w:ilvl w:val="6"/>
        <w:numId w:val="1"/>
      </w:numPr>
      <w:suppressLineNumbers/>
      <w:tabs>
        <w:tab w:val="left" w:pos="709" w:leader="none"/>
      </w:tabs>
      <w:spacing w:before="240" w:after="60"/>
      <w:outlineLvl w:val="6"/>
      <w:outlineLvl w:val="6"/>
    </w:pPr>
    <w:rPr>
      <w:rFonts w:ascii="Arial" w:hAnsi="Arial" w:eastAsia="Times New Roman"/>
      <w:sz w:val="20"/>
      <w:szCs w:val="20"/>
    </w:rPr>
  </w:style>
  <w:style w:type="paragraph" w:styleId="Nadpis8">
    <w:name w:val="Heading 8"/>
    <w:basedOn w:val="Normal"/>
    <w:qFormat/>
    <w:rsid w:val="00e520f2"/>
    <w:pPr>
      <w:numPr>
        <w:ilvl w:val="7"/>
        <w:numId w:val="1"/>
      </w:numPr>
      <w:suppressLineNumbers/>
      <w:tabs>
        <w:tab w:val="left" w:pos="709" w:leader="none"/>
      </w:tabs>
      <w:spacing w:before="240" w:after="60"/>
      <w:outlineLvl w:val="7"/>
      <w:outlineLvl w:val="7"/>
    </w:pPr>
    <w:rPr>
      <w:rFonts w:ascii="Arial" w:hAnsi="Arial" w:eastAsia="Times New Roman"/>
      <w:i/>
      <w:sz w:val="20"/>
      <w:szCs w:val="20"/>
    </w:rPr>
  </w:style>
  <w:style w:type="paragraph" w:styleId="Nadpis9">
    <w:name w:val="Heading 9"/>
    <w:basedOn w:val="Normal"/>
    <w:qFormat/>
    <w:rsid w:val="00e520f2"/>
    <w:pPr>
      <w:numPr>
        <w:ilvl w:val="8"/>
        <w:numId w:val="1"/>
      </w:numPr>
      <w:suppressLineNumbers/>
      <w:tabs>
        <w:tab w:val="left" w:pos="709" w:leader="none"/>
      </w:tabs>
      <w:spacing w:before="240" w:after="60"/>
      <w:outlineLvl w:val="8"/>
      <w:outlineLvl w:val="8"/>
    </w:pPr>
    <w:rPr>
      <w:rFonts w:ascii="Arial" w:hAnsi="Arial" w:eastAsia="Times New Roman"/>
      <w:b/>
      <w:i/>
      <w:sz w:val="1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1z1" w:customStyle="1">
    <w:name w:val="WW8Num1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1z2" w:customStyle="1">
    <w:name w:val="WW8Num1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1z3" w:customStyle="1">
    <w:name w:val="WW8Num1z3"/>
    <w:qFormat/>
    <w:rsid w:val="00e520f2"/>
    <w:rPr/>
  </w:style>
  <w:style w:type="character" w:styleId="WW8Num2z0" w:customStyle="1">
    <w:name w:val="WW8Num2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3z0" w:customStyle="1">
    <w:name w:val="WW8Num3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2z1" w:customStyle="1">
    <w:name w:val="WW8Num2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2z2" w:customStyle="1">
    <w:name w:val="WW8Num2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2z3" w:customStyle="1">
    <w:name w:val="WW8Num2z3"/>
    <w:qFormat/>
    <w:rsid w:val="00e520f2"/>
    <w:rPr/>
  </w:style>
  <w:style w:type="character" w:styleId="WW8Num3z1" w:customStyle="1">
    <w:name w:val="WW8Num3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3z2" w:customStyle="1">
    <w:name w:val="WW8Num3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3z3" w:customStyle="1">
    <w:name w:val="WW8Num3z3"/>
    <w:qFormat/>
    <w:rsid w:val="00e520f2"/>
    <w:rPr/>
  </w:style>
  <w:style w:type="character" w:styleId="WW8Num4z0" w:customStyle="1">
    <w:name w:val="WW8Num4z0"/>
    <w:qFormat/>
    <w:rsid w:val="00e520f2"/>
    <w:rPr/>
  </w:style>
  <w:style w:type="character" w:styleId="WW8Num4z1" w:customStyle="1">
    <w:name w:val="WW8Num4z1"/>
    <w:qFormat/>
    <w:rsid w:val="00e520f2"/>
    <w:rPr/>
  </w:style>
  <w:style w:type="character" w:styleId="WW8Num4z2" w:customStyle="1">
    <w:name w:val="WW8Num4z2"/>
    <w:qFormat/>
    <w:rsid w:val="00e520f2"/>
    <w:rPr/>
  </w:style>
  <w:style w:type="character" w:styleId="WW8Num4z3" w:customStyle="1">
    <w:name w:val="WW8Num4z3"/>
    <w:qFormat/>
    <w:rsid w:val="00e520f2"/>
    <w:rPr/>
  </w:style>
  <w:style w:type="character" w:styleId="WW8Num4z4" w:customStyle="1">
    <w:name w:val="WW8Num4z4"/>
    <w:qFormat/>
    <w:rsid w:val="00e520f2"/>
    <w:rPr/>
  </w:style>
  <w:style w:type="character" w:styleId="WW8Num4z5" w:customStyle="1">
    <w:name w:val="WW8Num4z5"/>
    <w:qFormat/>
    <w:rsid w:val="00e520f2"/>
    <w:rPr/>
  </w:style>
  <w:style w:type="character" w:styleId="WW8Num4z6" w:customStyle="1">
    <w:name w:val="WW8Num4z6"/>
    <w:qFormat/>
    <w:rsid w:val="00e520f2"/>
    <w:rPr/>
  </w:style>
  <w:style w:type="character" w:styleId="WW8Num4z7" w:customStyle="1">
    <w:name w:val="WW8Num4z7"/>
    <w:qFormat/>
    <w:rsid w:val="00e520f2"/>
    <w:rPr/>
  </w:style>
  <w:style w:type="character" w:styleId="WW8Num4z8" w:customStyle="1">
    <w:name w:val="WW8Num4z8"/>
    <w:qFormat/>
    <w:rsid w:val="00e520f2"/>
    <w:rPr/>
  </w:style>
  <w:style w:type="character" w:styleId="WW8Num5z0" w:customStyle="1">
    <w:name w:val="WW8Num5z0"/>
    <w:qFormat/>
    <w:rsid w:val="00e520f2"/>
    <w:rPr>
      <w:b/>
      <w:i w:val="false"/>
      <w:sz w:val="24"/>
    </w:rPr>
  </w:style>
  <w:style w:type="character" w:styleId="WW8Num5z1" w:customStyle="1">
    <w:name w:val="WW8Num5z1"/>
    <w:qFormat/>
    <w:rsid w:val="00e520f2"/>
    <w:rPr>
      <w:b w:val="false"/>
      <w:i w:val="false"/>
      <w:sz w:val="22"/>
    </w:rPr>
  </w:style>
  <w:style w:type="character" w:styleId="WW8Num5z2" w:customStyle="1">
    <w:name w:val="WW8Num5z2"/>
    <w:qFormat/>
    <w:rsid w:val="00e520f2"/>
    <w:rPr>
      <w:b w:val="false"/>
      <w:i w:val="false"/>
      <w:color w:val="002060"/>
      <w:sz w:val="22"/>
    </w:rPr>
  </w:style>
  <w:style w:type="character" w:styleId="WW8Num5z3" w:customStyle="1">
    <w:name w:val="WW8Num5z3"/>
    <w:qFormat/>
    <w:rsid w:val="00e520f2"/>
    <w:rPr/>
  </w:style>
  <w:style w:type="character" w:styleId="WW8Num6z0" w:customStyle="1">
    <w:name w:val="WW8Num6z0"/>
    <w:qFormat/>
    <w:rsid w:val="00e520f2"/>
    <w:rPr>
      <w:rFonts w:ascii="Symbol" w:hAnsi="Symbol" w:cs="Symbol"/>
    </w:rPr>
  </w:style>
  <w:style w:type="character" w:styleId="WW8Num7z0" w:customStyle="1">
    <w:name w:val="WW8Num7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7z1" w:customStyle="1">
    <w:name w:val="WW8Num7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7z2" w:customStyle="1">
    <w:name w:val="WW8Num7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7z3" w:customStyle="1">
    <w:name w:val="WW8Num7z3"/>
    <w:qFormat/>
    <w:rsid w:val="00e520f2"/>
    <w:rPr/>
  </w:style>
  <w:style w:type="character" w:styleId="WW8Num8z0" w:customStyle="1">
    <w:name w:val="WW8Num8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8z1" w:customStyle="1">
    <w:name w:val="WW8Num8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8z2" w:customStyle="1">
    <w:name w:val="WW8Num8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8z3" w:customStyle="1">
    <w:name w:val="WW8Num8z3"/>
    <w:qFormat/>
    <w:rsid w:val="00e520f2"/>
    <w:rPr/>
  </w:style>
  <w:style w:type="character" w:styleId="WW8Num9z0" w:customStyle="1">
    <w:name w:val="WW8Num9z0"/>
    <w:qFormat/>
    <w:rsid w:val="00e520f2"/>
    <w:rPr>
      <w:rFonts w:ascii="Times New Roman" w:hAnsi="Times New Roman" w:cs="Times New Roman"/>
      <w:b/>
      <w:i w:val="false"/>
      <w:sz w:val="24"/>
    </w:rPr>
  </w:style>
  <w:style w:type="character" w:styleId="WW8Num9z1" w:customStyle="1">
    <w:name w:val="WW8Num9z1"/>
    <w:qFormat/>
    <w:rsid w:val="00e520f2"/>
    <w:rPr>
      <w:rFonts w:ascii="Times New Roman" w:hAnsi="Times New Roman" w:cs="Times New Roman"/>
      <w:b w:val="false"/>
      <w:i w:val="false"/>
      <w:sz w:val="22"/>
    </w:rPr>
  </w:style>
  <w:style w:type="character" w:styleId="WW8Num9z2" w:customStyle="1">
    <w:name w:val="WW8Num9z2"/>
    <w:qFormat/>
    <w:rsid w:val="00e520f2"/>
    <w:rPr>
      <w:rFonts w:ascii="Times New Roman" w:hAnsi="Times New Roman" w:cs="Times New Roman"/>
      <w:b w:val="false"/>
      <w:i w:val="false"/>
      <w:color w:val="00000A"/>
      <w:sz w:val="22"/>
    </w:rPr>
  </w:style>
  <w:style w:type="character" w:styleId="WW8Num9z3" w:customStyle="1">
    <w:name w:val="WW8Num9z3"/>
    <w:qFormat/>
    <w:rsid w:val="00e520f2"/>
    <w:rPr/>
  </w:style>
  <w:style w:type="character" w:styleId="Predvolenpsmoodseku1" w:customStyle="1">
    <w:name w:val="Predvolené písmo odseku1"/>
    <w:qFormat/>
    <w:rsid w:val="00e520f2"/>
    <w:rPr/>
  </w:style>
  <w:style w:type="character" w:styleId="Nadpis1Char" w:customStyle="1">
    <w:name w:val="Nadpis 1 Char"/>
    <w:basedOn w:val="Predvolenpsmoodseku1"/>
    <w:qFormat/>
    <w:rsid w:val="00e520f2"/>
    <w:rPr>
      <w:rFonts w:ascii="Times New Roman" w:hAnsi="Times New Roman" w:eastAsia="Times New Roman" w:cs="Times New Roman"/>
      <w:b/>
      <w:sz w:val="24"/>
    </w:rPr>
  </w:style>
  <w:style w:type="character" w:styleId="Nadpis2Char" w:customStyle="1">
    <w:name w:val="Nadpis 2 Char"/>
    <w:basedOn w:val="Predvolenpsmoodseku1"/>
    <w:qFormat/>
    <w:rsid w:val="00e520f2"/>
    <w:rPr>
      <w:rFonts w:ascii="Times New Roman" w:hAnsi="Times New Roman" w:eastAsia="Times New Roman" w:cs="Times New Roman"/>
      <w:sz w:val="22"/>
    </w:rPr>
  </w:style>
  <w:style w:type="character" w:styleId="Nadpis3Char" w:customStyle="1">
    <w:name w:val="Nadpis 3 Char"/>
    <w:basedOn w:val="Predvolenpsmoodseku1"/>
    <w:qFormat/>
    <w:rsid w:val="00e520f2"/>
    <w:rPr>
      <w:rFonts w:ascii="Times New Roman" w:hAnsi="Times New Roman" w:eastAsia="Times New Roman" w:cs="Times New Roman"/>
      <w:sz w:val="22"/>
    </w:rPr>
  </w:style>
  <w:style w:type="character" w:styleId="Nadpis4Char" w:customStyle="1">
    <w:name w:val="Nadpis 4 Char"/>
    <w:basedOn w:val="Predvolenpsmoodseku1"/>
    <w:qFormat/>
    <w:rsid w:val="00e520f2"/>
    <w:rPr>
      <w:rFonts w:ascii="Times New Roman" w:hAnsi="Times New Roman" w:eastAsia="Times New Roman" w:cs="Times New Roman"/>
      <w:sz w:val="22"/>
    </w:rPr>
  </w:style>
  <w:style w:type="character" w:styleId="Nadpis5Char" w:customStyle="1">
    <w:name w:val="Nadpis 5 Char"/>
    <w:basedOn w:val="Predvolenpsmoodseku1"/>
    <w:qFormat/>
    <w:rsid w:val="00e520f2"/>
    <w:rPr>
      <w:rFonts w:ascii="Times New Roman" w:hAnsi="Times New Roman" w:eastAsia="Times New Roman" w:cs="Times New Roman"/>
      <w:sz w:val="22"/>
    </w:rPr>
  </w:style>
  <w:style w:type="character" w:styleId="Nadpis6Char" w:customStyle="1">
    <w:name w:val="Nadpis 6 Char"/>
    <w:basedOn w:val="Predvolenpsmoodseku1"/>
    <w:qFormat/>
    <w:rsid w:val="00e520f2"/>
    <w:rPr>
      <w:rFonts w:ascii="Times New Roman" w:hAnsi="Times New Roman" w:eastAsia="Times New Roman" w:cs="Times New Roman"/>
      <w:i/>
      <w:sz w:val="22"/>
    </w:rPr>
  </w:style>
  <w:style w:type="character" w:styleId="Nadpis7Char" w:customStyle="1">
    <w:name w:val="Nadpis 7 Char"/>
    <w:basedOn w:val="Predvolenpsmoodseku1"/>
    <w:qFormat/>
    <w:rsid w:val="00e520f2"/>
    <w:rPr>
      <w:rFonts w:ascii="Arial" w:hAnsi="Arial" w:eastAsia="Times New Roman" w:cs="Arial"/>
    </w:rPr>
  </w:style>
  <w:style w:type="character" w:styleId="Nadpis8Char" w:customStyle="1">
    <w:name w:val="Nadpis 8 Char"/>
    <w:basedOn w:val="Predvolenpsmoodseku1"/>
    <w:qFormat/>
    <w:rsid w:val="00e520f2"/>
    <w:rPr>
      <w:rFonts w:ascii="Arial" w:hAnsi="Arial" w:eastAsia="Times New Roman" w:cs="Arial"/>
      <w:i/>
    </w:rPr>
  </w:style>
  <w:style w:type="character" w:styleId="Nadpis9Char" w:customStyle="1">
    <w:name w:val="Nadpis 9 Char"/>
    <w:basedOn w:val="Predvolenpsmoodseku1"/>
    <w:qFormat/>
    <w:rsid w:val="00e520f2"/>
    <w:rPr>
      <w:rFonts w:ascii="Arial" w:hAnsi="Arial" w:eastAsia="Times New Roman" w:cs="Arial"/>
      <w:b/>
      <w:i/>
      <w:sz w:val="18"/>
    </w:rPr>
  </w:style>
  <w:style w:type="character" w:styleId="ValueChar" w:customStyle="1">
    <w:name w:val="Value Char"/>
    <w:basedOn w:val="Predvolenpsmoodseku1"/>
    <w:qFormat/>
    <w:rsid w:val="00e520f2"/>
    <w:rPr>
      <w:rFonts w:ascii="Arial Narrow" w:hAnsi="Arial Narrow" w:eastAsia="Times New Roman" w:cs="Times New Roman"/>
      <w:szCs w:val="24"/>
    </w:rPr>
  </w:style>
  <w:style w:type="character" w:styleId="NzovChar" w:customStyle="1">
    <w:name w:val="Názov Char"/>
    <w:basedOn w:val="Predvolenpsmoodseku1"/>
    <w:qFormat/>
    <w:rsid w:val="00e520f2"/>
    <w:rPr>
      <w:rFonts w:ascii="Arial Narrow" w:hAnsi="Arial Narrow" w:eastAsia="Times New Roman" w:cs="Times New Roman"/>
      <w:b/>
      <w:bCs/>
      <w:szCs w:val="32"/>
    </w:rPr>
  </w:style>
  <w:style w:type="character" w:styleId="ValueCenteredChar" w:customStyle="1">
    <w:name w:val="Value Centered Char"/>
    <w:basedOn w:val="ValueChar"/>
    <w:qFormat/>
    <w:rsid w:val="00e520f2"/>
    <w:rPr/>
  </w:style>
  <w:style w:type="character" w:styleId="TextkoncovejpoznmkyChar" w:customStyle="1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styleId="Znakyprovysvtlivky" w:customStyle="1">
    <w:name w:val="Znaky pro vysvětlivky"/>
    <w:basedOn w:val="Predvolenpsmoodseku1"/>
    <w:qFormat/>
    <w:rsid w:val="00e520f2"/>
    <w:rPr>
      <w:vertAlign w:val="superscript"/>
    </w:rPr>
  </w:style>
  <w:style w:type="character" w:styleId="TextpoznmkypodiarouChar" w:customStyle="1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styleId="Znakypropoznmkupodarou" w:customStyle="1">
    <w:name w:val="Znaky pro poznámku pod čarou"/>
    <w:basedOn w:val="Predvolenpsmoodseku1"/>
    <w:qFormat/>
    <w:rsid w:val="00e520f2"/>
    <w:rPr>
      <w:vertAlign w:val="superscript"/>
    </w:rPr>
  </w:style>
  <w:style w:type="character" w:styleId="Odkaznakomentr1" w:customStyle="1">
    <w:name w:val="Odkaz na komentár1"/>
    <w:basedOn w:val="Predvolenpsmoodseku1"/>
    <w:qFormat/>
    <w:rsid w:val="00e520f2"/>
    <w:rPr>
      <w:sz w:val="16"/>
      <w:szCs w:val="16"/>
    </w:rPr>
  </w:style>
  <w:style w:type="character" w:styleId="TextkomentraChar" w:customStyle="1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basedOn w:val="TextkomentraChar"/>
    <w:qFormat/>
    <w:rsid w:val="00e520f2"/>
    <w:rPr>
      <w:b/>
      <w:bCs/>
    </w:rPr>
  </w:style>
  <w:style w:type="character" w:styleId="TextbublinyChar" w:customStyle="1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styleId="PtaChar" w:customStyle="1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styleId="ListLabel1">
    <w:name w:val="ListLabel 1"/>
    <w:qFormat/>
    <w:rPr>
      <w:rFonts w:cs="Times New Roman"/>
      <w:b/>
      <w:i w:val="false"/>
      <w:sz w:val="24"/>
    </w:rPr>
  </w:style>
  <w:style w:type="character" w:styleId="ListLabel2">
    <w:name w:val="ListLabel 2"/>
    <w:qFormat/>
    <w:rPr>
      <w:rFonts w:cs="Times New Roman"/>
      <w:b/>
      <w:i w:val="false"/>
      <w:sz w:val="16"/>
    </w:rPr>
  </w:style>
  <w:style w:type="character" w:styleId="ListLabel3">
    <w:name w:val="ListLabel 3"/>
    <w:qFormat/>
    <w:rPr>
      <w:rFonts w:cs="Times New Roman"/>
      <w:b w:val="false"/>
      <w:i w:val="false"/>
      <w:color w:val="00000A"/>
      <w:sz w:val="16"/>
    </w:rPr>
  </w:style>
  <w:style w:type="character" w:styleId="ListLabel4">
    <w:name w:val="ListLabel 4"/>
    <w:qFormat/>
    <w:rPr>
      <w:rFonts w:cs="Times New Roman"/>
      <w:b/>
      <w:i w:val="false"/>
      <w:sz w:val="24"/>
    </w:rPr>
  </w:style>
  <w:style w:type="character" w:styleId="ListLabel5">
    <w:name w:val="ListLabel 5"/>
    <w:qFormat/>
    <w:rPr>
      <w:rFonts w:cs="Times New Roman"/>
      <w:b/>
      <w:i w:val="false"/>
      <w:sz w:val="24"/>
    </w:rPr>
  </w:style>
  <w:style w:type="character" w:styleId="ListLabel6">
    <w:name w:val="ListLabel 6"/>
    <w:qFormat/>
    <w:rPr>
      <w:rFonts w:cs="Times New Roman"/>
      <w:b/>
      <w:i w:val="false"/>
      <w:sz w:val="24"/>
    </w:rPr>
  </w:style>
  <w:style w:type="character" w:styleId="ListLabel7">
    <w:name w:val="ListLabel 7"/>
    <w:qFormat/>
    <w:rPr>
      <w:rFonts w:cs="Times New Roman"/>
      <w:b w:val="false"/>
      <w:i w:val="false"/>
      <w:sz w:val="22"/>
    </w:rPr>
  </w:style>
  <w:style w:type="character" w:styleId="ListLabel8">
    <w:name w:val="ListLabel 8"/>
    <w:qFormat/>
    <w:rPr>
      <w:rFonts w:cs="Times New Roman"/>
      <w:b w:val="false"/>
      <w:i w:val="false"/>
      <w:color w:val="00000A"/>
      <w:sz w:val="22"/>
    </w:rPr>
  </w:style>
  <w:style w:type="character" w:styleId="ListLabel9">
    <w:name w:val="ListLabel 9"/>
    <w:qFormat/>
    <w:rPr>
      <w:rFonts w:cs="Times New Roman"/>
      <w:b/>
      <w:i w:val="false"/>
      <w:sz w:val="24"/>
    </w:rPr>
  </w:style>
  <w:style w:type="character" w:styleId="ListLabel10">
    <w:name w:val="ListLabel 10"/>
    <w:qFormat/>
    <w:rPr>
      <w:rFonts w:cs="Times New Roman"/>
      <w:b w:val="false"/>
      <w:i w:val="false"/>
      <w:sz w:val="22"/>
    </w:rPr>
  </w:style>
  <w:style w:type="character" w:styleId="ListLabel11">
    <w:name w:val="ListLabel 11"/>
    <w:qFormat/>
    <w:rPr>
      <w:rFonts w:cs="Times New Roman"/>
      <w:b w:val="false"/>
      <w:i w:val="false"/>
      <w:color w:val="00000A"/>
      <w:sz w:val="22"/>
    </w:rPr>
  </w:style>
  <w:style w:type="character" w:styleId="ListLabel12">
    <w:name w:val="ListLabel 12"/>
    <w:qFormat/>
    <w:rPr>
      <w:rFonts w:cs="Times New Roman"/>
      <w:b/>
      <w:i w:val="false"/>
      <w:sz w:val="24"/>
    </w:rPr>
  </w:style>
  <w:style w:type="character" w:styleId="ListLabel13">
    <w:name w:val="ListLabel 13"/>
    <w:qFormat/>
    <w:rPr>
      <w:rFonts w:cs="Times New Roman"/>
      <w:b w:val="false"/>
      <w:i w:val="false"/>
      <w:sz w:val="22"/>
    </w:rPr>
  </w:style>
  <w:style w:type="character" w:styleId="ListLabel14">
    <w:name w:val="ListLabel 14"/>
    <w:qFormat/>
    <w:rPr>
      <w:rFonts w:cs="Times New Roman"/>
      <w:b w:val="false"/>
      <w:i w:val="false"/>
      <w:color w:val="00000A"/>
      <w:sz w:val="22"/>
    </w:rPr>
  </w:style>
  <w:style w:type="character" w:styleId="ListLabel15">
    <w:name w:val="ListLabel 15"/>
    <w:qFormat/>
    <w:rPr>
      <w:rFonts w:cs="Times New Roman"/>
      <w:b/>
      <w:i w:val="false"/>
      <w:sz w:val="24"/>
    </w:rPr>
  </w:style>
  <w:style w:type="character" w:styleId="ListLabel16">
    <w:name w:val="ListLabel 16"/>
    <w:qFormat/>
    <w:rPr>
      <w:rFonts w:cs="Times New Roman"/>
      <w:b w:val="false"/>
      <w:i w:val="false"/>
      <w:sz w:val="22"/>
    </w:rPr>
  </w:style>
  <w:style w:type="character" w:styleId="ListLabel17">
    <w:name w:val="ListLabel 17"/>
    <w:qFormat/>
    <w:rPr>
      <w:rFonts w:cs="Times New Roman"/>
      <w:b w:val="false"/>
      <w:i w:val="false"/>
      <w:color w:val="00000A"/>
      <w:sz w:val="22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cs="Times New Roman"/>
      <w:b/>
      <w:i w:val="false"/>
      <w:sz w:val="24"/>
    </w:rPr>
  </w:style>
  <w:style w:type="character" w:styleId="ListLabel20">
    <w:name w:val="ListLabel 20"/>
    <w:qFormat/>
    <w:rPr>
      <w:rFonts w:cs="Times New Roman"/>
      <w:b w:val="false"/>
      <w:i w:val="false"/>
      <w:sz w:val="22"/>
    </w:rPr>
  </w:style>
  <w:style w:type="character" w:styleId="ListLabel21">
    <w:name w:val="ListLabel 21"/>
    <w:qFormat/>
    <w:rPr>
      <w:rFonts w:cs="Times New Roman"/>
      <w:b w:val="false"/>
      <w:i w:val="false"/>
      <w:color w:val="00000A"/>
      <w:sz w:val="22"/>
    </w:rPr>
  </w:style>
  <w:style w:type="character" w:styleId="ListLabel22">
    <w:name w:val="ListLabel 22"/>
    <w:qFormat/>
    <w:rPr>
      <w:rFonts w:cs="Times New Roman"/>
      <w:b/>
      <w:i w:val="false"/>
      <w:sz w:val="24"/>
    </w:rPr>
  </w:style>
  <w:style w:type="character" w:styleId="ListLabel23">
    <w:name w:val="ListLabel 23"/>
    <w:qFormat/>
    <w:rPr>
      <w:rFonts w:cs="Times New Roman"/>
      <w:b w:val="false"/>
      <w:i w:val="false"/>
      <w:sz w:val="22"/>
    </w:rPr>
  </w:style>
  <w:style w:type="character" w:styleId="ListLabel24">
    <w:name w:val="ListLabel 24"/>
    <w:qFormat/>
    <w:rPr>
      <w:rFonts w:cs="Times New Roman"/>
      <w:b w:val="false"/>
      <w:i w:val="false"/>
      <w:color w:val="00000A"/>
      <w:sz w:val="22"/>
    </w:rPr>
  </w:style>
  <w:style w:type="character" w:styleId="ListLabel25">
    <w:name w:val="ListLabel 25"/>
    <w:qFormat/>
    <w:rPr>
      <w:rFonts w:cs="Times New Roman"/>
      <w:b/>
      <w:i w:val="false"/>
      <w:sz w:val="24"/>
    </w:rPr>
  </w:style>
  <w:style w:type="character" w:styleId="ListLabel26">
    <w:name w:val="ListLabel 26"/>
    <w:qFormat/>
    <w:rPr>
      <w:rFonts w:cs="Times New Roman"/>
      <w:b w:val="false"/>
      <w:i w:val="false"/>
      <w:sz w:val="22"/>
    </w:rPr>
  </w:style>
  <w:style w:type="character" w:styleId="ListLabel27">
    <w:name w:val="ListLabel 27"/>
    <w:qFormat/>
    <w:rPr>
      <w:rFonts w:cs="Times New Roman"/>
      <w:b w:val="false"/>
      <w:i w:val="false"/>
      <w:color w:val="00000A"/>
      <w:sz w:val="22"/>
    </w:rPr>
  </w:style>
  <w:style w:type="character" w:styleId="ListLabel28">
    <w:name w:val="ListLabel 28"/>
    <w:qFormat/>
    <w:rPr>
      <w:rFonts w:cs="Times New Roman"/>
      <w:b/>
      <w:i w:val="false"/>
      <w:sz w:val="24"/>
    </w:rPr>
  </w:style>
  <w:style w:type="character" w:styleId="ListLabel29">
    <w:name w:val="ListLabel 29"/>
    <w:qFormat/>
    <w:rPr>
      <w:rFonts w:cs="Times New Roman"/>
      <w:b w:val="false"/>
      <w:i w:val="false"/>
      <w:sz w:val="22"/>
    </w:rPr>
  </w:style>
  <w:style w:type="character" w:styleId="ListLabel30">
    <w:name w:val="ListLabel 30"/>
    <w:qFormat/>
    <w:rPr>
      <w:rFonts w:cs="Times New Roman"/>
      <w:b w:val="false"/>
      <w:i w:val="false"/>
      <w:color w:val="00000A"/>
      <w:sz w:val="22"/>
    </w:rPr>
  </w:style>
  <w:style w:type="character" w:styleId="ListLabel31">
    <w:name w:val="ListLabel 31"/>
    <w:qFormat/>
    <w:rPr>
      <w:rFonts w:cs="Times New Roman"/>
      <w:b/>
      <w:i w:val="false"/>
      <w:sz w:val="24"/>
    </w:rPr>
  </w:style>
  <w:style w:type="character" w:styleId="ListLabel32">
    <w:name w:val="ListLabel 32"/>
    <w:qFormat/>
    <w:rPr>
      <w:rFonts w:cs="Times New Roman"/>
      <w:b w:val="false"/>
      <w:i w:val="false"/>
      <w:sz w:val="22"/>
    </w:rPr>
  </w:style>
  <w:style w:type="character" w:styleId="ListLabel33">
    <w:name w:val="ListLabel 33"/>
    <w:qFormat/>
    <w:rPr>
      <w:rFonts w:cs="Times New Roman"/>
      <w:b w:val="false"/>
      <w:i w:val="false"/>
      <w:color w:val="00000A"/>
      <w:sz w:val="22"/>
    </w:rPr>
  </w:style>
  <w:style w:type="paragraph" w:styleId="Nadpis" w:customStyle="1">
    <w:name w:val="Nadpis"/>
    <w:basedOn w:val="Normal"/>
    <w:next w:val="Telotextu"/>
    <w:qFormat/>
    <w:rsid w:val="00e520f2"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rsid w:val="00e520f2"/>
    <w:pPr>
      <w:spacing w:before="0" w:after="120"/>
    </w:pPr>
    <w:rPr/>
  </w:style>
  <w:style w:type="paragraph" w:styleId="Zoznam">
    <w:name w:val="List"/>
    <w:basedOn w:val="Telotextu"/>
    <w:rsid w:val="00e520f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opisek" w:customStyle="1">
    <w:name w:val="Popisek"/>
    <w:basedOn w:val="Normal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 w:customStyle="1">
    <w:name w:val="Rejstřík"/>
    <w:basedOn w:val="Normal"/>
    <w:qFormat/>
    <w:rsid w:val="00e520f2"/>
    <w:pPr>
      <w:suppressLineNumbers/>
    </w:pPr>
    <w:rPr>
      <w:rFonts w:cs="Mangal"/>
    </w:rPr>
  </w:style>
  <w:style w:type="paragraph" w:styleId="Zhlavietabukystred" w:customStyle="1">
    <w:name w:val="Záhlavie tabuľky stred"/>
    <w:basedOn w:val="Normal"/>
    <w:qFormat/>
    <w:rsid w:val="00e520f2"/>
    <w:pPr>
      <w:keepNext/>
      <w:keepLines/>
      <w:suppressLineNumbers/>
      <w:spacing w:before="60" w:after="0"/>
      <w:jc w:val="center"/>
    </w:pPr>
    <w:rPr>
      <w:rFonts w:eastAsia="Times New Roman"/>
      <w:sz w:val="20"/>
      <w:szCs w:val="20"/>
    </w:rPr>
  </w:style>
  <w:style w:type="paragraph" w:styleId="Font5" w:customStyle="1">
    <w:name w:val="font5"/>
    <w:basedOn w:val="Normal"/>
    <w:qFormat/>
    <w:rsid w:val="00e520f2"/>
    <w:pPr>
      <w:spacing w:before="280" w:after="280"/>
      <w:jc w:val="left"/>
    </w:pPr>
    <w:rPr>
      <w:rFonts w:ascii="Arial" w:hAnsi="Arial" w:eastAsia="Arial Unicode MS" w:cs="Arial"/>
      <w:sz w:val="16"/>
      <w:szCs w:val="16"/>
      <w:lang w:val="cs-CZ"/>
    </w:rPr>
  </w:style>
  <w:style w:type="paragraph" w:styleId="Xl24" w:customStyle="1">
    <w:name w:val="xl24"/>
    <w:basedOn w:val="Normal"/>
    <w:qFormat/>
    <w:rsid w:val="00e520f2"/>
    <w:pPr>
      <w:spacing w:before="280" w:after="280"/>
      <w:jc w:val="left"/>
    </w:pPr>
    <w:rPr>
      <w:rFonts w:ascii="Arial" w:hAnsi="Arial" w:eastAsia="Arial Unicode MS" w:cs="Arial Unicode MS"/>
      <w:b/>
      <w:bCs/>
      <w:sz w:val="16"/>
      <w:szCs w:val="16"/>
      <w:lang w:val="cs-CZ"/>
    </w:rPr>
  </w:style>
  <w:style w:type="paragraph" w:styleId="Xl30" w:customStyle="1">
    <w:name w:val="xl30"/>
    <w:basedOn w:val="Normal"/>
    <w:qFormat/>
    <w:rsid w:val="00e520f2"/>
    <w:pPr>
      <w:spacing w:before="280" w:after="280"/>
      <w:jc w:val="center"/>
      <w:textAlignment w:val="center"/>
    </w:pPr>
    <w:rPr>
      <w:rFonts w:ascii="Arial" w:hAnsi="Arial" w:eastAsia="Arial Unicode MS" w:cs="Arial Unicode MS"/>
      <w:sz w:val="16"/>
      <w:szCs w:val="16"/>
      <w:lang w:val="cs-CZ"/>
    </w:rPr>
  </w:style>
  <w:style w:type="paragraph" w:styleId="ListParagraph">
    <w:name w:val="List Paragraph"/>
    <w:basedOn w:val="Normal"/>
    <w:qFormat/>
    <w:rsid w:val="00e520f2"/>
    <w:pPr>
      <w:ind w:left="720" w:hanging="0"/>
    </w:pPr>
    <w:rPr/>
  </w:style>
  <w:style w:type="paragraph" w:styleId="TopHeader" w:customStyle="1">
    <w:name w:val="Top Header"/>
    <w:basedOn w:val="Normal"/>
    <w:qFormat/>
    <w:rsid w:val="00e520f2"/>
    <w:pPr>
      <w:jc w:val="center"/>
    </w:pPr>
    <w:rPr>
      <w:rFonts w:ascii="Arial Narrow" w:hAnsi="Arial Narrow" w:eastAsia="Times New Roman"/>
      <w:b/>
      <w:bCs/>
    </w:rPr>
  </w:style>
  <w:style w:type="paragraph" w:styleId="Value" w:customStyle="1">
    <w:name w:val="Value"/>
    <w:basedOn w:val="Normal"/>
    <w:qFormat/>
    <w:rsid w:val="00e520f2"/>
    <w:pPr>
      <w:jc w:val="right"/>
    </w:pPr>
    <w:rPr>
      <w:rFonts w:ascii="Arial Narrow" w:hAnsi="Arial Narrow" w:eastAsia="Times New Roman"/>
      <w:szCs w:val="24"/>
    </w:rPr>
  </w:style>
  <w:style w:type="paragraph" w:styleId="Nzov">
    <w:name w:val="Title"/>
    <w:basedOn w:val="Normal"/>
    <w:qFormat/>
    <w:rsid w:val="00e520f2"/>
    <w:pPr>
      <w:keepNext/>
      <w:spacing w:before="280" w:after="220"/>
      <w:jc w:val="center"/>
    </w:pPr>
    <w:rPr>
      <w:rFonts w:ascii="Arial Narrow" w:hAnsi="Arial Narrow" w:eastAsia="Times New Roman"/>
      <w:b/>
      <w:bCs/>
      <w:szCs w:val="32"/>
    </w:rPr>
  </w:style>
  <w:style w:type="paragraph" w:styleId="Podnadpis">
    <w:name w:val="Subtitle"/>
    <w:basedOn w:val="Nadpis"/>
    <w:qFormat/>
    <w:rsid w:val="00e520f2"/>
    <w:pPr>
      <w:jc w:val="center"/>
    </w:pPr>
    <w:rPr>
      <w:i/>
      <w:iCs/>
    </w:rPr>
  </w:style>
  <w:style w:type="paragraph" w:styleId="ValueCentered" w:customStyle="1">
    <w:name w:val="Value Centered"/>
    <w:basedOn w:val="Value"/>
    <w:qFormat/>
    <w:rsid w:val="00e520f2"/>
    <w:pPr>
      <w:jc w:val="center"/>
    </w:pPr>
    <w:rPr/>
  </w:style>
  <w:style w:type="paragraph" w:styleId="Odrka" w:customStyle="1">
    <w:name w:val="Odrážka"/>
    <w:basedOn w:val="Nadpis4"/>
    <w:qFormat/>
    <w:rsid w:val="00e520f2"/>
    <w:pPr>
      <w:numPr>
        <w:ilvl w:val="0"/>
        <w:numId w:val="0"/>
      </w:numPr>
      <w:spacing w:before="0" w:after="0"/>
    </w:pPr>
    <w:rPr/>
  </w:style>
  <w:style w:type="paragraph" w:styleId="Texttabukyvavo" w:customStyle="1">
    <w:name w:val="Text tabuľky vľavo"/>
    <w:basedOn w:val="Normal"/>
    <w:qFormat/>
    <w:rsid w:val="00e520f2"/>
    <w:pPr>
      <w:suppressLineNumbers/>
      <w:spacing w:before="60" w:after="0"/>
      <w:jc w:val="left"/>
    </w:pPr>
    <w:rPr>
      <w:rFonts w:eastAsia="Times New Roman"/>
      <w:sz w:val="20"/>
      <w:szCs w:val="20"/>
    </w:rPr>
  </w:style>
  <w:style w:type="paragraph" w:styleId="Zhlavietabukyvavo" w:customStyle="1">
    <w:name w:val="Záhlavie tabuľky vľavo"/>
    <w:basedOn w:val="Zhlavietabukystred"/>
    <w:qFormat/>
    <w:rsid w:val="00e520f2"/>
    <w:pPr>
      <w:keepNext/>
      <w:keepLines w:val="false"/>
      <w:jc w:val="left"/>
    </w:pPr>
    <w:rPr/>
  </w:style>
  <w:style w:type="paragraph" w:styleId="Endnotetext">
    <w:name w:val="endnote text"/>
    <w:basedOn w:val="Normal"/>
    <w:qFormat/>
    <w:rsid w:val="00e520f2"/>
    <w:pPr/>
    <w:rPr>
      <w:sz w:val="20"/>
      <w:szCs w:val="20"/>
    </w:rPr>
  </w:style>
  <w:style w:type="paragraph" w:styleId="Footnotetext">
    <w:name w:val="footnote text"/>
    <w:basedOn w:val="Normal"/>
    <w:qFormat/>
    <w:rsid w:val="00e520f2"/>
    <w:pPr/>
    <w:rPr>
      <w:sz w:val="20"/>
      <w:szCs w:val="20"/>
    </w:rPr>
  </w:style>
  <w:style w:type="paragraph" w:styleId="Textkomentra1" w:customStyle="1">
    <w:name w:val="Text komentára1"/>
    <w:basedOn w:val="Normal"/>
    <w:qFormat/>
    <w:rsid w:val="00e520f2"/>
    <w:pPr/>
    <w:rPr>
      <w:sz w:val="20"/>
      <w:szCs w:val="20"/>
    </w:rPr>
  </w:style>
  <w:style w:type="paragraph" w:styleId="Annotationsubject">
    <w:name w:val="annotation subject"/>
    <w:basedOn w:val="Textkomentra1"/>
    <w:qFormat/>
    <w:rsid w:val="00e520f2"/>
    <w:pPr/>
    <w:rPr>
      <w:b/>
      <w:bCs/>
    </w:rPr>
  </w:style>
  <w:style w:type="paragraph" w:styleId="BalloonText">
    <w:name w:val="Balloon Text"/>
    <w:basedOn w:val="Normal"/>
    <w:qFormat/>
    <w:rsid w:val="00e520f2"/>
    <w:pPr/>
    <w:rPr>
      <w:rFonts w:ascii="Tahoma" w:hAnsi="Tahoma" w:cs="Tahoma"/>
      <w:sz w:val="16"/>
      <w:szCs w:val="16"/>
    </w:rPr>
  </w:style>
  <w:style w:type="paragraph" w:styleId="Texttabukystred" w:customStyle="1">
    <w:name w:val="Text tabuľky stred"/>
    <w:basedOn w:val="Texttabukyvavo"/>
    <w:qFormat/>
    <w:rsid w:val="00e520f2"/>
    <w:pPr>
      <w:jc w:val="center"/>
    </w:pPr>
    <w:rPr/>
  </w:style>
  <w:style w:type="paragraph" w:styleId="Texttabukyvpravo" w:customStyle="1">
    <w:name w:val="Text tabuľky vpravo"/>
    <w:basedOn w:val="Texttabukyvavo"/>
    <w:qFormat/>
    <w:rsid w:val="00e520f2"/>
    <w:pPr>
      <w:ind w:right="28" w:hanging="0"/>
      <w:jc w:val="right"/>
    </w:pPr>
    <w:rPr/>
  </w:style>
  <w:style w:type="paragraph" w:styleId="Odsaden" w:customStyle="1">
    <w:name w:val="Odsadený"/>
    <w:basedOn w:val="Normal"/>
    <w:qFormat/>
    <w:rsid w:val="00e520f2"/>
    <w:pPr>
      <w:suppressLineNumbers/>
      <w:spacing w:before="120" w:after="0"/>
      <w:ind w:left="284" w:hanging="0"/>
    </w:pPr>
    <w:rPr>
      <w:rFonts w:eastAsia="Times New Roman"/>
      <w:szCs w:val="20"/>
    </w:rPr>
  </w:style>
  <w:style w:type="paragraph" w:styleId="NormalWeb">
    <w:name w:val="Normal (Web)"/>
    <w:basedOn w:val="Normal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al"/>
    <w:rsid w:val="00e520f2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rsid w:val="00e520f2"/>
    <w:pPr>
      <w:tabs>
        <w:tab w:val="center" w:pos="4536" w:leader="none"/>
        <w:tab w:val="right" w:pos="9072" w:leader="none"/>
      </w:tabs>
    </w:pPr>
    <w:rPr/>
  </w:style>
  <w:style w:type="paragraph" w:styleId="Obsahtabulky" w:customStyle="1">
    <w:name w:val="Obsah tabulky"/>
    <w:basedOn w:val="Normal"/>
    <w:qFormat/>
    <w:rsid w:val="00e520f2"/>
    <w:pPr>
      <w:suppressLineNumbers/>
    </w:pPr>
    <w:rPr/>
  </w:style>
  <w:style w:type="paragraph" w:styleId="Nadpistabulky" w:customStyle="1">
    <w:name w:val="Nadpis tabulky"/>
    <w:basedOn w:val="Obsahtabulky"/>
    <w:qFormat/>
    <w:rsid w:val="00e520f2"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Application>LibreOffice/5.3.0.3$Windows_x86 LibreOffice_project/7074905676c47b82bbcfbea1aeefc84afe1c50e1</Application>
  <Pages>6</Pages>
  <Words>941</Words>
  <Characters>5490</Characters>
  <CharactersWithSpaces>6337</CharactersWithSpaces>
  <Paragraphs>203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2016-03-10T18:17:00Z</dcterms:created>
  <dc:creator>Peter Jajcay;Katarína Javorková</dc:creator>
  <dc:description/>
  <dc:language>sk-SK</dc:language>
  <cp:lastModifiedBy>Katarína</cp:lastModifiedBy>
  <cp:lastPrinted>2017-03-13T12:04:00Z</cp:lastPrinted>
  <dcterms:modified xsi:type="dcterms:W3CDTF">2017-03-13T12:05:00Z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