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49F0" w:rsidRDefault="005149F0" w:rsidP="00360F88">
      <w:pPr>
        <w:spacing w:after="0" w:line="240" w:lineRule="auto"/>
        <w:rPr>
          <w:rFonts w:ascii="Times New Roman" w:hAnsi="Times New Roman" w:cs="Times New Roman"/>
          <w:b/>
          <w:color w:val="70AD47" w:themeColor="accent6"/>
        </w:rPr>
      </w:pPr>
    </w:p>
    <w:p w:rsidR="00CE03EC" w:rsidRPr="00C875AE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70AD47" w:themeColor="accent6"/>
        </w:rPr>
      </w:pPr>
      <w:r w:rsidRPr="00C875AE">
        <w:rPr>
          <w:rFonts w:ascii="Times New Roman" w:hAnsi="Times New Roman" w:cs="Times New Roman"/>
          <w:b/>
          <w:color w:val="70AD47" w:themeColor="accent6"/>
        </w:rPr>
        <w:t>Čl. I</w:t>
      </w:r>
      <w:r w:rsidR="008774C4" w:rsidRPr="00C875AE">
        <w:rPr>
          <w:rFonts w:ascii="Times New Roman" w:hAnsi="Times New Roman" w:cs="Times New Roman"/>
          <w:b/>
          <w:color w:val="70AD47" w:themeColor="accent6"/>
        </w:rPr>
        <w:t> </w:t>
      </w:r>
      <w:r w:rsidR="00D06A5E" w:rsidRPr="00C875AE">
        <w:rPr>
          <w:rFonts w:ascii="Times New Roman" w:hAnsi="Times New Roman" w:cs="Times New Roman"/>
          <w:b/>
          <w:color w:val="70AD47" w:themeColor="accent6"/>
        </w:rPr>
        <w:tab/>
      </w:r>
      <w:r w:rsidRPr="00C875AE">
        <w:rPr>
          <w:rFonts w:ascii="Times New Roman" w:hAnsi="Times New Roman" w:cs="Times New Roman"/>
          <w:b/>
          <w:color w:val="70AD47" w:themeColor="accent6"/>
        </w:rPr>
        <w:t>Všeobecné</w:t>
      </w:r>
      <w:r w:rsidR="008774C4" w:rsidRPr="00C875AE">
        <w:rPr>
          <w:rFonts w:ascii="Times New Roman" w:hAnsi="Times New Roman" w:cs="Times New Roman"/>
          <w:b/>
          <w:color w:val="70AD47" w:themeColor="accent6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3B47EA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  <w:color w:val="5B9BD5" w:themeColor="accent1"/>
        </w:rPr>
      </w:pPr>
      <w:r w:rsidRPr="005149F0">
        <w:rPr>
          <w:rFonts w:ascii="Times New Roman" w:hAnsi="Times New Roman" w:cs="Times New Roman"/>
        </w:rPr>
        <w:t>I.1</w:t>
      </w:r>
      <w:r w:rsidR="00CE03EC" w:rsidRPr="005149F0">
        <w:rPr>
          <w:rFonts w:ascii="Times New Roman" w:hAnsi="Times New Roman" w:cs="Times New Roman"/>
        </w:rPr>
        <w:t xml:space="preserve"> </w:t>
      </w:r>
      <w:r w:rsidR="00CE03EC" w:rsidRPr="005149F0">
        <w:rPr>
          <w:rFonts w:ascii="Times New Roman" w:hAnsi="Times New Roman" w:cs="Times New Roman"/>
        </w:rPr>
        <w:tab/>
      </w:r>
      <w:r w:rsidRPr="005149F0">
        <w:rPr>
          <w:rFonts w:ascii="Times New Roman" w:hAnsi="Times New Roman" w:cs="Times New Roman"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3B47EA">
        <w:rPr>
          <w:rFonts w:ascii="Times New Roman" w:hAnsi="Times New Roman" w:cs="Times New Roman"/>
          <w:b/>
        </w:rPr>
        <w:tab/>
      </w:r>
      <w:r w:rsidR="003B47EA" w:rsidRPr="003B47EA">
        <w:rPr>
          <w:rFonts w:ascii="Times New Roman" w:hAnsi="Times New Roman" w:cs="Times New Roman"/>
          <w:b/>
          <w:color w:val="5B9BD5" w:themeColor="accent1"/>
        </w:rPr>
        <w:t>IZOZEX Trnava s.r.o.</w:t>
      </w:r>
    </w:p>
    <w:p w:rsidR="00CE03EC" w:rsidRPr="003B47EA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color w:val="44546A" w:themeColor="text2"/>
        </w:rPr>
      </w:pPr>
      <w:r w:rsidRPr="005149F0">
        <w:rPr>
          <w:rFonts w:ascii="Times New Roman" w:hAnsi="Times New Roman" w:cs="Times New Roman"/>
        </w:rPr>
        <w:t>Sídlo</w:t>
      </w:r>
      <w:r w:rsidR="00360F88" w:rsidRPr="005149F0">
        <w:rPr>
          <w:rFonts w:ascii="Times New Roman" w:hAnsi="Times New Roman" w:cs="Times New Roman"/>
        </w:rPr>
        <w:t xml:space="preserve"> účtovnej jednotky</w:t>
      </w:r>
      <w:r w:rsidRPr="005149F0">
        <w:rPr>
          <w:rFonts w:ascii="Times New Roman" w:hAnsi="Times New Roman" w:cs="Times New Roman"/>
        </w:rPr>
        <w:t>:</w:t>
      </w:r>
      <w:r w:rsidR="003B47EA">
        <w:rPr>
          <w:rFonts w:ascii="Times New Roman" w:hAnsi="Times New Roman" w:cs="Times New Roman"/>
          <w:b/>
        </w:rPr>
        <w:tab/>
      </w:r>
      <w:r w:rsidR="003B47EA">
        <w:rPr>
          <w:rFonts w:ascii="Times New Roman" w:hAnsi="Times New Roman" w:cs="Times New Roman"/>
          <w:b/>
        </w:rPr>
        <w:tab/>
      </w:r>
      <w:r w:rsidR="003B47EA" w:rsidRPr="003B47EA">
        <w:rPr>
          <w:rFonts w:ascii="Times New Roman" w:hAnsi="Times New Roman" w:cs="Times New Roman"/>
          <w:b/>
          <w:color w:val="5B9BD5" w:themeColor="accent1"/>
        </w:rPr>
        <w:t xml:space="preserve">Jána </w:t>
      </w:r>
      <w:proofErr w:type="spellStart"/>
      <w:r w:rsidR="003B47EA" w:rsidRPr="003B47EA">
        <w:rPr>
          <w:rFonts w:ascii="Times New Roman" w:hAnsi="Times New Roman" w:cs="Times New Roman"/>
          <w:b/>
          <w:color w:val="5B9BD5" w:themeColor="accent1"/>
        </w:rPr>
        <w:t>Bottu</w:t>
      </w:r>
      <w:proofErr w:type="spellEnd"/>
      <w:r w:rsidR="003B47EA" w:rsidRPr="003B47EA">
        <w:rPr>
          <w:rFonts w:ascii="Times New Roman" w:hAnsi="Times New Roman" w:cs="Times New Roman"/>
          <w:b/>
          <w:color w:val="5B9BD5" w:themeColor="accent1"/>
        </w:rPr>
        <w:t xml:space="preserve"> 2, 917 01  Trnava</w:t>
      </w:r>
    </w:p>
    <w:p w:rsidR="003B47EA" w:rsidRDefault="003B47EA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5149F0" w:rsidRDefault="005149F0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360F88" w:rsidRPr="005149F0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5149F0">
        <w:rPr>
          <w:rFonts w:ascii="Times New Roman" w:hAnsi="Times New Roman" w:cs="Times New Roman"/>
        </w:rPr>
        <w:t>Opis hospodárskej činnosti účtovnej jednotky:</w:t>
      </w:r>
    </w:p>
    <w:tbl>
      <w:tblPr>
        <w:tblW w:w="11604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032"/>
        <w:gridCol w:w="2095"/>
        <w:gridCol w:w="1174"/>
        <w:gridCol w:w="1077"/>
        <w:gridCol w:w="1126"/>
        <w:gridCol w:w="955"/>
        <w:gridCol w:w="1032"/>
        <w:gridCol w:w="1001"/>
        <w:gridCol w:w="1111"/>
        <w:gridCol w:w="1001"/>
      </w:tblGrid>
      <w:tr w:rsidR="003B47EA" w:rsidRPr="003B47EA" w:rsidTr="003B47EA">
        <w:tblPrEx>
          <w:tblCellMar>
            <w:top w:w="0" w:type="dxa"/>
            <w:bottom w:w="0" w:type="dxa"/>
          </w:tblCellMar>
        </w:tblPrEx>
        <w:trPr>
          <w:trHeight w:val="269"/>
        </w:trPr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3B47EA" w:rsidRPr="003B47EA" w:rsidRDefault="003B47EA" w:rsidP="003B47E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5B9BD5" w:themeColor="accent1"/>
              </w:rPr>
            </w:pPr>
          </w:p>
        </w:tc>
        <w:tc>
          <w:tcPr>
            <w:tcW w:w="7459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3B47EA" w:rsidRPr="003B47EA" w:rsidRDefault="003B47E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5B9BD5" w:themeColor="accent1"/>
              </w:rPr>
            </w:pPr>
            <w:r w:rsidRPr="003B47EA">
              <w:rPr>
                <w:rFonts w:ascii="Arial" w:hAnsi="Arial" w:cs="Arial"/>
                <w:color w:val="5B9BD5" w:themeColor="accent1"/>
              </w:rPr>
              <w:t>vykonávanie tepelných, hlukových, chladiarenských a strešných izolácií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</w:tcPr>
          <w:p w:rsidR="003B47EA" w:rsidRPr="003B47EA" w:rsidRDefault="003B47E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5B9BD5" w:themeColor="accent1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</w:tcPr>
          <w:p w:rsidR="003B47EA" w:rsidRPr="003B47EA" w:rsidRDefault="003B47E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5B9BD5" w:themeColor="accent1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</w:tcPr>
          <w:p w:rsidR="003B47EA" w:rsidRPr="003B47EA" w:rsidRDefault="003B47E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5B9BD5" w:themeColor="accent1"/>
              </w:rPr>
            </w:pPr>
          </w:p>
        </w:tc>
      </w:tr>
      <w:tr w:rsidR="003B47EA" w:rsidRPr="003B47EA" w:rsidTr="003B47EA">
        <w:tblPrEx>
          <w:tblCellMar>
            <w:top w:w="0" w:type="dxa"/>
            <w:bottom w:w="0" w:type="dxa"/>
          </w:tblCellMar>
        </w:tblPrEx>
        <w:trPr>
          <w:trHeight w:val="269"/>
        </w:trPr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3B47EA" w:rsidRPr="003B47EA" w:rsidRDefault="003B47E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5B9BD5" w:themeColor="accent1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</w:tcPr>
          <w:p w:rsidR="003B47EA" w:rsidRPr="003B47EA" w:rsidRDefault="003B47E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5B9BD5" w:themeColor="accent1"/>
              </w:rPr>
            </w:pPr>
            <w:r w:rsidRPr="003B47EA">
              <w:rPr>
                <w:rFonts w:ascii="Arial" w:hAnsi="Arial" w:cs="Arial"/>
                <w:color w:val="5B9BD5" w:themeColor="accent1"/>
              </w:rPr>
              <w:t>klampiarstvo</w:t>
            </w:r>
          </w:p>
        </w:tc>
        <w:tc>
          <w:tcPr>
            <w:tcW w:w="1174" w:type="dxa"/>
            <w:tcBorders>
              <w:top w:val="nil"/>
              <w:left w:val="nil"/>
              <w:bottom w:val="nil"/>
              <w:right w:val="nil"/>
            </w:tcBorders>
          </w:tcPr>
          <w:p w:rsidR="003B47EA" w:rsidRPr="003B47EA" w:rsidRDefault="003B47E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5B9BD5" w:themeColor="accent1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:rsidR="003B47EA" w:rsidRPr="003B47EA" w:rsidRDefault="003B47E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5B9BD5" w:themeColor="accent1"/>
              </w:rPr>
            </w:pP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</w:tcPr>
          <w:p w:rsidR="003B47EA" w:rsidRPr="003B47EA" w:rsidRDefault="003B47E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5B9BD5" w:themeColor="accent1"/>
              </w:rPr>
            </w:pP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</w:tcPr>
          <w:p w:rsidR="003B47EA" w:rsidRPr="003B47EA" w:rsidRDefault="003B47E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5B9BD5" w:themeColor="accent1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3B47EA" w:rsidRPr="003B47EA" w:rsidRDefault="003B47E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5B9BD5" w:themeColor="accent1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</w:tcPr>
          <w:p w:rsidR="003B47EA" w:rsidRPr="003B47EA" w:rsidRDefault="003B47E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5B9BD5" w:themeColor="accent1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</w:tcPr>
          <w:p w:rsidR="003B47EA" w:rsidRPr="003B47EA" w:rsidRDefault="003B47E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5B9BD5" w:themeColor="accent1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</w:tcPr>
          <w:p w:rsidR="003B47EA" w:rsidRPr="003B47EA" w:rsidRDefault="003B47E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5B9BD5" w:themeColor="accent1"/>
              </w:rPr>
            </w:pPr>
          </w:p>
        </w:tc>
      </w:tr>
      <w:tr w:rsidR="003B47EA" w:rsidRPr="003B47EA" w:rsidTr="003B47EA">
        <w:tblPrEx>
          <w:tblCellMar>
            <w:top w:w="0" w:type="dxa"/>
            <w:bottom w:w="0" w:type="dxa"/>
          </w:tblCellMar>
        </w:tblPrEx>
        <w:trPr>
          <w:trHeight w:val="269"/>
        </w:trPr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3B47EA" w:rsidRPr="003B47EA" w:rsidRDefault="003B47E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5B9BD5" w:themeColor="accent1"/>
              </w:rPr>
            </w:pPr>
          </w:p>
        </w:tc>
        <w:tc>
          <w:tcPr>
            <w:tcW w:w="6427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3B47EA" w:rsidRPr="003B47EA" w:rsidRDefault="003B47E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5B9BD5" w:themeColor="accent1"/>
              </w:rPr>
            </w:pPr>
            <w:r w:rsidRPr="003B47EA">
              <w:rPr>
                <w:rFonts w:ascii="Arial" w:hAnsi="Arial" w:cs="Arial"/>
                <w:color w:val="5B9BD5" w:themeColor="accent1"/>
              </w:rPr>
              <w:t>staviteľ - vykonávanie jednoduchých stavieb a poddodávok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3B47EA" w:rsidRPr="003B47EA" w:rsidRDefault="003B47E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5B9BD5" w:themeColor="accent1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</w:tcPr>
          <w:p w:rsidR="003B47EA" w:rsidRPr="003B47EA" w:rsidRDefault="003B47E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5B9BD5" w:themeColor="accent1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</w:tcPr>
          <w:p w:rsidR="003B47EA" w:rsidRPr="003B47EA" w:rsidRDefault="003B47E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5B9BD5" w:themeColor="accent1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</w:tcPr>
          <w:p w:rsidR="003B47EA" w:rsidRPr="003B47EA" w:rsidRDefault="003B47E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5B9BD5" w:themeColor="accent1"/>
              </w:rPr>
            </w:pPr>
          </w:p>
        </w:tc>
      </w:tr>
      <w:tr w:rsidR="003B47EA" w:rsidRPr="003B47EA" w:rsidTr="003B47EA">
        <w:tblPrEx>
          <w:tblCellMar>
            <w:top w:w="0" w:type="dxa"/>
            <w:bottom w:w="0" w:type="dxa"/>
          </w:tblCellMar>
        </w:tblPrEx>
        <w:trPr>
          <w:trHeight w:val="269"/>
        </w:trPr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3B47EA" w:rsidRPr="003B47EA" w:rsidRDefault="003B47E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5B9BD5" w:themeColor="accent1"/>
              </w:rPr>
            </w:pPr>
          </w:p>
        </w:tc>
        <w:tc>
          <w:tcPr>
            <w:tcW w:w="32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B47EA" w:rsidRPr="003B47EA" w:rsidRDefault="003B47E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5B9BD5" w:themeColor="accent1"/>
              </w:rPr>
            </w:pPr>
            <w:r w:rsidRPr="003B47EA">
              <w:rPr>
                <w:rFonts w:ascii="Arial" w:hAnsi="Arial" w:cs="Arial"/>
                <w:color w:val="5B9BD5" w:themeColor="accent1"/>
              </w:rPr>
              <w:t>rozpočtovanie v stavebníctve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:rsidR="003B47EA" w:rsidRPr="003B47EA" w:rsidRDefault="003B47E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5B9BD5" w:themeColor="accent1"/>
              </w:rPr>
            </w:pP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</w:tcPr>
          <w:p w:rsidR="003B47EA" w:rsidRPr="003B47EA" w:rsidRDefault="003B47E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5B9BD5" w:themeColor="accent1"/>
              </w:rPr>
            </w:pP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</w:tcPr>
          <w:p w:rsidR="003B47EA" w:rsidRPr="003B47EA" w:rsidRDefault="003B47E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5B9BD5" w:themeColor="accent1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3B47EA" w:rsidRPr="003B47EA" w:rsidRDefault="003B47E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5B9BD5" w:themeColor="accent1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</w:tcPr>
          <w:p w:rsidR="003B47EA" w:rsidRPr="003B47EA" w:rsidRDefault="003B47E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5B9BD5" w:themeColor="accent1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</w:tcPr>
          <w:p w:rsidR="003B47EA" w:rsidRPr="003B47EA" w:rsidRDefault="003B47E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5B9BD5" w:themeColor="accent1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</w:tcPr>
          <w:p w:rsidR="003B47EA" w:rsidRPr="003B47EA" w:rsidRDefault="003B47E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5B9BD5" w:themeColor="accent1"/>
              </w:rPr>
            </w:pPr>
          </w:p>
        </w:tc>
      </w:tr>
      <w:tr w:rsidR="003B47EA" w:rsidRPr="003B47EA" w:rsidTr="003B47EA">
        <w:tblPrEx>
          <w:tblCellMar>
            <w:top w:w="0" w:type="dxa"/>
            <w:bottom w:w="0" w:type="dxa"/>
          </w:tblCellMar>
        </w:tblPrEx>
        <w:trPr>
          <w:trHeight w:val="269"/>
        </w:trPr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3B47EA" w:rsidRPr="003B47EA" w:rsidRDefault="003B47E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5B9BD5" w:themeColor="accent1"/>
              </w:rPr>
            </w:pPr>
          </w:p>
        </w:tc>
        <w:tc>
          <w:tcPr>
            <w:tcW w:w="846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3B47EA" w:rsidRPr="003B47EA" w:rsidRDefault="003B47EA" w:rsidP="003B47E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5B9BD5" w:themeColor="accent1"/>
              </w:rPr>
            </w:pPr>
            <w:r w:rsidRPr="003B47EA">
              <w:rPr>
                <w:rFonts w:ascii="Arial" w:hAnsi="Arial" w:cs="Arial"/>
                <w:color w:val="5B9BD5" w:themeColor="accent1"/>
              </w:rPr>
              <w:t>sprostredkovateľská činnosť ( s výnimkou vylúčených z pôsobnosti živ. zákona)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</w:tcPr>
          <w:p w:rsidR="003B47EA" w:rsidRPr="003B47EA" w:rsidRDefault="003B47E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5B9BD5" w:themeColor="accent1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</w:tcPr>
          <w:p w:rsidR="003B47EA" w:rsidRPr="003B47EA" w:rsidRDefault="003B47E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5B9BD5" w:themeColor="accent1"/>
              </w:rPr>
            </w:pPr>
          </w:p>
        </w:tc>
      </w:tr>
      <w:tr w:rsidR="003B47EA" w:rsidRPr="003B47EA" w:rsidTr="003B47EA">
        <w:tblPrEx>
          <w:tblCellMar>
            <w:top w:w="0" w:type="dxa"/>
            <w:bottom w:w="0" w:type="dxa"/>
          </w:tblCellMar>
        </w:tblPrEx>
        <w:trPr>
          <w:trHeight w:val="269"/>
        </w:trPr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3B47EA" w:rsidRPr="003B47EA" w:rsidRDefault="003B47E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5B9BD5" w:themeColor="accent1"/>
              </w:rPr>
            </w:pPr>
          </w:p>
        </w:tc>
        <w:tc>
          <w:tcPr>
            <w:tcW w:w="434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3B47EA" w:rsidRPr="003B47EA" w:rsidRDefault="003B47E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5B9BD5" w:themeColor="accent1"/>
              </w:rPr>
            </w:pPr>
            <w:r w:rsidRPr="003B47EA">
              <w:rPr>
                <w:rFonts w:ascii="Arial" w:hAnsi="Arial" w:cs="Arial"/>
                <w:color w:val="5B9BD5" w:themeColor="accent1"/>
              </w:rPr>
              <w:t xml:space="preserve">kúpa tovaru za účelom jeho predaja 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</w:tcPr>
          <w:p w:rsidR="003B47EA" w:rsidRPr="003B47EA" w:rsidRDefault="003B47E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5B9BD5" w:themeColor="accent1"/>
              </w:rPr>
            </w:pP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</w:tcPr>
          <w:p w:rsidR="003B47EA" w:rsidRPr="003B47EA" w:rsidRDefault="003B47E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5B9BD5" w:themeColor="accent1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3B47EA" w:rsidRPr="003B47EA" w:rsidRDefault="003B47E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5B9BD5" w:themeColor="accent1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</w:tcPr>
          <w:p w:rsidR="003B47EA" w:rsidRPr="003B47EA" w:rsidRDefault="003B47E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5B9BD5" w:themeColor="accent1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</w:tcPr>
          <w:p w:rsidR="003B47EA" w:rsidRPr="003B47EA" w:rsidRDefault="003B47E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5B9BD5" w:themeColor="accent1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</w:tcPr>
          <w:p w:rsidR="003B47EA" w:rsidRPr="003B47EA" w:rsidRDefault="003B47E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5B9BD5" w:themeColor="accent1"/>
              </w:rPr>
            </w:pPr>
          </w:p>
        </w:tc>
      </w:tr>
    </w:tbl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5149F0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5149F0">
        <w:rPr>
          <w:rFonts w:ascii="Times New Roman" w:hAnsi="Times New Roman" w:cs="Times New Roman"/>
        </w:rPr>
        <w:t>I.2</w:t>
      </w:r>
      <w:r w:rsidRPr="005149F0">
        <w:rPr>
          <w:rFonts w:ascii="Times New Roman" w:hAnsi="Times New Roman" w:cs="Times New Roman"/>
        </w:rPr>
        <w:tab/>
        <w:t>Dátum schválenia účtovnej závierky za bezprostredne predchádzajúce účtovné obdobie:</w:t>
      </w:r>
    </w:p>
    <w:p w:rsidR="00360F88" w:rsidRPr="003B47EA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color w:val="5B9BD5" w:themeColor="accent1"/>
        </w:rPr>
      </w:pPr>
    </w:p>
    <w:p w:rsidR="00CE03EC" w:rsidRPr="002E2695" w:rsidRDefault="003B47E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3B47EA">
        <w:rPr>
          <w:rFonts w:ascii="Times New Roman" w:hAnsi="Times New Roman" w:cs="Times New Roman"/>
          <w:b/>
          <w:color w:val="5B9BD5" w:themeColor="accent1"/>
        </w:rPr>
        <w:t>14. apríla 2016</w:t>
      </w: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5149F0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5149F0">
        <w:rPr>
          <w:rFonts w:ascii="Times New Roman" w:hAnsi="Times New Roman" w:cs="Times New Roman"/>
        </w:rPr>
        <w:t>I.3</w:t>
      </w:r>
      <w:r w:rsidRPr="005149F0">
        <w:rPr>
          <w:rFonts w:ascii="Times New Roman" w:hAnsi="Times New Roman" w:cs="Times New Roman"/>
        </w:rPr>
        <w:tab/>
        <w:t xml:space="preserve">Právny dôvod </w:t>
      </w:r>
      <w:r w:rsidR="008774C4" w:rsidRPr="005149F0">
        <w:rPr>
          <w:rFonts w:ascii="Times New Roman" w:hAnsi="Times New Roman" w:cs="Times New Roman"/>
        </w:rPr>
        <w:t xml:space="preserve">na </w:t>
      </w:r>
      <w:r w:rsidRPr="005149F0">
        <w:rPr>
          <w:rFonts w:ascii="Times New Roman" w:hAnsi="Times New Roman" w:cs="Times New Roman"/>
        </w:rPr>
        <w:t>zostav</w:t>
      </w:r>
      <w:r w:rsidR="008774C4" w:rsidRPr="005149F0">
        <w:rPr>
          <w:rFonts w:ascii="Times New Roman" w:hAnsi="Times New Roman" w:cs="Times New Roman"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3B47EA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color w:val="5B9BD5" w:themeColor="accent1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3B47EA">
            <w:rPr>
              <w:rFonts w:ascii="MS Gothic" w:eastAsia="MS Gothic" w:hAnsi="MS Gothic" w:cs="Times New Roman" w:hint="eastAsia"/>
              <w:color w:val="5B9BD5" w:themeColor="accent1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CE03EC" w:rsidRPr="005149F0" w:rsidRDefault="00900440" w:rsidP="00CE03EC">
      <w:pPr>
        <w:spacing w:line="240" w:lineRule="auto"/>
        <w:jc w:val="both"/>
        <w:rPr>
          <w:rFonts w:ascii="Times New Roman" w:hAnsi="Times New Roman" w:cs="Times New Roman"/>
        </w:rPr>
      </w:pPr>
      <w:r w:rsidRPr="005149F0">
        <w:rPr>
          <w:rFonts w:ascii="Times New Roman" w:hAnsi="Times New Roman" w:cs="Times New Roman"/>
        </w:rPr>
        <w:t>I.4</w:t>
      </w:r>
      <w:r w:rsidR="00CE03EC" w:rsidRPr="005149F0">
        <w:rPr>
          <w:rFonts w:ascii="Times New Roman" w:hAnsi="Times New Roman" w:cs="Times New Roman"/>
        </w:rPr>
        <w:t xml:space="preserve"> </w:t>
      </w:r>
      <w:r w:rsidR="00CE03EC" w:rsidRPr="005149F0">
        <w:rPr>
          <w:rFonts w:ascii="Times New Roman" w:hAnsi="Times New Roman" w:cs="Times New Roman"/>
        </w:rPr>
        <w:tab/>
        <w:t>Informácie o</w:t>
      </w:r>
      <w:r w:rsidRPr="005149F0">
        <w:rPr>
          <w:rFonts w:ascii="Times New Roman" w:hAnsi="Times New Roman" w:cs="Times New Roman"/>
        </w:rPr>
        <w:t> skupine účtovných jednotiek, ak je účtovná jednotka jej</w:t>
      </w:r>
      <w:r w:rsidR="00CE03EC" w:rsidRPr="005149F0">
        <w:rPr>
          <w:rFonts w:ascii="Times New Roman" w:hAnsi="Times New Roman" w:cs="Times New Roman"/>
        </w:rPr>
        <w:t xml:space="preserve"> súčasťou:</w:t>
      </w:r>
    </w:p>
    <w:p w:rsidR="00031089" w:rsidRPr="00031089" w:rsidRDefault="00031089" w:rsidP="00CE03EC">
      <w:pPr>
        <w:spacing w:line="240" w:lineRule="auto"/>
        <w:jc w:val="both"/>
        <w:rPr>
          <w:rFonts w:ascii="Times New Roman" w:hAnsi="Times New Roman" w:cs="Times New Roman"/>
          <w:b/>
          <w:color w:val="5B9BD5" w:themeColor="accent1"/>
        </w:rPr>
      </w:pP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  <w:color w:val="5B9BD5" w:themeColor="accent1"/>
        </w:rPr>
        <w:t>Spoločnosť nie je súčasťou  žiadnej spoločnosti.</w:t>
      </w:r>
    </w:p>
    <w:p w:rsidR="005149F0" w:rsidRDefault="005149F0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5149F0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5149F0">
        <w:rPr>
          <w:rFonts w:ascii="Times New Roman" w:hAnsi="Times New Roman" w:cs="Times New Roman"/>
        </w:rPr>
        <w:t>I</w:t>
      </w:r>
      <w:r w:rsidR="008E4E28" w:rsidRPr="005149F0">
        <w:rPr>
          <w:rFonts w:ascii="Times New Roman" w:hAnsi="Times New Roman" w:cs="Times New Roman"/>
        </w:rPr>
        <w:t>.</w:t>
      </w:r>
      <w:r w:rsidRPr="005149F0">
        <w:rPr>
          <w:rFonts w:ascii="Times New Roman" w:hAnsi="Times New Roman" w:cs="Times New Roman"/>
        </w:rPr>
        <w:t>5</w:t>
      </w:r>
      <w:r w:rsidR="008E4E28" w:rsidRPr="005149F0">
        <w:rPr>
          <w:rFonts w:ascii="Times New Roman" w:hAnsi="Times New Roman" w:cs="Times New Roman"/>
        </w:rPr>
        <w:t xml:space="preserve"> </w:t>
      </w:r>
      <w:r w:rsidR="008E4E28" w:rsidRPr="005149F0">
        <w:rPr>
          <w:rFonts w:ascii="Times New Roman" w:hAnsi="Times New Roman" w:cs="Times New Roman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5149F0" w:rsidRDefault="008E4E28" w:rsidP="009E6AD6">
            <w:pPr>
              <w:jc w:val="center"/>
              <w:rPr>
                <w:rFonts w:ascii="Times New Roman" w:hAnsi="Times New Roman" w:cs="Times New Roman"/>
              </w:rPr>
            </w:pPr>
            <w:r w:rsidRPr="005149F0">
              <w:rPr>
                <w:rFonts w:ascii="Times New Roman" w:hAnsi="Times New Roman" w:cs="Times New Roman"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5149F0" w:rsidRDefault="008E4E28" w:rsidP="009E6AD6">
            <w:pPr>
              <w:jc w:val="center"/>
              <w:rPr>
                <w:rFonts w:ascii="Times New Roman" w:hAnsi="Times New Roman" w:cs="Times New Roman"/>
              </w:rPr>
            </w:pPr>
            <w:r w:rsidRPr="005149F0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5149F0" w:rsidRDefault="008E4E28" w:rsidP="009E6AD6">
            <w:pPr>
              <w:jc w:val="center"/>
              <w:rPr>
                <w:rFonts w:ascii="Times New Roman" w:hAnsi="Times New Roman" w:cs="Times New Roman"/>
              </w:rPr>
            </w:pPr>
            <w:r w:rsidRPr="005149F0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031089" w:rsidP="00031089">
            <w:pPr>
              <w:jc w:val="center"/>
              <w:rPr>
                <w:rFonts w:ascii="Times New Roman" w:hAnsi="Times New Roman" w:cs="Times New Roman"/>
              </w:rPr>
            </w:pPr>
            <w:r w:rsidRPr="00031089">
              <w:rPr>
                <w:rFonts w:ascii="Times New Roman" w:hAnsi="Times New Roman" w:cs="Times New Roman"/>
                <w:color w:val="5B9BD5" w:themeColor="accent1"/>
              </w:rPr>
              <w:t>12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031089" w:rsidP="00031089">
            <w:pPr>
              <w:jc w:val="center"/>
              <w:rPr>
                <w:rFonts w:ascii="Times New Roman" w:hAnsi="Times New Roman" w:cs="Times New Roman"/>
              </w:rPr>
            </w:pPr>
            <w:r w:rsidRPr="00031089">
              <w:rPr>
                <w:rFonts w:ascii="Times New Roman" w:hAnsi="Times New Roman" w:cs="Times New Roman"/>
                <w:color w:val="5B9BD5" w:themeColor="accent1"/>
              </w:rPr>
              <w:t>13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5149F0" w:rsidRDefault="005149F0" w:rsidP="00B832B9">
      <w:pPr>
        <w:spacing w:line="240" w:lineRule="auto"/>
        <w:rPr>
          <w:rFonts w:ascii="Times New Roman" w:hAnsi="Times New Roman" w:cs="Times New Roman"/>
          <w:b/>
          <w:color w:val="70AD47" w:themeColor="accent6"/>
        </w:rPr>
      </w:pPr>
    </w:p>
    <w:p w:rsidR="005149F0" w:rsidRDefault="005149F0" w:rsidP="00B832B9">
      <w:pPr>
        <w:spacing w:line="240" w:lineRule="auto"/>
        <w:rPr>
          <w:rFonts w:ascii="Times New Roman" w:hAnsi="Times New Roman" w:cs="Times New Roman"/>
          <w:b/>
          <w:color w:val="70AD47" w:themeColor="accent6"/>
        </w:rPr>
      </w:pPr>
    </w:p>
    <w:p w:rsidR="002E2695" w:rsidRPr="00C875AE" w:rsidRDefault="006E4085" w:rsidP="00B832B9">
      <w:pPr>
        <w:spacing w:line="240" w:lineRule="auto"/>
        <w:rPr>
          <w:rFonts w:ascii="Times New Roman" w:hAnsi="Times New Roman" w:cs="Times New Roman"/>
          <w:b/>
          <w:color w:val="70AD47" w:themeColor="accent6"/>
        </w:rPr>
      </w:pPr>
      <w:r w:rsidRPr="00C875AE">
        <w:rPr>
          <w:rFonts w:ascii="Times New Roman" w:hAnsi="Times New Roman" w:cs="Times New Roman"/>
          <w:b/>
          <w:color w:val="70AD47" w:themeColor="accent6"/>
        </w:rPr>
        <w:t>Čl. II</w:t>
      </w:r>
      <w:r w:rsidR="002E2695" w:rsidRPr="00C875AE">
        <w:rPr>
          <w:rFonts w:ascii="Times New Roman" w:hAnsi="Times New Roman" w:cs="Times New Roman"/>
          <w:b/>
          <w:color w:val="70AD47" w:themeColor="accent6"/>
        </w:rPr>
        <w:tab/>
      </w:r>
      <w:r w:rsidRPr="00C875AE">
        <w:rPr>
          <w:rFonts w:ascii="Times New Roman" w:hAnsi="Times New Roman" w:cs="Times New Roman"/>
          <w:b/>
          <w:color w:val="70AD47" w:themeColor="accent6"/>
        </w:rPr>
        <w:t>Informácie o</w:t>
      </w:r>
      <w:r w:rsidR="003F5AF5" w:rsidRPr="00C875AE">
        <w:rPr>
          <w:rFonts w:ascii="Times New Roman" w:hAnsi="Times New Roman" w:cs="Times New Roman"/>
          <w:b/>
          <w:color w:val="70AD47" w:themeColor="accent6"/>
        </w:rPr>
        <w:t> orgánoch spoločnosti</w:t>
      </w:r>
    </w:p>
    <w:p w:rsidR="00B832B9" w:rsidRPr="005149F0" w:rsidRDefault="002E2695" w:rsidP="00B832B9">
      <w:pPr>
        <w:spacing w:after="0" w:line="240" w:lineRule="auto"/>
        <w:jc w:val="both"/>
        <w:rPr>
          <w:rFonts w:ascii="Times New Roman" w:hAnsi="Times New Roman" w:cs="Times New Roman"/>
        </w:rPr>
      </w:pPr>
      <w:r w:rsidRPr="005149F0">
        <w:rPr>
          <w:rFonts w:ascii="Times New Roman" w:hAnsi="Times New Roman" w:cs="Times New Roman"/>
        </w:rPr>
        <w:t>II.</w:t>
      </w:r>
      <w:r w:rsidR="00B832B9" w:rsidRPr="005149F0">
        <w:rPr>
          <w:rFonts w:ascii="Times New Roman" w:hAnsi="Times New Roman" w:cs="Times New Roman"/>
        </w:rPr>
        <w:tab/>
        <w:t>Informácie o orgánoch účtovnej jednotky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31089" w:rsidRPr="00031089" w:rsidRDefault="00031089" w:rsidP="006E4085">
      <w:pPr>
        <w:spacing w:line="240" w:lineRule="auto"/>
        <w:jc w:val="both"/>
        <w:rPr>
          <w:rFonts w:ascii="Times New Roman" w:hAnsi="Times New Roman" w:cs="Times New Roman"/>
          <w:b/>
          <w:color w:val="5B9BD5" w:themeColor="accent1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color w:val="5B9BD5" w:themeColor="accent1"/>
          <w:sz w:val="24"/>
          <w:szCs w:val="24"/>
        </w:rPr>
        <w:t>Členom štatutárnych orgánov neboli poskytnuté žiadne úvery a záruky.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149F0" w:rsidRDefault="005149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C875AE" w:rsidRDefault="001D4FB8" w:rsidP="00B832B9">
      <w:pPr>
        <w:spacing w:line="240" w:lineRule="auto"/>
        <w:rPr>
          <w:rFonts w:ascii="Times New Roman" w:hAnsi="Times New Roman" w:cs="Times New Roman"/>
          <w:b/>
          <w:color w:val="70AD47" w:themeColor="accent6"/>
        </w:rPr>
      </w:pPr>
      <w:r w:rsidRPr="00C875AE">
        <w:rPr>
          <w:rFonts w:ascii="Times New Roman" w:hAnsi="Times New Roman" w:cs="Times New Roman"/>
          <w:b/>
          <w:color w:val="70AD47" w:themeColor="accent6"/>
        </w:rPr>
        <w:lastRenderedPageBreak/>
        <w:t>Čl. III</w:t>
      </w:r>
      <w:r w:rsidRPr="00C875AE">
        <w:rPr>
          <w:rFonts w:ascii="Times New Roman" w:hAnsi="Times New Roman" w:cs="Times New Roman"/>
          <w:b/>
          <w:color w:val="70AD47" w:themeColor="accent6"/>
        </w:rPr>
        <w:tab/>
        <w:t>I</w:t>
      </w:r>
      <w:r w:rsidR="00B832B9" w:rsidRPr="00C875AE">
        <w:rPr>
          <w:rFonts w:ascii="Times New Roman" w:hAnsi="Times New Roman" w:cs="Times New Roman"/>
          <w:b/>
          <w:color w:val="70AD47" w:themeColor="accent6"/>
        </w:rPr>
        <w:t>nformácie o prijatých postupoch</w:t>
      </w:r>
    </w:p>
    <w:p w:rsidR="005149F0" w:rsidRDefault="005149F0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6E4085" w:rsidRPr="005149F0" w:rsidRDefault="001D4FB8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5149F0">
        <w:rPr>
          <w:rFonts w:ascii="Times New Roman" w:hAnsi="Times New Roman" w:cs="Times New Roman"/>
          <w:szCs w:val="24"/>
        </w:rPr>
        <w:t>III. 1</w:t>
      </w:r>
      <w:r w:rsidRPr="005149F0">
        <w:rPr>
          <w:rFonts w:ascii="Times New Roman" w:hAnsi="Times New Roman" w:cs="Times New Roman"/>
          <w:szCs w:val="24"/>
        </w:rPr>
        <w:tab/>
      </w:r>
      <w:r w:rsidR="006E4085" w:rsidRPr="005149F0">
        <w:rPr>
          <w:rFonts w:ascii="Times New Roman" w:hAnsi="Times New Roman" w:cs="Times New Roman"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5149F0">
            <w:rPr>
              <w:rFonts w:ascii="MS Gothic" w:eastAsia="MS Gothic" w:hAnsi="MS Gothic" w:cs="Times New Roman" w:hint="eastAsia"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5149F0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 w:rsidRPr="005149F0">
        <w:rPr>
          <w:rFonts w:ascii="Times New Roman" w:hAnsi="Times New Roman" w:cs="Times New Roman"/>
          <w:szCs w:val="24"/>
        </w:rPr>
        <w:t>III. 2</w:t>
      </w:r>
      <w:r w:rsidRPr="005149F0">
        <w:rPr>
          <w:rFonts w:ascii="Times New Roman" w:hAnsi="Times New Roman" w:cs="Times New Roman"/>
          <w:szCs w:val="24"/>
        </w:rPr>
        <w:tab/>
        <w:t>Zmeny účtovných zásad a metód:</w:t>
      </w:r>
    </w:p>
    <w:p w:rsidR="00A24944" w:rsidRDefault="00A24944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1D4FB8" w:rsidRPr="00A24944" w:rsidRDefault="00031089" w:rsidP="00A24944">
      <w:pPr>
        <w:spacing w:line="240" w:lineRule="auto"/>
        <w:ind w:firstLine="708"/>
        <w:jc w:val="both"/>
        <w:rPr>
          <w:rFonts w:ascii="Times New Roman" w:hAnsi="Times New Roman" w:cs="Times New Roman"/>
          <w:color w:val="5B9BD5" w:themeColor="accent1"/>
          <w:szCs w:val="24"/>
        </w:rPr>
      </w:pPr>
      <w:r w:rsidRPr="00A24944">
        <w:rPr>
          <w:rFonts w:ascii="Times New Roman" w:hAnsi="Times New Roman" w:cs="Times New Roman"/>
          <w:color w:val="5B9BD5" w:themeColor="accent1"/>
          <w:szCs w:val="24"/>
        </w:rPr>
        <w:t>Nenastali žiadne zmeny v ú</w:t>
      </w:r>
      <w:r w:rsidR="001D4FB8" w:rsidRPr="00A24944">
        <w:rPr>
          <w:rFonts w:ascii="Times New Roman" w:hAnsi="Times New Roman" w:cs="Times New Roman"/>
          <w:color w:val="5B9BD5" w:themeColor="accent1"/>
          <w:szCs w:val="24"/>
        </w:rPr>
        <w:t>čtovn</w:t>
      </w:r>
      <w:r w:rsidRPr="00A24944">
        <w:rPr>
          <w:rFonts w:ascii="Times New Roman" w:hAnsi="Times New Roman" w:cs="Times New Roman"/>
          <w:color w:val="5B9BD5" w:themeColor="accent1"/>
          <w:szCs w:val="24"/>
        </w:rPr>
        <w:t>ých</w:t>
      </w:r>
      <w:r w:rsidR="001D4FB8" w:rsidRPr="00A24944">
        <w:rPr>
          <w:rFonts w:ascii="Times New Roman" w:hAnsi="Times New Roman" w:cs="Times New Roman"/>
          <w:color w:val="5B9BD5" w:themeColor="accent1"/>
          <w:szCs w:val="24"/>
        </w:rPr>
        <w:t xml:space="preserve"> metód</w:t>
      </w:r>
      <w:r w:rsidRPr="00A24944">
        <w:rPr>
          <w:rFonts w:ascii="Times New Roman" w:hAnsi="Times New Roman" w:cs="Times New Roman"/>
          <w:color w:val="5B9BD5" w:themeColor="accent1"/>
          <w:szCs w:val="24"/>
        </w:rPr>
        <w:t>ach</w:t>
      </w:r>
      <w:r w:rsidR="001D4FB8" w:rsidRPr="00A24944">
        <w:rPr>
          <w:rFonts w:ascii="Times New Roman" w:hAnsi="Times New Roman" w:cs="Times New Roman"/>
          <w:color w:val="5B9BD5" w:themeColor="accent1"/>
          <w:szCs w:val="24"/>
        </w:rPr>
        <w:t xml:space="preserve"> a</w:t>
      </w:r>
      <w:r w:rsidR="00A24944" w:rsidRPr="00A24944">
        <w:rPr>
          <w:rFonts w:ascii="Times New Roman" w:hAnsi="Times New Roman" w:cs="Times New Roman"/>
          <w:color w:val="5B9BD5" w:themeColor="accent1"/>
          <w:szCs w:val="24"/>
        </w:rPr>
        <w:t> </w:t>
      </w:r>
      <w:r w:rsidR="001D4FB8" w:rsidRPr="00A24944">
        <w:rPr>
          <w:rFonts w:ascii="Times New Roman" w:hAnsi="Times New Roman" w:cs="Times New Roman"/>
          <w:color w:val="5B9BD5" w:themeColor="accent1"/>
          <w:szCs w:val="24"/>
        </w:rPr>
        <w:t>z</w:t>
      </w:r>
      <w:r w:rsidR="00B832B9" w:rsidRPr="00A24944">
        <w:rPr>
          <w:rFonts w:ascii="Times New Roman" w:hAnsi="Times New Roman" w:cs="Times New Roman"/>
          <w:color w:val="5B9BD5" w:themeColor="accent1"/>
          <w:szCs w:val="24"/>
        </w:rPr>
        <w:t>á</w:t>
      </w:r>
      <w:r w:rsidR="001D4FB8" w:rsidRPr="00A24944">
        <w:rPr>
          <w:rFonts w:ascii="Times New Roman" w:hAnsi="Times New Roman" w:cs="Times New Roman"/>
          <w:color w:val="5B9BD5" w:themeColor="accent1"/>
          <w:szCs w:val="24"/>
        </w:rPr>
        <w:t>sad</w:t>
      </w:r>
      <w:r w:rsidRPr="00A24944">
        <w:rPr>
          <w:rFonts w:ascii="Times New Roman" w:hAnsi="Times New Roman" w:cs="Times New Roman"/>
          <w:color w:val="5B9BD5" w:themeColor="accent1"/>
          <w:szCs w:val="24"/>
        </w:rPr>
        <w:t>ách</w:t>
      </w:r>
      <w:r w:rsidR="00A24944" w:rsidRPr="00A24944">
        <w:rPr>
          <w:rFonts w:ascii="Times New Roman" w:hAnsi="Times New Roman" w:cs="Times New Roman"/>
          <w:color w:val="5B9BD5" w:themeColor="accent1"/>
          <w:szCs w:val="24"/>
        </w:rPr>
        <w:t>, sú</w:t>
      </w:r>
      <w:r w:rsidR="001D4FB8" w:rsidRPr="00A24944">
        <w:rPr>
          <w:rFonts w:ascii="Times New Roman" w:hAnsi="Times New Roman" w:cs="Times New Roman"/>
          <w:color w:val="5B9BD5" w:themeColor="accent1"/>
          <w:szCs w:val="24"/>
        </w:rPr>
        <w:t xml:space="preserve"> aplikované</w:t>
      </w:r>
      <w:r w:rsidR="00B05B9D" w:rsidRPr="00A24944">
        <w:rPr>
          <w:rFonts w:ascii="Times New Roman" w:hAnsi="Times New Roman" w:cs="Times New Roman"/>
          <w:color w:val="5B9BD5" w:themeColor="accent1"/>
          <w:szCs w:val="24"/>
        </w:rPr>
        <w:t xml:space="preserve"> v rámci platného </w:t>
      </w:r>
      <w:proofErr w:type="spellStart"/>
      <w:r w:rsidR="00B05B9D" w:rsidRPr="00A24944">
        <w:rPr>
          <w:rFonts w:ascii="Times New Roman" w:hAnsi="Times New Roman" w:cs="Times New Roman"/>
          <w:color w:val="5B9BD5" w:themeColor="accent1"/>
          <w:szCs w:val="24"/>
        </w:rPr>
        <w:t>ZoÚ</w:t>
      </w:r>
      <w:proofErr w:type="spellEnd"/>
      <w:r w:rsidR="00B05B9D" w:rsidRPr="00A24944">
        <w:rPr>
          <w:rFonts w:ascii="Times New Roman" w:hAnsi="Times New Roman" w:cs="Times New Roman"/>
          <w:color w:val="5B9BD5" w:themeColor="accent1"/>
          <w:szCs w:val="24"/>
        </w:rPr>
        <w:t xml:space="preserve">, 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149F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8911C5" w:rsidRPr="005149F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5149F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Spôsob oceňovania jednotlivých zložiek majetku a záväzkov:</w:t>
      </w:r>
    </w:p>
    <w:p w:rsidR="005149F0" w:rsidRPr="005149F0" w:rsidRDefault="005149F0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5149F0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5149F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5149F0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5149F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5149F0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5149F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5149F0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 xml:space="preserve">Náklady spojené </w:t>
            </w:r>
            <w:r w:rsidRPr="005149F0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875A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5B9BD5" w:themeColor="accent1"/>
                <w:lang w:eastAsia="sk-SK"/>
              </w:rPr>
            </w:pPr>
            <w:r w:rsidRPr="00C875AE">
              <w:rPr>
                <w:rFonts w:ascii="Times New Roman" w:eastAsia="Times New Roman" w:hAnsi="Times New Roman" w:cs="Times New Roman"/>
                <w:bCs/>
                <w:color w:val="5B9BD5" w:themeColor="accent1"/>
                <w:lang w:eastAsia="sk-SK"/>
              </w:rPr>
              <w:t> </w:t>
            </w:r>
            <w:r w:rsidR="008911C5" w:rsidRPr="00C875AE">
              <w:rPr>
                <w:rFonts w:ascii="Times New Roman" w:eastAsia="Times New Roman" w:hAnsi="Times New Roman" w:cs="Times New Roman"/>
                <w:bCs/>
                <w:color w:val="5B9BD5" w:themeColor="accent1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C875AE" w:rsidRDefault="008911C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5B9BD5" w:themeColor="accent1"/>
                <w:lang w:eastAsia="sk-SK"/>
              </w:rPr>
            </w:pPr>
            <w:r w:rsidRPr="00C875AE">
              <w:rPr>
                <w:rFonts w:ascii="Times New Roman" w:eastAsia="Times New Roman" w:hAnsi="Times New Roman" w:cs="Times New Roman"/>
                <w:bCs/>
                <w:color w:val="5B9BD5" w:themeColor="accent1"/>
                <w:lang w:eastAsia="sk-SK"/>
              </w:rPr>
              <w:t>áno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875A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5B9BD5" w:themeColor="accent1"/>
                <w:lang w:eastAsia="sk-SK"/>
              </w:rPr>
            </w:pPr>
            <w:r w:rsidRPr="00C875AE">
              <w:rPr>
                <w:rFonts w:ascii="Times New Roman" w:eastAsia="Times New Roman" w:hAnsi="Times New Roman" w:cs="Times New Roman"/>
                <w:bCs/>
                <w:color w:val="5B9BD5" w:themeColor="accent1"/>
                <w:lang w:eastAsia="sk-SK"/>
              </w:rPr>
              <w:t> </w:t>
            </w:r>
            <w:r w:rsidR="008911C5" w:rsidRPr="00C875AE">
              <w:rPr>
                <w:rFonts w:ascii="Times New Roman" w:eastAsia="Times New Roman" w:hAnsi="Times New Roman" w:cs="Times New Roman"/>
                <w:bCs/>
                <w:color w:val="5B9BD5" w:themeColor="accent1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C875AE" w:rsidRDefault="008911C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5B9BD5" w:themeColor="accent1"/>
                <w:lang w:eastAsia="sk-SK"/>
              </w:rPr>
            </w:pPr>
            <w:r w:rsidRPr="00C875AE">
              <w:rPr>
                <w:rFonts w:ascii="Times New Roman" w:eastAsia="Times New Roman" w:hAnsi="Times New Roman" w:cs="Times New Roman"/>
                <w:bCs/>
                <w:color w:val="5B9BD5" w:themeColor="accent1"/>
                <w:lang w:eastAsia="sk-SK"/>
              </w:rPr>
              <w:t>áno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875A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5B9BD5" w:themeColor="accent1"/>
                <w:lang w:eastAsia="sk-SK"/>
              </w:rPr>
            </w:pPr>
            <w:r w:rsidRPr="00C875AE">
              <w:rPr>
                <w:rFonts w:ascii="Times New Roman" w:eastAsia="Times New Roman" w:hAnsi="Times New Roman" w:cs="Times New Roman"/>
                <w:bCs/>
                <w:color w:val="5B9BD5" w:themeColor="accent1"/>
                <w:lang w:eastAsia="sk-SK"/>
              </w:rPr>
              <w:t> </w:t>
            </w:r>
            <w:r w:rsidR="008911C5" w:rsidRPr="00C875AE">
              <w:rPr>
                <w:rFonts w:ascii="Times New Roman" w:eastAsia="Times New Roman" w:hAnsi="Times New Roman" w:cs="Times New Roman"/>
                <w:bCs/>
                <w:color w:val="5B9BD5" w:themeColor="accent1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8911C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5B9BD5" w:themeColor="accent1"/>
                <w:lang w:eastAsia="sk-SK"/>
              </w:rPr>
            </w:pPr>
            <w:r w:rsidRPr="008911C5">
              <w:rPr>
                <w:rFonts w:ascii="Times New Roman" w:eastAsia="Times New Roman" w:hAnsi="Times New Roman" w:cs="Times New Roman"/>
                <w:b/>
                <w:bCs/>
                <w:color w:val="5B9BD5" w:themeColor="accen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875A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5B9BD5" w:themeColor="accent1"/>
                <w:lang w:eastAsia="sk-SK"/>
              </w:rPr>
            </w:pPr>
            <w:r w:rsidRPr="00C875AE">
              <w:rPr>
                <w:rFonts w:ascii="Times New Roman" w:eastAsia="Times New Roman" w:hAnsi="Times New Roman" w:cs="Times New Roman"/>
                <w:bCs/>
                <w:color w:val="5B9BD5" w:themeColor="accent1"/>
                <w:lang w:eastAsia="sk-SK"/>
              </w:rPr>
              <w:t> </w:t>
            </w:r>
            <w:r w:rsidR="008911C5" w:rsidRPr="00C875AE">
              <w:rPr>
                <w:rFonts w:ascii="Times New Roman" w:eastAsia="Times New Roman" w:hAnsi="Times New Roman" w:cs="Times New Roman"/>
                <w:bCs/>
                <w:color w:val="5B9BD5" w:themeColor="accent1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8911C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5B9BD5" w:themeColor="accent1"/>
                <w:lang w:eastAsia="sk-SK"/>
              </w:rPr>
            </w:pPr>
            <w:r w:rsidRPr="008911C5">
              <w:rPr>
                <w:rFonts w:ascii="Times New Roman" w:eastAsia="Times New Roman" w:hAnsi="Times New Roman" w:cs="Times New Roman"/>
                <w:b/>
                <w:bCs/>
                <w:color w:val="5B9BD5" w:themeColor="accen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875A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5B9BD5" w:themeColor="accent1"/>
                <w:lang w:eastAsia="sk-SK"/>
              </w:rPr>
            </w:pPr>
            <w:r w:rsidRPr="00C875AE">
              <w:rPr>
                <w:rFonts w:ascii="Times New Roman" w:eastAsia="Times New Roman" w:hAnsi="Times New Roman" w:cs="Times New Roman"/>
                <w:bCs/>
                <w:color w:val="5B9BD5" w:themeColor="accent1"/>
                <w:lang w:eastAsia="sk-SK"/>
              </w:rPr>
              <w:t> </w:t>
            </w:r>
            <w:r w:rsidR="008911C5" w:rsidRPr="00C875AE">
              <w:rPr>
                <w:rFonts w:ascii="Times New Roman" w:eastAsia="Times New Roman" w:hAnsi="Times New Roman" w:cs="Times New Roman"/>
                <w:bCs/>
                <w:color w:val="5B9BD5" w:themeColor="accent1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8911C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5B9BD5" w:themeColor="accent1"/>
                <w:lang w:eastAsia="sk-SK"/>
              </w:rPr>
            </w:pPr>
            <w:r w:rsidRPr="008911C5">
              <w:rPr>
                <w:rFonts w:ascii="Times New Roman" w:eastAsia="Times New Roman" w:hAnsi="Times New Roman" w:cs="Times New Roman"/>
                <w:b/>
                <w:bCs/>
                <w:color w:val="5B9BD5" w:themeColor="accen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8911C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Splatná daň z príjmov 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875AE" w:rsidRDefault="008911C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5B9BD5" w:themeColor="accent1"/>
                <w:lang w:eastAsia="sk-SK"/>
              </w:rPr>
            </w:pPr>
            <w:r w:rsidRPr="00C875AE">
              <w:rPr>
                <w:rFonts w:ascii="Times New Roman" w:eastAsia="Times New Roman" w:hAnsi="Times New Roman" w:cs="Times New Roman"/>
                <w:bCs/>
                <w:color w:val="5B9BD5" w:themeColor="accent1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8911C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5B9BD5" w:themeColor="accent1"/>
                <w:lang w:eastAsia="sk-SK"/>
              </w:rPr>
            </w:pPr>
            <w:r w:rsidRPr="008911C5">
              <w:rPr>
                <w:rFonts w:ascii="Times New Roman" w:eastAsia="Times New Roman" w:hAnsi="Times New Roman" w:cs="Times New Roman"/>
                <w:b/>
                <w:bCs/>
                <w:color w:val="5B9BD5" w:themeColor="accent1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5149F0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149F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5149F0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149F0" w:rsidRDefault="00E42DF0" w:rsidP="00E42DF0">
            <w:pPr>
              <w:jc w:val="center"/>
              <w:rPr>
                <w:rFonts w:ascii="Times New Roman" w:hAnsi="Times New Roman" w:cs="Times New Roman"/>
                <w:szCs w:val="24"/>
              </w:rPr>
            </w:pPr>
            <w:r w:rsidRPr="005149F0">
              <w:rPr>
                <w:rFonts w:ascii="Times New Roman" w:hAnsi="Times New Roman" w:cs="Times New Roman"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149F0" w:rsidRDefault="00E42DF0" w:rsidP="00E42DF0">
            <w:pPr>
              <w:jc w:val="center"/>
              <w:rPr>
                <w:rFonts w:ascii="Times New Roman" w:hAnsi="Times New Roman" w:cs="Times New Roman"/>
                <w:szCs w:val="24"/>
              </w:rPr>
            </w:pPr>
            <w:r w:rsidRPr="005149F0">
              <w:rPr>
                <w:rFonts w:ascii="Times New Roman" w:hAnsi="Times New Roman" w:cs="Times New Roman"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149F0" w:rsidRDefault="00E42DF0" w:rsidP="00E42DF0">
            <w:pPr>
              <w:jc w:val="center"/>
              <w:rPr>
                <w:rFonts w:ascii="Times New Roman" w:hAnsi="Times New Roman" w:cs="Times New Roman"/>
                <w:szCs w:val="24"/>
              </w:rPr>
            </w:pPr>
            <w:r w:rsidRPr="005149F0">
              <w:rPr>
                <w:rFonts w:ascii="Times New Roman" w:hAnsi="Times New Roman" w:cs="Times New Roman"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149F0" w:rsidRDefault="00E42DF0" w:rsidP="00E42DF0">
            <w:pPr>
              <w:jc w:val="center"/>
              <w:rPr>
                <w:rFonts w:ascii="Times New Roman" w:hAnsi="Times New Roman" w:cs="Times New Roman"/>
                <w:szCs w:val="24"/>
              </w:rPr>
            </w:pPr>
            <w:r w:rsidRPr="005149F0">
              <w:rPr>
                <w:rFonts w:ascii="Times New Roman" w:hAnsi="Times New Roman" w:cs="Times New Roman"/>
                <w:szCs w:val="24"/>
              </w:rPr>
              <w:t>Odpisová metóda</w:t>
            </w:r>
          </w:p>
        </w:tc>
      </w:tr>
      <w:tr w:rsidR="005149F0" w:rsidRPr="001675D2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1675D2" w:rsidRDefault="001675D2" w:rsidP="006E4085">
            <w:pPr>
              <w:jc w:val="both"/>
              <w:rPr>
                <w:rFonts w:ascii="Times New Roman" w:hAnsi="Times New Roman" w:cs="Times New Roman"/>
                <w:color w:val="5B9BD5" w:themeColor="accent1"/>
                <w:sz w:val="24"/>
                <w:szCs w:val="24"/>
              </w:rPr>
            </w:pPr>
            <w:r w:rsidRPr="001675D2">
              <w:rPr>
                <w:rFonts w:ascii="Times New Roman" w:hAnsi="Times New Roman" w:cs="Times New Roman"/>
                <w:color w:val="5B9BD5" w:themeColor="accent1"/>
                <w:sz w:val="24"/>
                <w:szCs w:val="24"/>
              </w:rPr>
              <w:t>Samostatné hnuteľné veci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1675D2" w:rsidRDefault="001675D2" w:rsidP="001675D2">
            <w:pPr>
              <w:jc w:val="center"/>
              <w:rPr>
                <w:rFonts w:ascii="Times New Roman" w:hAnsi="Times New Roman" w:cs="Times New Roman"/>
                <w:color w:val="5B9BD5" w:themeColor="accent1"/>
                <w:sz w:val="24"/>
                <w:szCs w:val="24"/>
              </w:rPr>
            </w:pPr>
            <w:r w:rsidRPr="001675D2">
              <w:rPr>
                <w:rFonts w:ascii="Times New Roman" w:hAnsi="Times New Roman" w:cs="Times New Roman"/>
                <w:color w:val="5B9BD5" w:themeColor="accent1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1675D2" w:rsidRDefault="001675D2" w:rsidP="001675D2">
            <w:pPr>
              <w:jc w:val="center"/>
              <w:rPr>
                <w:rFonts w:ascii="Times New Roman" w:hAnsi="Times New Roman" w:cs="Times New Roman"/>
                <w:color w:val="5B9BD5" w:themeColor="accent1"/>
                <w:sz w:val="24"/>
                <w:szCs w:val="24"/>
              </w:rPr>
            </w:pPr>
            <w:r w:rsidRPr="001675D2">
              <w:rPr>
                <w:rFonts w:ascii="Times New Roman" w:hAnsi="Times New Roman" w:cs="Times New Roman"/>
                <w:color w:val="5B9BD5" w:themeColor="accent1"/>
                <w:sz w:val="24"/>
                <w:szCs w:val="24"/>
              </w:rPr>
              <w:t>1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1675D2" w:rsidRDefault="001675D2" w:rsidP="001675D2">
            <w:pPr>
              <w:jc w:val="center"/>
              <w:rPr>
                <w:rFonts w:ascii="Times New Roman" w:hAnsi="Times New Roman" w:cs="Times New Roman"/>
                <w:color w:val="5B9BD5" w:themeColor="accent1"/>
                <w:sz w:val="24"/>
                <w:szCs w:val="24"/>
              </w:rPr>
            </w:pPr>
            <w:r w:rsidRPr="001675D2">
              <w:rPr>
                <w:rFonts w:ascii="Times New Roman" w:hAnsi="Times New Roman" w:cs="Times New Roman"/>
                <w:color w:val="5B9BD5" w:themeColor="accent1"/>
                <w:sz w:val="24"/>
                <w:szCs w:val="24"/>
              </w:rPr>
              <w:t>rovn</w:t>
            </w:r>
            <w:r>
              <w:rPr>
                <w:rFonts w:ascii="Times New Roman" w:hAnsi="Times New Roman" w:cs="Times New Roman"/>
                <w:color w:val="5B9BD5" w:themeColor="accent1"/>
                <w:sz w:val="24"/>
                <w:szCs w:val="24"/>
              </w:rPr>
              <w:t>o</w:t>
            </w:r>
            <w:r w:rsidRPr="001675D2">
              <w:rPr>
                <w:rFonts w:ascii="Times New Roman" w:hAnsi="Times New Roman" w:cs="Times New Roman"/>
                <w:color w:val="5B9BD5" w:themeColor="accent1"/>
                <w:sz w:val="24"/>
                <w:szCs w:val="24"/>
              </w:rPr>
              <w:t>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1675D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675D2">
              <w:rPr>
                <w:rFonts w:ascii="Times New Roman" w:hAnsi="Times New Roman" w:cs="Times New Roman"/>
                <w:color w:val="5B9BD5" w:themeColor="accent1"/>
                <w:sz w:val="24"/>
                <w:szCs w:val="24"/>
              </w:rPr>
              <w:t>Samostatné hnuteľné veci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1675D2" w:rsidRDefault="001675D2" w:rsidP="001675D2">
            <w:pPr>
              <w:jc w:val="center"/>
              <w:rPr>
                <w:rFonts w:ascii="Times New Roman" w:hAnsi="Times New Roman" w:cs="Times New Roman"/>
                <w:color w:val="5B9BD5" w:themeColor="accen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5B9BD5" w:themeColor="accent1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1675D2" w:rsidRDefault="001675D2" w:rsidP="001675D2">
            <w:pPr>
              <w:jc w:val="center"/>
              <w:rPr>
                <w:rFonts w:ascii="Times New Roman" w:hAnsi="Times New Roman" w:cs="Times New Roman"/>
                <w:color w:val="5B9BD5" w:themeColor="accen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5B9BD5" w:themeColor="accent1"/>
                <w:sz w:val="24"/>
                <w:szCs w:val="24"/>
              </w:rPr>
              <w:t>2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1675D2" w:rsidRDefault="001675D2" w:rsidP="001675D2">
            <w:pPr>
              <w:jc w:val="center"/>
              <w:rPr>
                <w:rFonts w:ascii="Times New Roman" w:hAnsi="Times New Roman" w:cs="Times New Roman"/>
                <w:color w:val="5B9BD5" w:themeColor="accen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5B9BD5" w:themeColor="accent1"/>
                <w:sz w:val="24"/>
                <w:szCs w:val="24"/>
              </w:rPr>
              <w:t>rovnomerné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Default="00DC3B5F" w:rsidP="001675D2">
      <w:pPr>
        <w:spacing w:line="240" w:lineRule="auto"/>
        <w:ind w:left="709" w:hanging="1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Pr="005149F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675D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zostavil</w:t>
      </w:r>
      <w:r w:rsidR="001675D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675D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</w:t>
      </w:r>
      <w:r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redpisom tak, že za základ vzal</w:t>
      </w:r>
      <w:r w:rsidR="001675D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Pr="005149F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86157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149F0" w:rsidRDefault="005149F0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149F0" w:rsidRDefault="005149F0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149F0" w:rsidRDefault="005149F0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149F0" w:rsidRDefault="005149F0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149F0" w:rsidRDefault="005149F0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149F0" w:rsidRDefault="005149F0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149F0" w:rsidRPr="00C5195B" w:rsidRDefault="005149F0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875AE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70AD47" w:themeColor="accent6"/>
          <w:szCs w:val="24"/>
        </w:rPr>
      </w:pPr>
      <w:r w:rsidRPr="00C875AE">
        <w:rPr>
          <w:rFonts w:ascii="Times New Roman" w:hAnsi="Times New Roman" w:cs="Times New Roman"/>
          <w:b/>
          <w:color w:val="70AD47" w:themeColor="accent6"/>
          <w:szCs w:val="24"/>
        </w:rPr>
        <w:lastRenderedPageBreak/>
        <w:t>Čl. IV</w:t>
      </w:r>
      <w:r w:rsidRPr="00C875AE">
        <w:rPr>
          <w:rFonts w:ascii="Times New Roman" w:hAnsi="Times New Roman" w:cs="Times New Roman"/>
          <w:b/>
          <w:color w:val="70AD47" w:themeColor="accent6"/>
          <w:szCs w:val="24"/>
        </w:rPr>
        <w:tab/>
      </w:r>
      <w:r w:rsidR="001D099A" w:rsidRPr="00C875AE">
        <w:rPr>
          <w:rFonts w:ascii="Times New Roman" w:hAnsi="Times New Roman" w:cs="Times New Roman"/>
          <w:b/>
          <w:color w:val="70AD47" w:themeColor="accent6"/>
          <w:szCs w:val="24"/>
        </w:rPr>
        <w:t>Informácie, kto</w:t>
      </w:r>
      <w:r w:rsidR="00A562DA" w:rsidRPr="00C875AE">
        <w:rPr>
          <w:rFonts w:ascii="Times New Roman" w:hAnsi="Times New Roman" w:cs="Times New Roman"/>
          <w:b/>
          <w:color w:val="70AD47" w:themeColor="accent6"/>
          <w:szCs w:val="24"/>
        </w:rPr>
        <w:t xml:space="preserve">ré vysvetľujú a dopĺňajú položky </w:t>
      </w:r>
      <w:r w:rsidR="001D099A" w:rsidRPr="00C875AE">
        <w:rPr>
          <w:rFonts w:ascii="Times New Roman" w:hAnsi="Times New Roman" w:cs="Times New Roman"/>
          <w:b/>
          <w:color w:val="70AD47" w:themeColor="accent6"/>
          <w:szCs w:val="24"/>
        </w:rPr>
        <w:t>výkaz</w:t>
      </w:r>
      <w:r w:rsidR="00A562DA" w:rsidRPr="00C875AE">
        <w:rPr>
          <w:rFonts w:ascii="Times New Roman" w:hAnsi="Times New Roman" w:cs="Times New Roman"/>
          <w:b/>
          <w:color w:val="70AD47" w:themeColor="accent6"/>
          <w:szCs w:val="24"/>
        </w:rPr>
        <w:t>u</w:t>
      </w:r>
      <w:r w:rsidR="001D099A" w:rsidRPr="00C875AE">
        <w:rPr>
          <w:rFonts w:ascii="Times New Roman" w:hAnsi="Times New Roman" w:cs="Times New Roman"/>
          <w:b/>
          <w:color w:val="70AD47" w:themeColor="accent6"/>
          <w:szCs w:val="24"/>
        </w:rPr>
        <w:t xml:space="preserve"> ziskov a</w:t>
      </w:r>
      <w:r w:rsidRPr="00C875AE">
        <w:rPr>
          <w:rFonts w:ascii="Times New Roman" w:hAnsi="Times New Roman" w:cs="Times New Roman"/>
          <w:b/>
          <w:color w:val="70AD47" w:themeColor="accent6"/>
          <w:szCs w:val="24"/>
        </w:rPr>
        <w:t> </w:t>
      </w:r>
      <w:r w:rsidR="001D099A" w:rsidRPr="00C875AE">
        <w:rPr>
          <w:rFonts w:ascii="Times New Roman" w:hAnsi="Times New Roman" w:cs="Times New Roman"/>
          <w:b/>
          <w:color w:val="70AD47" w:themeColor="accent6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5149F0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149F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</w:t>
      </w:r>
      <w:r w:rsidR="005149F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5149F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5149F0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5149F0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5149F0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5149F0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5149F0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5149F0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5149F0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3719D4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5B9BD5" w:themeColor="accent1"/>
                <w:lang w:eastAsia="sk-SK"/>
              </w:rPr>
              <w:t>nemáme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3719D4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nemáme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49F0" w:rsidRDefault="005149F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49F0" w:rsidRDefault="005149F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149F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</w:t>
      </w:r>
      <w:r w:rsidR="005149F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5149F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p w:rsidR="005149F0" w:rsidRPr="005149F0" w:rsidRDefault="005149F0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5149F0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5149F0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5149F0">
              <w:rPr>
                <w:rFonts w:ascii="Times New Roman" w:eastAsia="Times New Roman" w:hAnsi="Times New Roman" w:cs="Times New Roman"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5149F0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5149F0">
              <w:rPr>
                <w:rFonts w:ascii="Times New Roman" w:eastAsia="Times New Roman" w:hAnsi="Times New Roman" w:cs="Times New Roman"/>
                <w:bCs/>
                <w:lang w:eastAsia="sk-SK"/>
              </w:rPr>
              <w:t>Hodnota záväzku zabezpečená</w:t>
            </w:r>
          </w:p>
        </w:tc>
      </w:tr>
      <w:tr w:rsidR="00AE313E" w:rsidRPr="005149F0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5149F0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5149F0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5149F0">
              <w:rPr>
                <w:rFonts w:ascii="Times New Roman" w:eastAsia="Times New Roman" w:hAnsi="Times New Roman" w:cs="Times New Roman"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5149F0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5149F0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Inou formou </w:t>
            </w:r>
            <w:proofErr w:type="spellStart"/>
            <w:r w:rsidRPr="005149F0">
              <w:rPr>
                <w:rFonts w:ascii="Times New Roman" w:eastAsia="Times New Roman" w:hAnsi="Times New Roman" w:cs="Times New Roman"/>
                <w:bCs/>
                <w:lang w:eastAsia="sk-SK"/>
              </w:rPr>
              <w:t>zabezp</w:t>
            </w:r>
            <w:proofErr w:type="spellEnd"/>
            <w:r w:rsidRPr="005149F0">
              <w:rPr>
                <w:rFonts w:ascii="Times New Roman" w:eastAsia="Times New Roman" w:hAnsi="Times New Roman" w:cs="Times New Roman"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C875AE" w:rsidRDefault="009E67AD" w:rsidP="00C875A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bCs/>
                <w:color w:val="2F75B5"/>
                <w:sz w:val="20"/>
                <w:szCs w:val="20"/>
                <w:lang w:eastAsia="sk-SK"/>
              </w:rPr>
            </w:pPr>
            <w:r w:rsidRPr="00C875AE">
              <w:rPr>
                <w:rFonts w:ascii="Arial" w:eastAsia="Times New Roman" w:hAnsi="Arial" w:cs="Arial"/>
                <w:bCs/>
                <w:color w:val="2F75B5"/>
                <w:sz w:val="20"/>
                <w:szCs w:val="20"/>
                <w:lang w:eastAsia="sk-SK"/>
              </w:rPr>
              <w:t>Motorové vozidlo</w:t>
            </w:r>
            <w:r w:rsidR="00AE313E" w:rsidRPr="00C875AE">
              <w:rPr>
                <w:rFonts w:ascii="Arial" w:eastAsia="Times New Roman" w:hAnsi="Arial" w:cs="Arial"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C875AE" w:rsidRDefault="009E67AD" w:rsidP="00C875AE">
            <w:pPr>
              <w:spacing w:after="0" w:line="240" w:lineRule="auto"/>
              <w:ind w:firstLineChars="300" w:firstLine="600"/>
              <w:jc w:val="right"/>
              <w:rPr>
                <w:rFonts w:ascii="Arial" w:eastAsia="Times New Roman" w:hAnsi="Arial" w:cs="Arial"/>
                <w:color w:val="2F75B5"/>
                <w:sz w:val="20"/>
                <w:szCs w:val="20"/>
                <w:lang w:eastAsia="sk-SK"/>
              </w:rPr>
            </w:pPr>
            <w:r w:rsidRPr="00C875AE">
              <w:rPr>
                <w:rFonts w:ascii="Arial" w:eastAsia="Times New Roman" w:hAnsi="Arial" w:cs="Arial"/>
                <w:color w:val="2F75B5"/>
                <w:sz w:val="20"/>
                <w:szCs w:val="20"/>
                <w:lang w:eastAsia="sk-SK"/>
              </w:rPr>
              <w:t>4 026</w:t>
            </w:r>
            <w:r w:rsidR="00AE313E" w:rsidRPr="00C875AE">
              <w:rPr>
                <w:rFonts w:ascii="Arial" w:eastAsia="Times New Roman" w:hAnsi="Arial" w:cs="Arial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AE313E" w:rsidRPr="005149F0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149F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</w:t>
      </w:r>
      <w:r w:rsidR="005149F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ečených</w:t>
      </w:r>
      <w:r w:rsidRPr="005149F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9E67AD" w:rsidRPr="009E67AD" w:rsidRDefault="009E67AD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color w:val="5B9BD5" w:themeColor="accent1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E67AD">
        <w:rPr>
          <w:rFonts w:ascii="Times New Roman" w:eastAsia="MS Gothic" w:hAnsi="Times New Roman" w:cs="Times New Roman"/>
          <w:b/>
          <w:color w:val="5B9BD5" w:themeColor="accent1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fina</w:t>
      </w:r>
      <w:r w:rsidR="00C875AE">
        <w:rPr>
          <w:rFonts w:ascii="Times New Roman" w:eastAsia="MS Gothic" w:hAnsi="Times New Roman" w:cs="Times New Roman"/>
          <w:b/>
          <w:color w:val="5B9BD5" w:themeColor="accent1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</w:t>
      </w:r>
      <w:r w:rsidRPr="009E67AD">
        <w:rPr>
          <w:rFonts w:ascii="Times New Roman" w:eastAsia="MS Gothic" w:hAnsi="Times New Roman" w:cs="Times New Roman"/>
          <w:b/>
          <w:color w:val="5B9BD5" w:themeColor="accent1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cova</w:t>
      </w:r>
      <w:r w:rsidR="00C875AE">
        <w:rPr>
          <w:rFonts w:ascii="Times New Roman" w:eastAsia="MS Gothic" w:hAnsi="Times New Roman" w:cs="Times New Roman"/>
          <w:b/>
          <w:color w:val="5B9BD5" w:themeColor="accent1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</w:t>
      </w:r>
      <w:r w:rsidRPr="009E67AD">
        <w:rPr>
          <w:rFonts w:ascii="Times New Roman" w:eastAsia="MS Gothic" w:hAnsi="Times New Roman" w:cs="Times New Roman"/>
          <w:b/>
          <w:color w:val="5B9BD5" w:themeColor="accent1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ie motorového vozidla bol poskytnutý spotrebný úver.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149F0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70AD47" w:themeColor="accent6"/>
          <w:szCs w:val="24"/>
        </w:rPr>
      </w:pPr>
      <w:r w:rsidRPr="005149F0">
        <w:rPr>
          <w:rFonts w:ascii="Times New Roman" w:hAnsi="Times New Roman" w:cs="Times New Roman"/>
          <w:b/>
          <w:color w:val="70AD47" w:themeColor="accent6"/>
          <w:szCs w:val="24"/>
        </w:rPr>
        <w:t>Čl. V</w:t>
      </w:r>
      <w:r w:rsidRPr="005149F0">
        <w:rPr>
          <w:rFonts w:ascii="Times New Roman" w:hAnsi="Times New Roman" w:cs="Times New Roman"/>
          <w:b/>
          <w:color w:val="70AD47" w:themeColor="accent6"/>
          <w:szCs w:val="24"/>
        </w:rPr>
        <w:tab/>
        <w:t> Udalosti, ktoré nastali po dni, ku ktorému sa zostavuje účtovná závierka</w:t>
      </w:r>
    </w:p>
    <w:p w:rsidR="005149F0" w:rsidRDefault="005149F0" w:rsidP="005149F0">
      <w:pPr>
        <w:spacing w:line="240" w:lineRule="auto"/>
        <w:jc w:val="both"/>
        <w:rPr>
          <w:rFonts w:ascii="Times New Roman" w:eastAsia="MS Gothic" w:hAnsi="Times New Roman" w:cs="Times New Roman"/>
          <w:color w:val="5B9BD5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Pr="005149F0" w:rsidRDefault="00996FB8" w:rsidP="005149F0">
      <w:pPr>
        <w:spacing w:line="240" w:lineRule="auto"/>
        <w:jc w:val="both"/>
        <w:rPr>
          <w:rFonts w:ascii="Times New Roman" w:eastAsia="MS Gothic" w:hAnsi="Times New Roman" w:cs="Times New Roman"/>
          <w:color w:val="5B9BD5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  <w:r w:rsidRPr="005149F0">
        <w:rPr>
          <w:rFonts w:ascii="Times New Roman" w:eastAsia="MS Gothic" w:hAnsi="Times New Roman" w:cs="Times New Roman"/>
          <w:color w:val="5B9BD5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 31. decembri 2016 do zostavenia účtovnej závierky nenastali žiadne skutočnosti, ktoré by ovplyvnili výsledok hospodárenia spoločnosti za rok 2016.</w:t>
      </w:r>
    </w:p>
    <w:p w:rsidR="00DF187C" w:rsidRDefault="00DF187C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C13D3" w:rsidRDefault="005C13D3" w:rsidP="00CE03EC">
      <w:pPr>
        <w:spacing w:after="0" w:line="240" w:lineRule="auto"/>
      </w:pPr>
      <w:r>
        <w:separator/>
      </w:r>
    </w:p>
  </w:endnote>
  <w:endnote w:type="continuationSeparator" w:id="0">
    <w:p w:rsidR="005C13D3" w:rsidRDefault="005C13D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47EA" w:rsidRDefault="003B47EA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EB05F4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EB05F4">
      <w:rPr>
        <w:b/>
        <w:bCs/>
        <w:noProof/>
      </w:rPr>
      <w:t>3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C13D3" w:rsidRDefault="005C13D3" w:rsidP="00CE03EC">
      <w:pPr>
        <w:spacing w:after="0" w:line="240" w:lineRule="auto"/>
      </w:pPr>
      <w:r>
        <w:separator/>
      </w:r>
    </w:p>
  </w:footnote>
  <w:footnote w:type="continuationSeparator" w:id="0">
    <w:p w:rsidR="005C13D3" w:rsidRDefault="005C13D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47EA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3B47EA" w:rsidRPr="0018540B" w:rsidRDefault="003B47EA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3B47EA" w:rsidRPr="0018540B" w:rsidRDefault="003B47EA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47EA" w:rsidRPr="0018540B" w:rsidRDefault="00C875A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3B47EA" w:rsidRPr="0018540B" w:rsidRDefault="00C875A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3B47EA" w:rsidRPr="0018540B" w:rsidRDefault="00C875A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47EA" w:rsidRPr="0018540B" w:rsidRDefault="00C875A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47EA" w:rsidRPr="0018540B" w:rsidRDefault="00C875A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47EA" w:rsidRPr="0018540B" w:rsidRDefault="00C875A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3B47EA" w:rsidRPr="0018540B" w:rsidRDefault="00C875A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3B47EA" w:rsidRPr="0018540B" w:rsidRDefault="003B47E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3B47EA" w:rsidRPr="0018540B" w:rsidRDefault="003B47EA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47EA" w:rsidRPr="0018540B" w:rsidRDefault="003B47E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47EA" w:rsidRPr="0018540B" w:rsidRDefault="00C875A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47EA" w:rsidRPr="0018540B" w:rsidRDefault="003B47E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47EA" w:rsidRPr="0018540B" w:rsidRDefault="00C875A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47EA" w:rsidRPr="0018540B" w:rsidRDefault="00C875A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3B47EA" w:rsidRPr="0018540B" w:rsidRDefault="00C875A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3B47EA" w:rsidRPr="0018540B" w:rsidRDefault="003B47E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47EA" w:rsidRPr="0018540B" w:rsidRDefault="00C875A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3B47EA" w:rsidRPr="0018540B" w:rsidRDefault="00C875A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3B47EA" w:rsidRPr="0018540B" w:rsidRDefault="003B47E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 w:rsidRPr="0018540B"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:rsidR="003B47EA" w:rsidRPr="00CE03EC" w:rsidRDefault="003B47EA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31089"/>
    <w:rsid w:val="00090EEC"/>
    <w:rsid w:val="000B4576"/>
    <w:rsid w:val="000D561E"/>
    <w:rsid w:val="00156EEC"/>
    <w:rsid w:val="001675D2"/>
    <w:rsid w:val="00173C34"/>
    <w:rsid w:val="0018540B"/>
    <w:rsid w:val="00195651"/>
    <w:rsid w:val="001D099A"/>
    <w:rsid w:val="001D4FB8"/>
    <w:rsid w:val="00212400"/>
    <w:rsid w:val="00223286"/>
    <w:rsid w:val="002718B4"/>
    <w:rsid w:val="002B1BEF"/>
    <w:rsid w:val="002E2695"/>
    <w:rsid w:val="00360F88"/>
    <w:rsid w:val="003719D4"/>
    <w:rsid w:val="003A2A62"/>
    <w:rsid w:val="003B47EA"/>
    <w:rsid w:val="003B6528"/>
    <w:rsid w:val="003D2C52"/>
    <w:rsid w:val="003F3E00"/>
    <w:rsid w:val="003F5AF5"/>
    <w:rsid w:val="00414FB4"/>
    <w:rsid w:val="0045645E"/>
    <w:rsid w:val="004701FB"/>
    <w:rsid w:val="00504DBD"/>
    <w:rsid w:val="005149F0"/>
    <w:rsid w:val="00547F9F"/>
    <w:rsid w:val="005877C7"/>
    <w:rsid w:val="005C13D3"/>
    <w:rsid w:val="00600C1D"/>
    <w:rsid w:val="00621534"/>
    <w:rsid w:val="00656664"/>
    <w:rsid w:val="00673BD1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911C5"/>
    <w:rsid w:val="008E4E28"/>
    <w:rsid w:val="00900440"/>
    <w:rsid w:val="00923190"/>
    <w:rsid w:val="00985F05"/>
    <w:rsid w:val="00986157"/>
    <w:rsid w:val="00994678"/>
    <w:rsid w:val="00996FB8"/>
    <w:rsid w:val="00997389"/>
    <w:rsid w:val="009A274C"/>
    <w:rsid w:val="009D60B5"/>
    <w:rsid w:val="009E67AD"/>
    <w:rsid w:val="009E6AD6"/>
    <w:rsid w:val="009F1252"/>
    <w:rsid w:val="00A100E4"/>
    <w:rsid w:val="00A2494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875AE"/>
    <w:rsid w:val="00CD1824"/>
    <w:rsid w:val="00CE03EC"/>
    <w:rsid w:val="00CE06C6"/>
    <w:rsid w:val="00D06A5E"/>
    <w:rsid w:val="00D0740C"/>
    <w:rsid w:val="00D77AF9"/>
    <w:rsid w:val="00D92374"/>
    <w:rsid w:val="00DB0EDB"/>
    <w:rsid w:val="00DC3B5F"/>
    <w:rsid w:val="00DF187C"/>
    <w:rsid w:val="00E03DFF"/>
    <w:rsid w:val="00E42DF0"/>
    <w:rsid w:val="00E84CA1"/>
    <w:rsid w:val="00EB05F4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213</TotalTime>
  <Pages>3</Pages>
  <Words>467</Words>
  <Characters>2662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Izotex</cp:lastModifiedBy>
  <cp:revision>6</cp:revision>
  <cp:lastPrinted>2017-03-14T11:06:00Z</cp:lastPrinted>
  <dcterms:created xsi:type="dcterms:W3CDTF">2017-03-14T07:33:00Z</dcterms:created>
  <dcterms:modified xsi:type="dcterms:W3CDTF">2017-03-14T11:07:00Z</dcterms:modified>
</cp:coreProperties>
</file>