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D95450">
        <w:rPr>
          <w:sz w:val="40"/>
          <w:szCs w:val="40"/>
        </w:rPr>
        <w:t>závierke k 31.12.2016</w:t>
      </w:r>
      <w:bookmarkStart w:id="0" w:name="_GoBack"/>
      <w:bookmarkEnd w:id="0"/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>3) Spoločnosť nevykonáva žiadne odpisy dlhodobého hmotného a nehmotného majetku.</w:t>
      </w:r>
    </w:p>
    <w:p w:rsidR="004F2CDF" w:rsidRDefault="004F2CDF" w:rsidP="004F2CDF"/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lastRenderedPageBreak/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E7E67"/>
    <w:rsid w:val="00EF287E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662D7-D0F2-47EF-AAEE-38C064A0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> 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subject/>
  <dc:creator>CABALKA EVŽEN</dc:creator>
  <cp:keywords/>
  <dc:description/>
  <cp:lastModifiedBy>Evžen Cabalka</cp:lastModifiedBy>
  <cp:revision>5</cp:revision>
  <cp:lastPrinted>2015-01-02T10:12:00Z</cp:lastPrinted>
  <dcterms:created xsi:type="dcterms:W3CDTF">2015-01-03T16:14:00Z</dcterms:created>
  <dcterms:modified xsi:type="dcterms:W3CDTF">2017-03-22T17:13:00Z</dcterms:modified>
</cp:coreProperties>
</file>