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tbl>
      <w:tblPr>
        <w:tblW w:w="5000" w:type="pct"/>
        <w:jc w:val="center"/>
        <w:tblInd w:w="0" w:type="dxa"/>
        <w:tblBorders/>
        <w:tblCellMar>
          <w:top w:w="0" w:type="dxa"/>
          <w:left w:w="70" w:type="dxa"/>
          <w:bottom w:w="0" w:type="dxa"/>
          <w:right w:w="70" w:type="dxa"/>
        </w:tblCellMar>
        <w:tblLook w:val="00a0"/>
      </w:tblPr>
      <w:tblGrid>
        <w:gridCol w:w="288"/>
        <w:gridCol w:w="271"/>
        <w:gridCol w:w="2"/>
        <w:gridCol w:w="320"/>
        <w:gridCol w:w="2"/>
        <w:gridCol w:w="224"/>
        <w:gridCol w:w="2"/>
        <w:gridCol w:w="261"/>
        <w:gridCol w:w="1"/>
        <w:gridCol w:w="2"/>
        <w:gridCol w:w="230"/>
        <w:gridCol w:w="1"/>
        <w:gridCol w:w="2"/>
        <w:gridCol w:w="235"/>
        <w:gridCol w:w="1"/>
        <w:gridCol w:w="1"/>
        <w:gridCol w:w="229"/>
        <w:gridCol w:w="0"/>
        <w:gridCol w:w="3"/>
        <w:gridCol w:w="233"/>
        <w:gridCol w:w="1"/>
        <w:gridCol w:w="3"/>
        <w:gridCol w:w="257"/>
        <w:gridCol w:w="3"/>
        <w:gridCol w:w="267"/>
        <w:gridCol w:w="1"/>
        <w:gridCol w:w="4"/>
        <w:gridCol w:w="228"/>
        <w:gridCol w:w="3"/>
        <w:gridCol w:w="3"/>
        <w:gridCol w:w="228"/>
        <w:gridCol w:w="2"/>
        <w:gridCol w:w="4"/>
        <w:gridCol w:w="247"/>
        <w:gridCol w:w="2"/>
        <w:gridCol w:w="2"/>
        <w:gridCol w:w="217"/>
        <w:gridCol w:w="1"/>
        <w:gridCol w:w="2"/>
        <w:gridCol w:w="2"/>
        <w:gridCol w:w="275"/>
        <w:gridCol w:w="1"/>
        <w:gridCol w:w="1"/>
        <w:gridCol w:w="3"/>
        <w:gridCol w:w="2"/>
        <w:gridCol w:w="228"/>
        <w:gridCol w:w="1"/>
        <w:gridCol w:w="3"/>
        <w:gridCol w:w="1"/>
        <w:gridCol w:w="1"/>
        <w:gridCol w:w="182"/>
        <w:gridCol w:w="32"/>
        <w:gridCol w:w="2"/>
        <w:gridCol w:w="1"/>
        <w:gridCol w:w="2"/>
        <w:gridCol w:w="226"/>
        <w:gridCol w:w="1"/>
        <w:gridCol w:w="1"/>
        <w:gridCol w:w="1"/>
        <w:gridCol w:w="1"/>
        <w:gridCol w:w="333"/>
        <w:gridCol w:w="1"/>
        <w:gridCol w:w="3"/>
        <w:gridCol w:w="1"/>
        <w:gridCol w:w="1"/>
        <w:gridCol w:w="199"/>
        <w:gridCol w:w="1"/>
        <w:gridCol w:w="3"/>
        <w:gridCol w:w="1"/>
        <w:gridCol w:w="2"/>
        <w:gridCol w:w="234"/>
        <w:gridCol w:w="24"/>
        <w:gridCol w:w="2"/>
        <w:gridCol w:w="2"/>
        <w:gridCol w:w="3"/>
        <w:gridCol w:w="266"/>
        <w:gridCol w:w="2"/>
        <w:gridCol w:w="1"/>
        <w:gridCol w:w="1"/>
        <w:gridCol w:w="1"/>
        <w:gridCol w:w="1"/>
        <w:gridCol w:w="3"/>
        <w:gridCol w:w="204"/>
        <w:gridCol w:w="1"/>
        <w:gridCol w:w="1"/>
        <w:gridCol w:w="4"/>
        <w:gridCol w:w="2"/>
        <w:gridCol w:w="101"/>
        <w:gridCol w:w="1"/>
        <w:gridCol w:w="95"/>
        <w:gridCol w:w="1"/>
        <w:gridCol w:w="2"/>
        <w:gridCol w:w="4"/>
        <w:gridCol w:w="2"/>
        <w:gridCol w:w="301"/>
        <w:gridCol w:w="2"/>
        <w:gridCol w:w="2"/>
        <w:gridCol w:w="0"/>
        <w:gridCol w:w="1"/>
        <w:gridCol w:w="1"/>
        <w:gridCol w:w="4"/>
        <w:gridCol w:w="258"/>
        <w:gridCol w:w="43"/>
        <w:gridCol w:w="3"/>
        <w:gridCol w:w="3"/>
        <w:gridCol w:w="19"/>
        <w:gridCol w:w="2"/>
        <w:gridCol w:w="1"/>
        <w:gridCol w:w="1"/>
        <w:gridCol w:w="2"/>
        <w:gridCol w:w="1"/>
        <w:gridCol w:w="3"/>
        <w:gridCol w:w="225"/>
        <w:gridCol w:w="2"/>
        <w:gridCol w:w="1"/>
        <w:gridCol w:w="1"/>
        <w:gridCol w:w="2"/>
        <w:gridCol w:w="17"/>
        <w:gridCol w:w="2"/>
        <w:gridCol w:w="2"/>
        <w:gridCol w:w="1"/>
        <w:gridCol w:w="1"/>
        <w:gridCol w:w="2"/>
        <w:gridCol w:w="239"/>
        <w:gridCol w:w="1"/>
        <w:gridCol w:w="2"/>
        <w:gridCol w:w="18"/>
        <w:gridCol w:w="1"/>
        <w:gridCol w:w="1"/>
        <w:gridCol w:w="1"/>
        <w:gridCol w:w="1"/>
        <w:gridCol w:w="1"/>
        <w:gridCol w:w="4"/>
        <w:gridCol w:w="226"/>
        <w:gridCol w:w="1"/>
        <w:gridCol w:w="1"/>
        <w:gridCol w:w="0"/>
        <w:gridCol w:w="20"/>
        <w:gridCol w:w="0"/>
        <w:gridCol w:w="62"/>
        <w:gridCol w:w="3"/>
        <w:gridCol w:w="2"/>
        <w:gridCol w:w="3"/>
        <w:gridCol w:w="145"/>
        <w:gridCol w:w="1"/>
        <w:gridCol w:w="1"/>
        <w:gridCol w:w="1"/>
        <w:gridCol w:w="21"/>
        <w:gridCol w:w="1"/>
        <w:gridCol w:w="75"/>
        <w:gridCol w:w="2"/>
        <w:gridCol w:w="1"/>
        <w:gridCol w:w="4"/>
        <w:gridCol w:w="1"/>
        <w:gridCol w:w="137"/>
        <w:gridCol w:w="1"/>
        <w:gridCol w:w="22"/>
        <w:gridCol w:w="1"/>
        <w:gridCol w:w="77"/>
        <w:gridCol w:w="1"/>
        <w:gridCol w:w="3"/>
        <w:gridCol w:w="2"/>
        <w:gridCol w:w="148"/>
        <w:gridCol w:w="1"/>
        <w:gridCol w:w="1"/>
        <w:gridCol w:w="2"/>
        <w:gridCol w:w="3"/>
        <w:gridCol w:w="21"/>
        <w:gridCol w:w="62"/>
        <w:gridCol w:w="1"/>
        <w:gridCol w:w="4"/>
        <w:gridCol w:w="2"/>
        <w:gridCol w:w="135"/>
        <w:gridCol w:w="2"/>
        <w:gridCol w:w="2"/>
        <w:gridCol w:w="1"/>
        <w:gridCol w:w="2"/>
        <w:gridCol w:w="22"/>
        <w:gridCol w:w="1"/>
        <w:gridCol w:w="3"/>
        <w:gridCol w:w="1"/>
        <w:gridCol w:w="214"/>
        <w:gridCol w:w="2"/>
        <w:gridCol w:w="2"/>
        <w:gridCol w:w="1"/>
        <w:gridCol w:w="2"/>
        <w:gridCol w:w="18"/>
        <w:gridCol w:w="2"/>
        <w:gridCol w:w="1"/>
        <w:gridCol w:w="1"/>
        <w:gridCol w:w="1"/>
        <w:gridCol w:w="2"/>
        <w:gridCol w:w="3"/>
        <w:gridCol w:w="166"/>
      </w:tblGrid>
      <w:tr>
        <w:trPr>
          <w:trHeight w:val="57" w:hRule="atLeast"/>
        </w:trPr>
        <w:tc>
          <w:tcPr>
            <w:tcW w:w="5289" w:type="dxa"/>
            <w:gridSpan w:val="6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6"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3"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2"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5"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11" w:type="dxa"/>
            <w:gridSpan w:val="5"/>
            <w:tcBorders>
              <w:left w:val="single" w:sz="4" w:space="0" w:color="00000A"/>
              <w:right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7" w:type="dxa"/>
            <w:gridSpan w:val="9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 xml:space="preserve">Poznámky Úč POD 3 - 01 </w:t>
            </w:r>
          </w:p>
        </w:tc>
        <w:tc>
          <w:tcPr>
            <w:tcW w:w="176"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182" w:hRule="atLeast"/>
        </w:trPr>
        <w:tc>
          <w:tcPr>
            <w:tcW w:w="288" w:type="dxa"/>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73"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22"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26"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4"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3"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7"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2"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4818" w:type="dxa"/>
            <w:gridSpan w:val="89"/>
            <w:tcBorders/>
            <w:shd w:fill="auto" w:val="clear"/>
          </w:tcPr>
          <w:p>
            <w:pPr>
              <w:pStyle w:val="Normal"/>
              <w:spacing w:lineRule="auto" w:line="240" w:before="0" w:after="0"/>
              <w:jc w:val="center"/>
              <w:rPr>
                <w:rFonts w:ascii="Arial" w:hAnsi="Arial" w:cs="Arial"/>
                <w:b/>
                <w:b/>
                <w:bCs/>
                <w:szCs w:val="22"/>
                <w:lang w:eastAsia="sk-SK"/>
              </w:rPr>
            </w:pPr>
            <w:r>
              <w:rPr>
                <w:rFonts w:cs="Arial" w:ascii="Arial" w:hAnsi="Arial"/>
                <w:b/>
                <w:bCs/>
                <w:szCs w:val="22"/>
                <w:lang w:eastAsia="sk-SK"/>
              </w:rPr>
            </w:r>
          </w:p>
        </w:tc>
        <w:tc>
          <w:tcPr>
            <w:tcW w:w="260" w:type="dxa"/>
            <w:gridSpan w:val="1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5" w:type="dxa"/>
            <w:gridSpan w:val="8"/>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5" w:type="dxa"/>
            <w:gridSpan w:val="9"/>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9" w:type="dxa"/>
            <w:gridSpan w:val="10"/>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44" w:type="dxa"/>
            <w:gridSpan w:val="9"/>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0"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3" w:type="dxa"/>
            <w:gridSpan w:val="10"/>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46" w:type="dxa"/>
            <w:gridSpan w:val="10"/>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174" w:type="dxa"/>
            <w:gridSpan w:val="6"/>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r>
      <w:tr>
        <w:trPr>
          <w:trHeight w:val="57" w:hRule="atLeast"/>
        </w:trPr>
        <w:tc>
          <w:tcPr>
            <w:tcW w:w="288" w:type="dxa"/>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73"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22"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26"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4"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3"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7"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2"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4818" w:type="dxa"/>
            <w:gridSpan w:val="89"/>
            <w:tcBorders/>
            <w:shd w:fill="auto" w:val="clear"/>
          </w:tcPr>
          <w:p>
            <w:pPr>
              <w:pStyle w:val="Normal"/>
              <w:spacing w:lineRule="auto" w:line="240" w:before="0" w:after="0"/>
              <w:jc w:val="center"/>
              <w:rPr>
                <w:rFonts w:ascii="Arial" w:hAnsi="Arial" w:cs="Arial"/>
                <w:b/>
                <w:b/>
                <w:bCs/>
                <w:szCs w:val="22"/>
                <w:lang w:eastAsia="sk-SK"/>
              </w:rPr>
            </w:pPr>
            <w:r>
              <w:rPr>
                <w:rFonts w:cs="Arial" w:ascii="Arial" w:hAnsi="Arial"/>
                <w:b/>
                <w:bCs/>
                <w:szCs w:val="22"/>
                <w:lang w:eastAsia="sk-SK"/>
              </w:rPr>
              <w:t>POZNÁMKY</w:t>
            </w:r>
          </w:p>
        </w:tc>
        <w:tc>
          <w:tcPr>
            <w:tcW w:w="260" w:type="dxa"/>
            <w:gridSpan w:val="1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5" w:type="dxa"/>
            <w:gridSpan w:val="8"/>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5" w:type="dxa"/>
            <w:gridSpan w:val="9"/>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9" w:type="dxa"/>
            <w:gridSpan w:val="10"/>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44" w:type="dxa"/>
            <w:gridSpan w:val="9"/>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0"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3" w:type="dxa"/>
            <w:gridSpan w:val="10"/>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46" w:type="dxa"/>
            <w:gridSpan w:val="10"/>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174" w:type="dxa"/>
            <w:gridSpan w:val="6"/>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r>
      <w:tr>
        <w:trPr>
          <w:trHeight w:val="57" w:hRule="atLeast"/>
        </w:trPr>
        <w:tc>
          <w:tcPr>
            <w:tcW w:w="288" w:type="dx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3"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22"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6"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6804" w:type="dxa"/>
            <w:gridSpan w:val="14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4"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9"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8"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1"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8" w:type="dxa"/>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73"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22"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26"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6804" w:type="dxa"/>
            <w:gridSpan w:val="14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t xml:space="preserve">individuálnej účtovnej závierky </w:t>
            </w:r>
          </w:p>
        </w:tc>
        <w:tc>
          <w:tcPr>
            <w:tcW w:w="244" w:type="dxa"/>
            <w:gridSpan w:val="9"/>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9" w:type="dxa"/>
            <w:gridSpan w:val="10"/>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4"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48" w:type="dxa"/>
            <w:gridSpan w:val="1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171"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r>
      <w:tr>
        <w:trPr>
          <w:trHeight w:val="57" w:hRule="atLeast"/>
        </w:trPr>
        <w:tc>
          <w:tcPr>
            <w:tcW w:w="288" w:type="dxa"/>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73"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22"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26"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4"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3"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7"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2"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7"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0"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72"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23" w:type="dxa"/>
            <w:gridSpan w:val="49"/>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t>zostavenej k31.12. 2016</w:t>
            </w:r>
          </w:p>
        </w:tc>
        <w:tc>
          <w:tcPr>
            <w:tcW w:w="212" w:type="dxa"/>
            <w:gridSpan w:val="5"/>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06" w:type="dxa"/>
            <w:gridSpan w:val="7"/>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11" w:type="dxa"/>
            <w:gridSpan w:val="7"/>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36"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6"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9" w:type="dxa"/>
            <w:gridSpan w:val="10"/>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18" w:type="dxa"/>
            <w:gridSpan w:val="10"/>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3"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44" w:type="dxa"/>
            <w:gridSpan w:val="8"/>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45" w:type="dxa"/>
            <w:gridSpan w:val="10"/>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169" w:type="dxa"/>
            <w:gridSpan w:val="9"/>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49" w:type="dxa"/>
            <w:gridSpan w:val="1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166" w:type="dxa"/>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r>
      <w:tr>
        <w:trPr>
          <w:trHeight w:val="57" w:hRule="atLeast"/>
        </w:trPr>
        <w:tc>
          <w:tcPr>
            <w:tcW w:w="288" w:type="dxa"/>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73"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22"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26"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4"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3"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7"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2"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7"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0"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72"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23" w:type="dxa"/>
            <w:gridSpan w:val="49"/>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12" w:type="dxa"/>
            <w:gridSpan w:val="5"/>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06" w:type="dxa"/>
            <w:gridSpan w:val="7"/>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11" w:type="dxa"/>
            <w:gridSpan w:val="7"/>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36"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6"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9" w:type="dxa"/>
            <w:gridSpan w:val="10"/>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18" w:type="dxa"/>
            <w:gridSpan w:val="10"/>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3"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44" w:type="dxa"/>
            <w:gridSpan w:val="8"/>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45" w:type="dxa"/>
            <w:gridSpan w:val="10"/>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169" w:type="dxa"/>
            <w:gridSpan w:val="9"/>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49" w:type="dxa"/>
            <w:gridSpan w:val="1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166" w:type="dxa"/>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r>
      <w:tr>
        <w:trPr>
          <w:trHeight w:val="57" w:hRule="atLeast"/>
        </w:trPr>
        <w:tc>
          <w:tcPr>
            <w:tcW w:w="288" w:type="dx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3"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22"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6"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7"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7"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0"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2"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1"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2"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v</w:t>
            </w:r>
          </w:p>
        </w:tc>
        <w:tc>
          <w:tcPr>
            <w:tcW w:w="234" w:type="dxa"/>
            <w:gridSpan w:val="5"/>
            <w:tcBorders>
              <w:left w:val="single" w:sz="6" w:space="0" w:color="00000A"/>
              <w:right w:val="single" w:sz="6" w:space="0" w:color="00000A"/>
              <w:insideV w:val="single" w:sz="6" w:space="0" w:color="00000A"/>
            </w:tcBorders>
            <w:shd w:fill="auto" w:val="clear"/>
            <w:tcMar>
              <w:left w:w="30"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9"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0" w:type="dxa"/>
            <w:gridSpan w:val="5"/>
            <w:tcBorders>
              <w:left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w:t>
            </w:r>
          </w:p>
        </w:tc>
        <w:tc>
          <w:tcPr>
            <w:tcW w:w="1810" w:type="dxa"/>
            <w:gridSpan w:val="4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 xml:space="preserve"> </w:t>
            </w:r>
            <w:r>
              <w:rPr>
                <w:rFonts w:cs="Arial" w:ascii="Arial" w:hAnsi="Arial"/>
                <w:szCs w:val="22"/>
                <w:lang w:eastAsia="sk-SK"/>
              </w:rPr>
              <w:t>Eurocentoch</w:t>
            </w:r>
          </w:p>
        </w:tc>
        <w:tc>
          <w:tcPr>
            <w:tcW w:w="337"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7" w:type="dxa"/>
            <w:gridSpan w:val="11"/>
            <w:tcBorders>
              <w:left w:val="single" w:sz="6" w:space="0" w:color="00000A"/>
              <w:right w:val="single" w:sz="6" w:space="0" w:color="00000A"/>
              <w:insideV w:val="single" w:sz="6" w:space="0" w:color="00000A"/>
            </w:tcBorders>
            <w:shd w:fill="auto" w:val="clear"/>
            <w:tcMar>
              <w:left w:w="30"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7" w:type="dxa"/>
            <w:gridSpan w:val="10"/>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X</w:t>
            </w:r>
          </w:p>
        </w:tc>
        <w:tc>
          <w:tcPr>
            <w:tcW w:w="1648" w:type="dxa"/>
            <w:gridSpan w:val="62"/>
            <w:tcBorders>
              <w:left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 celých eurách *)</w:t>
            </w:r>
          </w:p>
        </w:tc>
      </w:tr>
      <w:tr>
        <w:trPr>
          <w:trHeight w:val="57" w:hRule="atLeast"/>
        </w:trPr>
        <w:tc>
          <w:tcPr>
            <w:tcW w:w="288" w:type="dx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3"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22"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6"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7"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7"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0"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2"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1"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737"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788" w:type="dxa"/>
            <w:gridSpan w:val="1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5"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958" w:type="dxa"/>
            <w:gridSpan w:val="2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902" w:type="dxa"/>
            <w:gridSpan w:val="2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837" w:type="dxa"/>
            <w:gridSpan w:val="3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4"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835" w:type="dxa"/>
            <w:gridSpan w:val="3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8" w:type="dx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3"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22"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6"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7"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7"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0"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2"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1"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737"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788" w:type="dxa"/>
            <w:gridSpan w:val="15"/>
            <w:tcBorders/>
            <w:shd w:fill="auto" w:val="clear"/>
          </w:tcPr>
          <w:p>
            <w:pPr>
              <w:pStyle w:val="Normal"/>
              <w:spacing w:lineRule="auto" w:line="240" w:before="0" w:after="0"/>
              <w:ind w:left="-44" w:hanging="27"/>
              <w:rPr>
                <w:rFonts w:ascii="Arial" w:hAnsi="Arial" w:cs="Arial"/>
                <w:szCs w:val="22"/>
                <w:lang w:eastAsia="sk-SK"/>
              </w:rPr>
            </w:pPr>
            <w:r>
              <w:rPr>
                <w:rFonts w:cs="Arial" w:ascii="Arial" w:hAnsi="Arial"/>
                <w:szCs w:val="22"/>
                <w:lang w:eastAsia="sk-SK"/>
              </w:rPr>
              <w:t>mesiac</w:t>
            </w:r>
          </w:p>
        </w:tc>
        <w:tc>
          <w:tcPr>
            <w:tcW w:w="205"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958" w:type="dxa"/>
            <w:gridSpan w:val="24"/>
            <w:tcBorders>
              <w:top w:val="single" w:sz="6" w:space="0" w:color="00000A"/>
              <w:bottom w:val="single" w:sz="6" w:space="0" w:color="00000A"/>
              <w:insideH w:val="single" w:sz="6" w:space="0" w:color="00000A"/>
            </w:tcBorders>
            <w:shd w:fill="auto" w:val="clear"/>
          </w:tcPr>
          <w:p>
            <w:pPr>
              <w:pStyle w:val="Normal"/>
              <w:spacing w:lineRule="auto" w:line="240" w:before="0" w:after="0"/>
              <w:ind w:hanging="47"/>
              <w:rPr>
                <w:rFonts w:ascii="Arial" w:hAnsi="Arial" w:cs="Arial"/>
                <w:szCs w:val="22"/>
                <w:lang w:eastAsia="sk-SK"/>
              </w:rPr>
            </w:pPr>
            <w:r>
              <w:rPr>
                <w:rFonts w:cs="Arial" w:ascii="Arial" w:hAnsi="Arial"/>
                <w:szCs w:val="22"/>
                <w:lang w:eastAsia="sk-SK"/>
              </w:rPr>
              <w:t>Rok</w:t>
            </w:r>
          </w:p>
        </w:tc>
        <w:tc>
          <w:tcPr>
            <w:tcW w:w="902" w:type="dxa"/>
            <w:gridSpan w:val="2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837" w:type="dxa"/>
            <w:gridSpan w:val="30"/>
            <w:tcBorders/>
            <w:shd w:fill="auto" w:val="clear"/>
          </w:tcPr>
          <w:p>
            <w:pPr>
              <w:pStyle w:val="Normal"/>
              <w:spacing w:lineRule="auto" w:line="240" w:before="0" w:after="0"/>
              <w:ind w:hanging="52"/>
              <w:rPr>
                <w:rFonts w:ascii="Arial" w:hAnsi="Arial" w:cs="Arial"/>
                <w:szCs w:val="22"/>
                <w:lang w:eastAsia="sk-SK"/>
              </w:rPr>
            </w:pPr>
            <w:r>
              <w:rPr>
                <w:rFonts w:cs="Arial" w:ascii="Arial" w:hAnsi="Arial"/>
                <w:szCs w:val="22"/>
                <w:lang w:eastAsia="sk-SK"/>
              </w:rPr>
              <w:t>mesiac</w:t>
            </w:r>
          </w:p>
        </w:tc>
        <w:tc>
          <w:tcPr>
            <w:tcW w:w="1079" w:type="dxa"/>
            <w:gridSpan w:val="43"/>
            <w:tcBorders/>
            <w:shd w:fill="auto" w:val="clear"/>
          </w:tcPr>
          <w:p>
            <w:pPr>
              <w:pStyle w:val="Normal"/>
              <w:spacing w:lineRule="auto" w:line="240" w:before="0" w:after="0"/>
              <w:ind w:firstLine="109"/>
              <w:rPr>
                <w:rFonts w:ascii="Arial" w:hAnsi="Arial" w:cs="Arial"/>
                <w:szCs w:val="22"/>
                <w:lang w:eastAsia="sk-SK"/>
              </w:rPr>
            </w:pPr>
            <w:r>
              <w:rPr>
                <w:rFonts w:cs="Arial" w:ascii="Arial" w:hAnsi="Arial"/>
                <w:szCs w:val="22"/>
                <w:lang w:eastAsia="sk-SK"/>
              </w:rPr>
              <w:t>Rok</w:t>
            </w:r>
          </w:p>
        </w:tc>
      </w:tr>
      <w:tr>
        <w:trPr>
          <w:trHeight w:val="57" w:hRule="atLeast"/>
        </w:trPr>
        <w:tc>
          <w:tcPr>
            <w:tcW w:w="1841" w:type="dxa"/>
            <w:gridSpan w:val="1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Za obdobie od</w:t>
            </w:r>
          </w:p>
        </w:tc>
        <w:tc>
          <w:tcPr>
            <w:tcW w:w="231"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1"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1"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5"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3"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2"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4"/>
            <w:tcBorders>
              <w:left w:val="single" w:sz="6" w:space="0" w:color="00000A"/>
              <w:right w:val="single" w:sz="6" w:space="0" w:color="00000A"/>
              <w:insideV w:val="single" w:sz="6" w:space="0" w:color="00000A"/>
            </w:tcBorders>
            <w:shd w:fill="auto" w:val="clear"/>
            <w:tcMar>
              <w:left w:w="30"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8"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31"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1 </w:t>
            </w:r>
          </w:p>
        </w:tc>
        <w:tc>
          <w:tcPr>
            <w:tcW w:w="339" w:type="dxa"/>
            <w:gridSpan w:val="5"/>
            <w:tcBorders>
              <w:left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5" w:type="dxa"/>
            <w:gridSpan w:val="5"/>
            <w:tcBorders>
              <w:left w:val="single" w:sz="6" w:space="0" w:color="00000A"/>
              <w:right w:val="single" w:sz="6" w:space="0" w:color="00000A"/>
              <w:insideV w:val="single" w:sz="6" w:space="0" w:color="00000A"/>
            </w:tcBorders>
            <w:shd w:fill="auto" w:val="clear"/>
            <w:tcMar>
              <w:left w:w="30"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2</w:t>
            </w:r>
          </w:p>
        </w:tc>
        <w:tc>
          <w:tcPr>
            <w:tcW w:w="301" w:type="dxa"/>
            <w:gridSpan w:val="8"/>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318" w:type="dxa"/>
            <w:gridSpan w:val="9"/>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1</w:t>
            </w:r>
          </w:p>
        </w:tc>
        <w:tc>
          <w:tcPr>
            <w:tcW w:w="410" w:type="dxa"/>
            <w:gridSpan w:val="10"/>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6 </w:t>
            </w:r>
          </w:p>
        </w:tc>
        <w:tc>
          <w:tcPr>
            <w:tcW w:w="570" w:type="dxa"/>
            <w:gridSpan w:val="17"/>
            <w:tcBorders>
              <w:left w:val="single" w:sz="6" w:space="0" w:color="00000A"/>
              <w:right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r>
              <w:rPr>
                <w:rFonts w:cs="Arial" w:ascii="Arial" w:hAnsi="Arial"/>
                <w:szCs w:val="22"/>
                <w:lang w:eastAsia="sk-SK"/>
              </w:rPr>
              <w:t>do</w:t>
            </w:r>
          </w:p>
        </w:tc>
        <w:tc>
          <w:tcPr>
            <w:tcW w:w="268" w:type="dxa"/>
            <w:gridSpan w:val="10"/>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1 </w:t>
            </w:r>
          </w:p>
        </w:tc>
        <w:tc>
          <w:tcPr>
            <w:tcW w:w="257" w:type="dxa"/>
            <w:gridSpan w:val="11"/>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2</w:t>
            </w:r>
          </w:p>
        </w:tc>
        <w:tc>
          <w:tcPr>
            <w:tcW w:w="235" w:type="dxa"/>
            <w:gridSpan w:val="8"/>
            <w:tcBorders>
              <w:left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6" w:type="dxa"/>
            <w:gridSpan w:val="12"/>
            <w:tcBorders>
              <w:left w:val="single" w:sz="6" w:space="0" w:color="00000A"/>
              <w:right w:val="single" w:sz="6" w:space="0" w:color="00000A"/>
              <w:insideV w:val="single" w:sz="6" w:space="0" w:color="00000A"/>
            </w:tcBorders>
            <w:shd w:fill="auto" w:val="clear"/>
            <w:tcMar>
              <w:left w:w="30"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6" w:type="dxa"/>
            <w:gridSpan w:val="9"/>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2</w:t>
            </w:r>
          </w:p>
        </w:tc>
        <w:tc>
          <w:tcPr>
            <w:tcW w:w="232" w:type="dxa"/>
            <w:gridSpan w:val="9"/>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48" w:type="dxa"/>
            <w:gridSpan w:val="9"/>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1</w:t>
            </w:r>
          </w:p>
        </w:tc>
        <w:tc>
          <w:tcPr>
            <w:tcW w:w="199" w:type="dxa"/>
            <w:gridSpan w:val="11"/>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6</w:t>
            </w:r>
          </w:p>
        </w:tc>
      </w:tr>
      <w:tr>
        <w:trPr>
          <w:trHeight w:val="57" w:hRule="atLeast"/>
        </w:trPr>
        <w:tc>
          <w:tcPr>
            <w:tcW w:w="3559" w:type="dxa"/>
            <w:gridSpan w:val="3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0"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5"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2" w:type="dxa"/>
            <w:gridSpan w:val="7"/>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1" w:type="dxa"/>
            <w:gridSpan w:val="5"/>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9"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5"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 w:type="dxa"/>
            <w:gridSpan w:val="2"/>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03" w:type="dxa"/>
            <w:gridSpan w:val="10"/>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17" w:type="dxa"/>
            <w:gridSpan w:val="8"/>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409" w:type="dxa"/>
            <w:gridSpan w:val="8"/>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13"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8"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7" w:type="dxa"/>
            <w:gridSpan w:val="9"/>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6" w:type="dxa"/>
            <w:gridSpan w:val="10"/>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9"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3"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8" w:type="dxa"/>
            <w:gridSpan w:val="10"/>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9"/>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8" w:type="dxa"/>
            <w:gridSpan w:val="9"/>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97" w:type="dxa"/>
            <w:gridSpan w:val="10"/>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20" w:hRule="atLeast"/>
        </w:trPr>
        <w:tc>
          <w:tcPr>
            <w:tcW w:w="3559" w:type="dxa"/>
            <w:gridSpan w:val="3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Bezprostredne predchádzajúce obdobie od</w:t>
            </w:r>
          </w:p>
        </w:tc>
        <w:tc>
          <w:tcPr>
            <w:tcW w:w="22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0"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5" w:type="dxa"/>
            <w:gridSpan w:val="5"/>
            <w:tcBorders>
              <w:left w:val="single" w:sz="6" w:space="0" w:color="00000A"/>
              <w:right w:val="single" w:sz="6" w:space="0" w:color="00000A"/>
              <w:insideV w:val="single" w:sz="6" w:space="0" w:color="00000A"/>
            </w:tcBorders>
            <w:shd w:fill="auto" w:val="clear"/>
            <w:tcMar>
              <w:left w:w="30"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2" w:type="dxa"/>
            <w:gridSpan w:val="7"/>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31"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1</w:t>
            </w:r>
          </w:p>
        </w:tc>
        <w:tc>
          <w:tcPr>
            <w:tcW w:w="339" w:type="dxa"/>
            <w:gridSpan w:val="5"/>
            <w:tcBorders>
              <w:left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5" w:type="dxa"/>
            <w:gridSpan w:val="5"/>
            <w:tcBorders>
              <w:left w:val="single" w:sz="6" w:space="0" w:color="00000A"/>
              <w:right w:val="single" w:sz="6" w:space="0" w:color="00000A"/>
              <w:insideV w:val="single" w:sz="6" w:space="0" w:color="00000A"/>
            </w:tcBorders>
            <w:shd w:fill="auto" w:val="clear"/>
            <w:tcMar>
              <w:left w:w="30"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2 </w:t>
            </w:r>
          </w:p>
        </w:tc>
        <w:tc>
          <w:tcPr>
            <w:tcW w:w="303" w:type="dxa"/>
            <w:gridSpan w:val="10"/>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317" w:type="dxa"/>
            <w:gridSpan w:val="8"/>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r>
              <w:rPr>
                <w:rFonts w:cs="Arial" w:ascii="Arial" w:hAnsi="Arial"/>
                <w:szCs w:val="22"/>
                <w:lang w:eastAsia="sk-SK"/>
              </w:rPr>
              <w:t>1</w:t>
            </w:r>
          </w:p>
        </w:tc>
        <w:tc>
          <w:tcPr>
            <w:tcW w:w="409" w:type="dxa"/>
            <w:gridSpan w:val="8"/>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5</w:t>
            </w:r>
          </w:p>
        </w:tc>
        <w:tc>
          <w:tcPr>
            <w:tcW w:w="569" w:type="dxa"/>
            <w:gridSpan w:val="17"/>
            <w:tcBorders>
              <w:left w:val="single" w:sz="6" w:space="0" w:color="00000A"/>
              <w:right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 xml:space="preserve"> </w:t>
            </w:r>
            <w:r>
              <w:rPr>
                <w:rFonts w:cs="Arial" w:ascii="Arial" w:hAnsi="Arial"/>
                <w:szCs w:val="22"/>
                <w:lang w:eastAsia="sk-SK"/>
              </w:rPr>
              <w:t>do</w:t>
            </w:r>
          </w:p>
        </w:tc>
        <w:tc>
          <w:tcPr>
            <w:tcW w:w="268" w:type="dxa"/>
            <w:gridSpan w:val="10"/>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1</w:t>
            </w:r>
          </w:p>
        </w:tc>
        <w:tc>
          <w:tcPr>
            <w:tcW w:w="256" w:type="dxa"/>
            <w:gridSpan w:val="10"/>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2</w:t>
            </w:r>
          </w:p>
        </w:tc>
        <w:tc>
          <w:tcPr>
            <w:tcW w:w="238" w:type="dxa"/>
            <w:gridSpan w:val="11"/>
            <w:tcBorders>
              <w:left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4" w:type="dxa"/>
            <w:gridSpan w:val="10"/>
            <w:tcBorders>
              <w:left w:val="single" w:sz="6" w:space="0" w:color="00000A"/>
              <w:right w:val="single" w:sz="6" w:space="0" w:color="00000A"/>
              <w:insideV w:val="single" w:sz="6" w:space="0" w:color="00000A"/>
            </w:tcBorders>
            <w:shd w:fill="auto" w:val="clear"/>
            <w:tcMar>
              <w:left w:w="30"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6" w:type="dxa"/>
            <w:gridSpan w:val="9"/>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2</w:t>
            </w:r>
          </w:p>
        </w:tc>
        <w:tc>
          <w:tcPr>
            <w:tcW w:w="233" w:type="dxa"/>
            <w:gridSpan w:val="10"/>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48" w:type="dxa"/>
            <w:gridSpan w:val="9"/>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1</w:t>
            </w:r>
          </w:p>
        </w:tc>
        <w:tc>
          <w:tcPr>
            <w:tcW w:w="199" w:type="dxa"/>
            <w:gridSpan w:val="11"/>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5</w:t>
            </w:r>
          </w:p>
        </w:tc>
      </w:tr>
      <w:tr>
        <w:trPr>
          <w:trHeight w:val="57" w:hRule="atLeast"/>
        </w:trPr>
        <w:tc>
          <w:tcPr>
            <w:tcW w:w="1370"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8"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1"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1"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1"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5"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3"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2"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8" w:type="dxa"/>
            <w:gridSpan w:val="5"/>
            <w:tcBorders>
              <w:top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1" w:type="dxa"/>
            <w:gridSpan w:val="5"/>
            <w:tcBorders>
              <w:top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9"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5"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5"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2"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6"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09"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6"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0"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5" w:type="dxa"/>
            <w:gridSpan w:val="8"/>
            <w:tcBorders>
              <w:top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21"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3"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7"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1" w:type="dxa"/>
            <w:gridSpan w:val="9"/>
            <w:tcBorders>
              <w:top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1" w:type="dxa"/>
            <w:gridSpan w:val="9"/>
            <w:tcBorders>
              <w:top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6" w:type="dxa"/>
            <w:gridSpan w:val="10"/>
            <w:tcBorders>
              <w:top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3" w:type="dxa"/>
            <w:gridSpan w:val="5"/>
            <w:tcBorders>
              <w:top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3559" w:type="dxa"/>
            <w:gridSpan w:val="34"/>
            <w:tcBorders/>
            <w:shd w:fill="auto" w:val="clear"/>
          </w:tcPr>
          <w:p>
            <w:pPr>
              <w:pStyle w:val="Normal"/>
              <w:spacing w:lineRule="auto" w:line="240" w:before="0" w:after="0"/>
              <w:rPr>
                <w:rFonts w:ascii="Arial" w:hAnsi="Arial" w:cs="Arial"/>
                <w:szCs w:val="22"/>
                <w:lang w:eastAsia="sk-SK"/>
              </w:rPr>
            </w:pPr>
            <w:r>
              <w:rPr>
                <w:rFonts w:cs="Arial" w:ascii="Arial" w:hAnsi="Arial"/>
                <w:b/>
                <w:bCs/>
                <w:szCs w:val="22"/>
                <w:lang w:eastAsia="sk-SK"/>
              </w:rPr>
              <w:t>Dátum vzniku účtovnej  jednotky</w:t>
            </w:r>
          </w:p>
        </w:tc>
        <w:tc>
          <w:tcPr>
            <w:tcW w:w="22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0"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5"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2"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1"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45" w:type="dxa"/>
            <w:gridSpan w:val="50"/>
            <w:tcBorders/>
            <w:shd w:fill="auto" w:val="clear"/>
          </w:tcPr>
          <w:p>
            <w:pPr>
              <w:pStyle w:val="Normal"/>
              <w:spacing w:lineRule="auto" w:line="240" w:before="0" w:after="0"/>
              <w:rPr>
                <w:rFonts w:ascii="Arial" w:hAnsi="Arial" w:cs="Arial"/>
                <w:szCs w:val="22"/>
                <w:lang w:eastAsia="sk-SK"/>
              </w:rPr>
            </w:pPr>
            <w:r>
              <w:rPr>
                <w:rFonts w:cs="Arial" w:ascii="Arial" w:hAnsi="Arial"/>
                <w:b/>
                <w:bCs/>
                <w:szCs w:val="22"/>
                <w:lang w:eastAsia="sk-SK"/>
              </w:rPr>
              <w:t>Účtovná závierka</w:t>
            </w:r>
          </w:p>
        </w:tc>
        <w:tc>
          <w:tcPr>
            <w:tcW w:w="1755" w:type="dxa"/>
            <w:gridSpan w:val="69"/>
            <w:tcBorders/>
            <w:shd w:fill="auto" w:val="clear"/>
          </w:tcPr>
          <w:p>
            <w:pPr>
              <w:pStyle w:val="Normal"/>
              <w:spacing w:lineRule="auto" w:line="240" w:before="0" w:after="0"/>
              <w:rPr>
                <w:rFonts w:ascii="Arial" w:hAnsi="Arial" w:cs="Arial"/>
                <w:szCs w:val="22"/>
                <w:lang w:eastAsia="sk-SK"/>
              </w:rPr>
            </w:pPr>
            <w:r>
              <w:rPr>
                <w:rFonts w:cs="Arial" w:ascii="Arial" w:hAnsi="Arial"/>
                <w:b/>
                <w:bCs/>
                <w:szCs w:val="22"/>
                <w:lang w:eastAsia="sk-SK"/>
              </w:rPr>
              <w:t>Účtovná závierka</w:t>
            </w:r>
          </w:p>
        </w:tc>
        <w:tc>
          <w:tcPr>
            <w:tcW w:w="248"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8" w:type="dxa"/>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tc>
        <w:tc>
          <w:tcPr>
            <w:tcW w:w="273" w:type="dxa"/>
            <w:gridSpan w:val="2"/>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tc>
        <w:tc>
          <w:tcPr>
            <w:tcW w:w="322"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6"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7"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7"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0" w:type="dxa"/>
            <w:gridSpan w:val="2"/>
            <w:tcBorders>
              <w:top w:val="single" w:sz="4" w:space="0" w:color="00000A"/>
              <w:bottom w:val="single" w:sz="4" w:space="0" w:color="00000A"/>
              <w:insideH w:val="single" w:sz="4"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2"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1"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2"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9"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0"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810" w:type="dxa"/>
            <w:gridSpan w:val="4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w:t>
            </w:r>
          </w:p>
        </w:tc>
        <w:tc>
          <w:tcPr>
            <w:tcW w:w="308"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530" w:type="dxa"/>
            <w:gridSpan w:val="2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w:t>
            </w:r>
          </w:p>
        </w:tc>
        <w:tc>
          <w:tcPr>
            <w:tcW w:w="255"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7"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4"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1"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0"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8"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96"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t>2</w:t>
            </w:r>
          </w:p>
        </w:tc>
        <w:tc>
          <w:tcPr>
            <w:tcW w:w="273"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t>7</w:t>
            </w:r>
          </w:p>
        </w:tc>
        <w:tc>
          <w:tcPr>
            <w:tcW w:w="322"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6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4 </w:t>
            </w:r>
          </w:p>
        </w:tc>
        <w:tc>
          <w:tcPr>
            <w:tcW w:w="233"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1</w:t>
            </w:r>
          </w:p>
        </w:tc>
        <w:tc>
          <w:tcPr>
            <w:tcW w:w="232"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9</w:t>
            </w:r>
          </w:p>
        </w:tc>
        <w:tc>
          <w:tcPr>
            <w:tcW w:w="23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9</w:t>
            </w:r>
          </w:p>
        </w:tc>
        <w:tc>
          <w:tcPr>
            <w:tcW w:w="260"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9</w:t>
            </w:r>
          </w:p>
        </w:tc>
        <w:tc>
          <w:tcPr>
            <w:tcW w:w="272" w:type="dxa"/>
            <w:gridSpan w:val="3"/>
            <w:tcBorders>
              <w:left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1"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2"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9"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0" w:type="dxa"/>
            <w:gridSpan w:val="5"/>
            <w:tcBorders>
              <w:left w:val="single" w:sz="6" w:space="0" w:color="00000A"/>
              <w:right w:val="single" w:sz="6" w:space="0" w:color="00000A"/>
              <w:insideV w:val="single" w:sz="6" w:space="0" w:color="00000A"/>
            </w:tcBorders>
            <w:shd w:fill="auto" w:val="clear"/>
            <w:tcMar>
              <w:left w:w="30"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9"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X</w:t>
            </w:r>
          </w:p>
        </w:tc>
        <w:tc>
          <w:tcPr>
            <w:tcW w:w="1471" w:type="dxa"/>
            <w:gridSpan w:val="35"/>
            <w:tcBorders>
              <w:left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r>
              <w:rPr>
                <w:rFonts w:cs="Arial" w:ascii="Arial" w:hAnsi="Arial"/>
                <w:szCs w:val="22"/>
                <w:lang w:eastAsia="sk-SK"/>
              </w:rPr>
              <w:t>-  riadna</w:t>
            </w:r>
          </w:p>
        </w:tc>
        <w:tc>
          <w:tcPr>
            <w:tcW w:w="311"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0" w:type="dxa"/>
            <w:gridSpan w:val="1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264" w:type="dxa"/>
            <w:gridSpan w:val="5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 xml:space="preserve"> – </w:t>
            </w:r>
            <w:r>
              <w:rPr>
                <w:rFonts w:cs="Arial" w:ascii="Arial" w:hAnsi="Arial"/>
                <w:szCs w:val="22"/>
                <w:lang w:eastAsia="sk-SK"/>
              </w:rPr>
              <w:t>zostavená</w:t>
            </w:r>
          </w:p>
        </w:tc>
        <w:tc>
          <w:tcPr>
            <w:tcW w:w="232"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8"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94"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8" w:type="dxa"/>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tc>
        <w:tc>
          <w:tcPr>
            <w:tcW w:w="3772" w:type="dxa"/>
            <w:gridSpan w:val="40"/>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tc>
        <w:tc>
          <w:tcPr>
            <w:tcW w:w="235"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0"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1" w:type="dxa"/>
            <w:gridSpan w:val="4"/>
            <w:tcBorders>
              <w:left w:val="single" w:sz="6" w:space="0" w:color="00000A"/>
              <w:right w:val="single" w:sz="6" w:space="0" w:color="00000A"/>
              <w:insideV w:val="single" w:sz="6" w:space="0" w:color="00000A"/>
            </w:tcBorders>
            <w:shd w:fill="auto" w:val="clear"/>
            <w:tcMar>
              <w:left w:w="30"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8" w:type="dxa"/>
            <w:gridSpan w:val="6"/>
            <w:tcBorders>
              <w:top w:val="single" w:sz="6" w:space="0" w:color="00000A"/>
              <w:left w:val="single" w:sz="6" w:space="0" w:color="00000A"/>
              <w:bottom w:val="single" w:sz="4" w:space="0" w:color="00000A"/>
              <w:right w:val="single" w:sz="6" w:space="0" w:color="00000A"/>
              <w:insideH w:val="single" w:sz="4"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470" w:type="dxa"/>
            <w:gridSpan w:val="33"/>
            <w:tcBorders>
              <w:left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r>
              <w:rPr>
                <w:rFonts w:cs="Arial" w:ascii="Arial" w:hAnsi="Arial"/>
                <w:szCs w:val="22"/>
                <w:lang w:eastAsia="sk-SK"/>
              </w:rPr>
              <w:t>-  mimoriadna</w:t>
            </w:r>
          </w:p>
        </w:tc>
        <w:tc>
          <w:tcPr>
            <w:tcW w:w="311"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0" w:type="dxa"/>
            <w:gridSpan w:val="10"/>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263" w:type="dxa"/>
            <w:gridSpan w:val="50"/>
            <w:tcBorders>
              <w:left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 xml:space="preserve"> – </w:t>
            </w:r>
            <w:r>
              <w:rPr>
                <w:rFonts w:cs="Arial" w:ascii="Arial" w:hAnsi="Arial"/>
                <w:szCs w:val="22"/>
                <w:lang w:eastAsia="sk-SK"/>
              </w:rPr>
              <w:t>schválená</w:t>
            </w:r>
          </w:p>
        </w:tc>
        <w:tc>
          <w:tcPr>
            <w:tcW w:w="232"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8"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1"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8" w:type="dxa"/>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tc>
        <w:tc>
          <w:tcPr>
            <w:tcW w:w="3772" w:type="dxa"/>
            <w:gridSpan w:val="40"/>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tc>
        <w:tc>
          <w:tcPr>
            <w:tcW w:w="235"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0"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1" w:type="dxa"/>
            <w:gridSpan w:val="4"/>
            <w:tcBorders>
              <w:left w:val="single" w:sz="4" w:space="0" w:color="00000A"/>
              <w:right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8"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470" w:type="dxa"/>
            <w:gridSpan w:val="33"/>
            <w:tcBorders>
              <w:left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   priebežná</w:t>
            </w:r>
          </w:p>
        </w:tc>
        <w:tc>
          <w:tcPr>
            <w:tcW w:w="311"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0"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263" w:type="dxa"/>
            <w:gridSpan w:val="5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8"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1"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8" w:type="dxa"/>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tc>
        <w:tc>
          <w:tcPr>
            <w:tcW w:w="3772" w:type="dxa"/>
            <w:gridSpan w:val="40"/>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tc>
        <w:tc>
          <w:tcPr>
            <w:tcW w:w="235"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0"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1"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8" w:type="dxa"/>
            <w:gridSpan w:val="6"/>
            <w:tcBorders>
              <w:top w:val="single" w:sz="4"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470" w:type="dxa"/>
            <w:gridSpan w:val="3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11"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0"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263" w:type="dxa"/>
            <w:gridSpan w:val="5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8"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1"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559" w:type="dxa"/>
            <w:gridSpan w:val="2"/>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t>IČO</w:t>
            </w:r>
          </w:p>
        </w:tc>
        <w:tc>
          <w:tcPr>
            <w:tcW w:w="322"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6"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8"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0"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7"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530" w:type="dxa"/>
            <w:gridSpan w:val="4"/>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t>DIČ</w:t>
            </w:r>
          </w:p>
        </w:tc>
        <w:tc>
          <w:tcPr>
            <w:tcW w:w="233"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3"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1"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2"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1"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0"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40"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5"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602" w:type="dxa"/>
            <w:gridSpan w:val="41"/>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t xml:space="preserve">Kód SK NACE </w:t>
            </w:r>
          </w:p>
        </w:tc>
        <w:tc>
          <w:tcPr>
            <w:tcW w:w="258"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7"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4"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0"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4"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9"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6"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3"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3</w:t>
            </w:r>
          </w:p>
        </w:tc>
        <w:tc>
          <w:tcPr>
            <w:tcW w:w="273"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6 </w:t>
            </w:r>
          </w:p>
        </w:tc>
        <w:tc>
          <w:tcPr>
            <w:tcW w:w="322"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r>
              <w:rPr>
                <w:rFonts w:cs="Arial" w:ascii="Arial" w:hAnsi="Arial"/>
                <w:szCs w:val="22"/>
                <w:lang w:eastAsia="sk-SK"/>
              </w:rPr>
              <w:t>0</w:t>
            </w:r>
          </w:p>
        </w:tc>
        <w:tc>
          <w:tcPr>
            <w:tcW w:w="22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3</w:t>
            </w:r>
          </w:p>
        </w:tc>
        <w:tc>
          <w:tcPr>
            <w:tcW w:w="26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5</w:t>
            </w:r>
          </w:p>
        </w:tc>
        <w:tc>
          <w:tcPr>
            <w:tcW w:w="233"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7</w:t>
            </w:r>
          </w:p>
        </w:tc>
        <w:tc>
          <w:tcPr>
            <w:tcW w:w="23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3</w:t>
            </w:r>
          </w:p>
        </w:tc>
        <w:tc>
          <w:tcPr>
            <w:tcW w:w="232"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4 </w:t>
            </w:r>
          </w:p>
        </w:tc>
        <w:tc>
          <w:tcPr>
            <w:tcW w:w="237"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0"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2</w:t>
            </w:r>
          </w:p>
        </w:tc>
        <w:tc>
          <w:tcPr>
            <w:tcW w:w="272"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3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2 </w:t>
            </w:r>
          </w:p>
        </w:tc>
        <w:tc>
          <w:tcPr>
            <w:tcW w:w="23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51"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22"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7</w:t>
            </w:r>
          </w:p>
        </w:tc>
        <w:tc>
          <w:tcPr>
            <w:tcW w:w="282"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3</w:t>
            </w:r>
          </w:p>
        </w:tc>
        <w:tc>
          <w:tcPr>
            <w:tcW w:w="234"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3</w:t>
            </w:r>
          </w:p>
        </w:tc>
        <w:tc>
          <w:tcPr>
            <w:tcW w:w="219"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9 </w:t>
            </w:r>
          </w:p>
        </w:tc>
        <w:tc>
          <w:tcPr>
            <w:tcW w:w="230"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6</w:t>
            </w:r>
          </w:p>
        </w:tc>
        <w:tc>
          <w:tcPr>
            <w:tcW w:w="339"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6"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5"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0 </w:t>
            </w:r>
          </w:p>
        </w:tc>
        <w:tc>
          <w:tcPr>
            <w:tcW w:w="271"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1</w:t>
            </w:r>
          </w:p>
        </w:tc>
        <w:tc>
          <w:tcPr>
            <w:tcW w:w="214"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w:t>
            </w:r>
          </w:p>
        </w:tc>
        <w:tc>
          <w:tcPr>
            <w:tcW w:w="206"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5 </w:t>
            </w:r>
          </w:p>
        </w:tc>
        <w:tc>
          <w:tcPr>
            <w:tcW w:w="308"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337"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w:t>
            </w:r>
          </w:p>
        </w:tc>
        <w:tc>
          <w:tcPr>
            <w:tcW w:w="258" w:type="dxa"/>
            <w:gridSpan w:val="1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66"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20"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5"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5"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3"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0"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7"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69"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5083" w:type="dxa"/>
            <w:gridSpan w:val="61"/>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p>
            <w:pPr>
              <w:pStyle w:val="Normal"/>
              <w:spacing w:lineRule="auto" w:line="240" w:before="0" w:after="0"/>
              <w:rPr>
                <w:rFonts w:ascii="Arial" w:hAnsi="Arial" w:cs="Arial"/>
                <w:b/>
                <w:b/>
                <w:bCs/>
                <w:szCs w:val="22"/>
                <w:lang w:eastAsia="sk-SK"/>
              </w:rPr>
            </w:pPr>
            <w:r>
              <w:rPr>
                <w:rFonts w:cs="Arial" w:ascii="Arial" w:hAnsi="Arial"/>
                <w:b/>
                <w:bCs/>
                <w:szCs w:val="22"/>
                <w:lang w:eastAsia="sk-SK"/>
              </w:rPr>
              <w:t>Obchodné meno (názov) účtovnej jednotky</w:t>
            </w:r>
          </w:p>
        </w:tc>
        <w:tc>
          <w:tcPr>
            <w:tcW w:w="205"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5"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3"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3"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5"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10"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6"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8"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8"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19"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3"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7"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3"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1"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6"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4"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A </w:t>
            </w:r>
          </w:p>
        </w:tc>
        <w:tc>
          <w:tcPr>
            <w:tcW w:w="273"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T </w:t>
            </w:r>
          </w:p>
        </w:tc>
        <w:tc>
          <w:tcPr>
            <w:tcW w:w="322"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26"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B </w:t>
            </w:r>
          </w:p>
        </w:tc>
        <w:tc>
          <w:tcPr>
            <w:tcW w:w="264"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A </w:t>
            </w:r>
          </w:p>
        </w:tc>
        <w:tc>
          <w:tcPr>
            <w:tcW w:w="233"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B </w:t>
            </w:r>
          </w:p>
        </w:tc>
        <w:tc>
          <w:tcPr>
            <w:tcW w:w="23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K </w:t>
            </w:r>
          </w:p>
        </w:tc>
        <w:tc>
          <w:tcPr>
            <w:tcW w:w="232"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A </w:t>
            </w:r>
          </w:p>
        </w:tc>
        <w:tc>
          <w:tcPr>
            <w:tcW w:w="23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0"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s </w:t>
            </w:r>
          </w:p>
        </w:tc>
        <w:tc>
          <w:tcPr>
            <w:tcW w:w="272"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p </w:t>
            </w:r>
          </w:p>
        </w:tc>
        <w:tc>
          <w:tcPr>
            <w:tcW w:w="234"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o </w:t>
            </w:r>
          </w:p>
        </w:tc>
        <w:tc>
          <w:tcPr>
            <w:tcW w:w="234"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l </w:t>
            </w:r>
          </w:p>
        </w:tc>
        <w:tc>
          <w:tcPr>
            <w:tcW w:w="251"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22"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s </w:t>
            </w:r>
          </w:p>
        </w:tc>
        <w:tc>
          <w:tcPr>
            <w:tcW w:w="282" w:type="dxa"/>
            <w:gridSpan w:val="5"/>
            <w:tcBorders>
              <w:top w:val="single" w:sz="4" w:space="0" w:color="00000A"/>
              <w:left w:val="single" w:sz="6" w:space="0" w:color="00000A"/>
              <w:bottom w:val="single" w:sz="4" w:space="0" w:color="00000A"/>
              <w:right w:val="single" w:sz="4" w:space="0" w:color="00000A"/>
              <w:insideH w:val="single" w:sz="4" w:space="0" w:color="00000A"/>
              <w:insideV w:val="single" w:sz="4" w:space="0" w:color="00000A"/>
            </w:tcBorders>
            <w:shd w:fill="auto" w:val="clear"/>
            <w:tcMar>
              <w:left w:w="22" w:type="dxa"/>
            </w:tcMar>
          </w:tcPr>
          <w:p>
            <w:pPr>
              <w:pStyle w:val="Normal"/>
              <w:spacing w:lineRule="auto" w:line="240" w:before="0" w:after="0"/>
              <w:rPr>
                <w:rFonts w:ascii="Arial" w:hAnsi="Arial" w:cs="Arial"/>
                <w:szCs w:val="22"/>
                <w:lang w:eastAsia="sk-SK"/>
              </w:rPr>
            </w:pPr>
            <w:r>
              <w:rPr>
                <w:rFonts w:cs="Arial" w:ascii="Arial" w:hAnsi="Arial"/>
                <w:szCs w:val="22"/>
                <w:lang w:eastAsia="sk-SK"/>
              </w:rPr>
              <w:t>r </w:t>
            </w:r>
          </w:p>
        </w:tc>
        <w:tc>
          <w:tcPr>
            <w:tcW w:w="234"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o </w:t>
            </w:r>
          </w:p>
        </w:tc>
        <w:tc>
          <w:tcPr>
            <w:tcW w:w="219"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0"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9"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6"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5"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1"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14"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6"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08"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7"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8" w:type="dxa"/>
            <w:gridSpan w:val="1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6"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20"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5"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5"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3"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70"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7" w:type="dxa"/>
            <w:gridSpan w:val="1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69"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r>
      <w:tr>
        <w:trPr>
          <w:trHeight w:val="57" w:hRule="atLeast"/>
        </w:trPr>
        <w:tc>
          <w:tcPr>
            <w:tcW w:w="288"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3" w:type="dxa"/>
            <w:gridSpan w:val="2"/>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22" w:type="dxa"/>
            <w:gridSpan w:val="2"/>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26" w:type="dxa"/>
            <w:gridSpan w:val="2"/>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4" w:type="dxa"/>
            <w:gridSpan w:val="3"/>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3" w:type="dxa"/>
            <w:gridSpan w:val="3"/>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7" w:type="dxa"/>
            <w:gridSpan w:val="3"/>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2" w:type="dxa"/>
            <w:gridSpan w:val="3"/>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7" w:type="dxa"/>
            <w:gridSpan w:val="3"/>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0" w:type="dxa"/>
            <w:gridSpan w:val="2"/>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2" w:type="dxa"/>
            <w:gridSpan w:val="3"/>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4" w:type="dxa"/>
            <w:gridSpan w:val="3"/>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4" w:type="dxa"/>
            <w:gridSpan w:val="3"/>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1" w:type="dxa"/>
            <w:gridSpan w:val="3"/>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22" w:type="dxa"/>
            <w:gridSpan w:val="4"/>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82"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4"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19"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0"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9"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6"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5"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1"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14"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6"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08"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7"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8" w:type="dxa"/>
            <w:gridSpan w:val="1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6"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20"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5"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5"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3"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70"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7" w:type="dxa"/>
            <w:gridSpan w:val="1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69"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r>
      <w:tr>
        <w:trPr>
          <w:trHeight w:val="57" w:hRule="atLeast"/>
        </w:trPr>
        <w:tc>
          <w:tcPr>
            <w:tcW w:w="9069" w:type="dxa"/>
            <w:gridSpan w:val="194"/>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p>
            <w:pPr>
              <w:pStyle w:val="Normal"/>
              <w:spacing w:lineRule="auto" w:line="240" w:before="0" w:after="0"/>
              <w:rPr>
                <w:rFonts w:ascii="Arial" w:hAnsi="Arial" w:cs="Arial"/>
                <w:b/>
                <w:b/>
                <w:szCs w:val="22"/>
                <w:lang w:eastAsia="sk-SK"/>
              </w:rPr>
            </w:pPr>
            <w:r>
              <w:rPr>
                <w:rFonts w:cs="Arial" w:ascii="Arial" w:hAnsi="Arial"/>
                <w:b/>
                <w:bCs/>
                <w:szCs w:val="22"/>
                <w:lang w:eastAsia="sk-SK"/>
              </w:rPr>
              <w:t xml:space="preserve">Sídlo </w:t>
            </w:r>
            <w:r>
              <w:rPr>
                <w:rFonts w:cs="Arial" w:ascii="Arial" w:hAnsi="Arial"/>
                <w:b/>
                <w:szCs w:val="22"/>
                <w:lang w:eastAsia="sk-SK"/>
              </w:rPr>
              <w:t>účtovnej jednotky</w:t>
            </w:r>
          </w:p>
          <w:p>
            <w:pPr>
              <w:pStyle w:val="Normal"/>
              <w:spacing w:lineRule="auto" w:line="240" w:before="0" w:after="0"/>
              <w:rPr>
                <w:rFonts w:ascii="Arial" w:hAnsi="Arial" w:cs="Arial"/>
                <w:b/>
                <w:b/>
                <w:szCs w:val="22"/>
                <w:lang w:eastAsia="sk-SK"/>
              </w:rPr>
            </w:pPr>
            <w:r>
              <w:rPr>
                <w:rFonts w:cs="Arial" w:ascii="Arial" w:hAnsi="Arial"/>
                <w:b/>
                <w:szCs w:val="22"/>
                <w:lang w:eastAsia="sk-SK"/>
              </w:rPr>
              <w:t>Ulica                                                                                                                                      Číslo</w:t>
            </w:r>
          </w:p>
        </w:tc>
      </w:tr>
      <w:tr>
        <w:trPr>
          <w:trHeight w:val="57" w:hRule="atLeast"/>
        </w:trPr>
        <w:tc>
          <w:tcPr>
            <w:tcW w:w="28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J</w:t>
            </w:r>
          </w:p>
        </w:tc>
        <w:tc>
          <w:tcPr>
            <w:tcW w:w="273"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w:t>
            </w:r>
          </w:p>
        </w:tc>
        <w:tc>
          <w:tcPr>
            <w:tcW w:w="322"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K </w:t>
            </w:r>
          </w:p>
        </w:tc>
        <w:tc>
          <w:tcPr>
            <w:tcW w:w="22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r </w:t>
            </w:r>
          </w:p>
        </w:tc>
        <w:tc>
          <w:tcPr>
            <w:tcW w:w="26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á </w:t>
            </w:r>
          </w:p>
        </w:tc>
        <w:tc>
          <w:tcPr>
            <w:tcW w:w="233"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ľ </w:t>
            </w:r>
          </w:p>
        </w:tc>
        <w:tc>
          <w:tcPr>
            <w:tcW w:w="23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a </w:t>
            </w:r>
          </w:p>
        </w:tc>
        <w:tc>
          <w:tcPr>
            <w:tcW w:w="232"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0"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2"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1"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22"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82"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4"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19"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0"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9"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6"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5"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1"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14"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6"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08"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7"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8" w:type="dxa"/>
            <w:gridSpan w:val="12"/>
            <w:tcBorders>
              <w:left w:val="single" w:sz="4" w:space="0" w:color="00000A"/>
              <w:right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6"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20"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5"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5"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3"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70"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8</w:t>
            </w:r>
          </w:p>
        </w:tc>
        <w:tc>
          <w:tcPr>
            <w:tcW w:w="247" w:type="dxa"/>
            <w:gridSpan w:val="1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3 </w:t>
            </w:r>
          </w:p>
        </w:tc>
        <w:tc>
          <w:tcPr>
            <w:tcW w:w="169"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1 </w:t>
            </w:r>
          </w:p>
        </w:tc>
      </w:tr>
      <w:tr>
        <w:trPr>
          <w:trHeight w:val="57" w:hRule="atLeast"/>
        </w:trPr>
        <w:tc>
          <w:tcPr>
            <w:tcW w:w="4295" w:type="dxa"/>
            <w:gridSpan w:val="46"/>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p>
            <w:pPr>
              <w:pStyle w:val="Normal"/>
              <w:spacing w:lineRule="auto" w:line="240" w:before="0" w:after="0"/>
              <w:rPr>
                <w:rFonts w:ascii="Arial" w:hAnsi="Arial" w:cs="Arial"/>
                <w:szCs w:val="22"/>
                <w:lang w:eastAsia="sk-SK"/>
              </w:rPr>
            </w:pPr>
            <w:r>
              <w:rPr>
                <w:rFonts w:cs="Arial" w:ascii="Arial" w:hAnsi="Arial"/>
                <w:b/>
                <w:bCs/>
                <w:szCs w:val="22"/>
                <w:lang w:eastAsia="sk-SK"/>
              </w:rPr>
              <w:t>PSČ                              Názov obce</w:t>
            </w:r>
          </w:p>
        </w:tc>
        <w:tc>
          <w:tcPr>
            <w:tcW w:w="220"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1"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8"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5"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6"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3"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2"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5"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11"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6"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8"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7"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21"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3"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4"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3"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1"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8"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9</w:t>
            </w:r>
          </w:p>
        </w:tc>
        <w:tc>
          <w:tcPr>
            <w:tcW w:w="273"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9 </w:t>
            </w:r>
          </w:p>
        </w:tc>
        <w:tc>
          <w:tcPr>
            <w:tcW w:w="322"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r>
              <w:rPr>
                <w:rFonts w:cs="Arial" w:ascii="Arial" w:hAnsi="Arial"/>
                <w:szCs w:val="22"/>
                <w:lang w:eastAsia="sk-SK"/>
              </w:rPr>
              <w:t>0</w:t>
            </w:r>
          </w:p>
        </w:tc>
        <w:tc>
          <w:tcPr>
            <w:tcW w:w="22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6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1</w:t>
            </w:r>
          </w:p>
        </w:tc>
        <w:tc>
          <w:tcPr>
            <w:tcW w:w="233" w:type="dxa"/>
            <w:gridSpan w:val="3"/>
            <w:tcBorders>
              <w:left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7"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V </w:t>
            </w:r>
          </w:p>
        </w:tc>
        <w:tc>
          <w:tcPr>
            <w:tcW w:w="23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e </w:t>
            </w:r>
          </w:p>
        </w:tc>
        <w:tc>
          <w:tcPr>
            <w:tcW w:w="260"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ľ </w:t>
            </w:r>
          </w:p>
        </w:tc>
        <w:tc>
          <w:tcPr>
            <w:tcW w:w="272"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k </w:t>
            </w:r>
          </w:p>
        </w:tc>
        <w:tc>
          <w:tcPr>
            <w:tcW w:w="23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ý </w:t>
            </w:r>
          </w:p>
        </w:tc>
        <w:tc>
          <w:tcPr>
            <w:tcW w:w="23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1"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K </w:t>
            </w:r>
          </w:p>
        </w:tc>
        <w:tc>
          <w:tcPr>
            <w:tcW w:w="222"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r </w:t>
            </w:r>
          </w:p>
        </w:tc>
        <w:tc>
          <w:tcPr>
            <w:tcW w:w="282"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t </w:t>
            </w:r>
          </w:p>
        </w:tc>
        <w:tc>
          <w:tcPr>
            <w:tcW w:w="234"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í </w:t>
            </w:r>
          </w:p>
        </w:tc>
        <w:tc>
          <w:tcPr>
            <w:tcW w:w="219"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š </w:t>
            </w:r>
          </w:p>
        </w:tc>
        <w:tc>
          <w:tcPr>
            <w:tcW w:w="230"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9"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6"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5"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1"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14"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6"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08"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7"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8" w:type="dxa"/>
            <w:gridSpan w:val="1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6"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20"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5"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5"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3"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70"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7" w:type="dxa"/>
            <w:gridSpan w:val="1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69"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r>
      <w:tr>
        <w:trPr>
          <w:trHeight w:val="57" w:hRule="atLeast"/>
        </w:trPr>
        <w:tc>
          <w:tcPr>
            <w:tcW w:w="9069" w:type="dxa"/>
            <w:gridSpan w:val="19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9069" w:type="dxa"/>
            <w:gridSpan w:val="194"/>
            <w:tcBorders/>
            <w:shd w:fill="auto" w:val="clear"/>
          </w:tcPr>
          <w:p>
            <w:pPr>
              <w:pStyle w:val="Normal"/>
              <w:spacing w:lineRule="auto" w:line="240" w:before="0" w:after="0"/>
              <w:rPr>
                <w:rFonts w:ascii="Arial" w:hAnsi="Arial" w:cs="Arial"/>
                <w:b/>
                <w:b/>
                <w:szCs w:val="22"/>
                <w:lang w:eastAsia="sk-SK"/>
              </w:rPr>
            </w:pPr>
            <w:r>
              <w:rPr>
                <w:rFonts w:cs="Arial" w:ascii="Arial" w:hAnsi="Arial"/>
                <w:b/>
                <w:szCs w:val="22"/>
                <w:lang w:eastAsia="sk-SK"/>
              </w:rPr>
              <w:t>Číslo telefónu                                                     Číslo faxu</w:t>
            </w:r>
          </w:p>
        </w:tc>
      </w:tr>
      <w:tr>
        <w:trPr>
          <w:trHeight w:val="57" w:hRule="atLeast"/>
        </w:trPr>
        <w:tc>
          <w:tcPr>
            <w:tcW w:w="28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73"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9 </w:t>
            </w:r>
          </w:p>
        </w:tc>
        <w:tc>
          <w:tcPr>
            <w:tcW w:w="322"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0 </w:t>
            </w:r>
          </w:p>
        </w:tc>
        <w:tc>
          <w:tcPr>
            <w:tcW w:w="22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5 </w:t>
            </w:r>
          </w:p>
        </w:tc>
        <w:tc>
          <w:tcPr>
            <w:tcW w:w="26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w:t>
            </w:r>
          </w:p>
        </w:tc>
        <w:tc>
          <w:tcPr>
            <w:tcW w:w="233"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4 </w:t>
            </w:r>
          </w:p>
        </w:tc>
        <w:tc>
          <w:tcPr>
            <w:tcW w:w="23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9 </w:t>
            </w:r>
          </w:p>
        </w:tc>
        <w:tc>
          <w:tcPr>
            <w:tcW w:w="232"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7 </w:t>
            </w:r>
          </w:p>
        </w:tc>
        <w:tc>
          <w:tcPr>
            <w:tcW w:w="23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8 </w:t>
            </w:r>
          </w:p>
        </w:tc>
        <w:tc>
          <w:tcPr>
            <w:tcW w:w="260"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5 </w:t>
            </w:r>
          </w:p>
        </w:tc>
        <w:tc>
          <w:tcPr>
            <w:tcW w:w="272"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4 </w:t>
            </w:r>
          </w:p>
        </w:tc>
        <w:tc>
          <w:tcPr>
            <w:tcW w:w="23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1"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2"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34"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19"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0"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9"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w:t>
            </w:r>
          </w:p>
        </w:tc>
        <w:tc>
          <w:tcPr>
            <w:tcW w:w="206"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5"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1"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14"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6"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08"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7"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8" w:type="dxa"/>
            <w:gridSpan w:val="12"/>
            <w:tcBorders>
              <w:top w:val="single" w:sz="4" w:space="0" w:color="00000A"/>
              <w:bottom w:val="single" w:sz="4" w:space="0" w:color="00000A"/>
              <w:insideH w:val="single" w:sz="4"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6" w:type="dxa"/>
            <w:gridSpan w:val="9"/>
            <w:tcBorders>
              <w:left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20"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5"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5"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3"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0"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7"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69"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1841" w:type="dxa"/>
            <w:gridSpan w:val="14"/>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p>
            <w:pPr>
              <w:pStyle w:val="Normal"/>
              <w:spacing w:lineRule="auto" w:line="240" w:before="0" w:after="0"/>
              <w:rPr>
                <w:rFonts w:ascii="Arial" w:hAnsi="Arial" w:cs="Arial"/>
                <w:b/>
                <w:b/>
                <w:bCs/>
                <w:szCs w:val="22"/>
                <w:lang w:eastAsia="sk-SK"/>
              </w:rPr>
            </w:pPr>
            <w:r>
              <w:rPr>
                <w:rFonts w:cs="Arial" w:ascii="Arial" w:hAnsi="Arial"/>
                <w:b/>
                <w:bCs/>
                <w:szCs w:val="22"/>
                <w:lang w:eastAsia="sk-SK"/>
              </w:rPr>
              <w:t>E-mailová adresa</w:t>
            </w:r>
          </w:p>
        </w:tc>
        <w:tc>
          <w:tcPr>
            <w:tcW w:w="231"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1"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1"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5"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3"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2"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8"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1"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9"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5"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5"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2"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6"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09"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6"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0"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5"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21"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3"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7"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1"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1"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6"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3"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t>A </w:t>
            </w:r>
          </w:p>
        </w:tc>
        <w:tc>
          <w:tcPr>
            <w:tcW w:w="273"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t </w:t>
            </w:r>
          </w:p>
        </w:tc>
        <w:tc>
          <w:tcPr>
            <w:tcW w:w="322"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b </w:t>
            </w:r>
          </w:p>
        </w:tc>
        <w:tc>
          <w:tcPr>
            <w:tcW w:w="22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a </w:t>
            </w:r>
          </w:p>
        </w:tc>
        <w:tc>
          <w:tcPr>
            <w:tcW w:w="26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B </w:t>
            </w:r>
          </w:p>
        </w:tc>
        <w:tc>
          <w:tcPr>
            <w:tcW w:w="233"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k </w:t>
            </w:r>
          </w:p>
        </w:tc>
        <w:tc>
          <w:tcPr>
            <w:tcW w:w="23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a </w:t>
            </w:r>
          </w:p>
        </w:tc>
        <w:tc>
          <w:tcPr>
            <w:tcW w:w="232"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m </w:t>
            </w:r>
          </w:p>
        </w:tc>
        <w:tc>
          <w:tcPr>
            <w:tcW w:w="260"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a </w:t>
            </w:r>
          </w:p>
        </w:tc>
        <w:tc>
          <w:tcPr>
            <w:tcW w:w="272"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i </w:t>
            </w:r>
          </w:p>
        </w:tc>
        <w:tc>
          <w:tcPr>
            <w:tcW w:w="23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l </w:t>
            </w:r>
          </w:p>
        </w:tc>
        <w:tc>
          <w:tcPr>
            <w:tcW w:w="23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1"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t </w:t>
            </w:r>
          </w:p>
        </w:tc>
        <w:tc>
          <w:tcPr>
            <w:tcW w:w="222"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82"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c </w:t>
            </w:r>
          </w:p>
        </w:tc>
        <w:tc>
          <w:tcPr>
            <w:tcW w:w="234"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o </w:t>
            </w:r>
          </w:p>
        </w:tc>
        <w:tc>
          <w:tcPr>
            <w:tcW w:w="219"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m </w:t>
            </w:r>
          </w:p>
        </w:tc>
        <w:tc>
          <w:tcPr>
            <w:tcW w:w="230"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9"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s </w:t>
            </w:r>
          </w:p>
        </w:tc>
        <w:tc>
          <w:tcPr>
            <w:tcW w:w="206"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k </w:t>
            </w:r>
          </w:p>
        </w:tc>
        <w:tc>
          <w:tcPr>
            <w:tcW w:w="265"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1"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14"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6"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08"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7"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8" w:type="dxa"/>
            <w:gridSpan w:val="1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6"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20"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5"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5"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3"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70"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7" w:type="dxa"/>
            <w:gridSpan w:val="1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69"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r>
      <w:tr>
        <w:trPr>
          <w:trHeight w:val="57" w:hRule="atLeast"/>
        </w:trPr>
        <w:tc>
          <w:tcPr>
            <w:tcW w:w="288" w:type="dx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3"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22"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6"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7"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7"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0"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2"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1"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2"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9"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0"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9"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6"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5"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1"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4"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6"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08"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7"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8"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6"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20"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5"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5"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3"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0"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7"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69"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850" w:hRule="atLeast"/>
        </w:trPr>
        <w:tc>
          <w:tcPr>
            <w:tcW w:w="2309" w:type="dxa"/>
            <w:gridSpan w:val="21"/>
            <w:tcBorders>
              <w:top w:val="single" w:sz="4" w:space="0" w:color="00000A"/>
              <w:left w:val="single" w:sz="4" w:space="0" w:color="00000A"/>
              <w:bottom w:val="single" w:sz="4" w:space="0" w:color="00000A"/>
              <w:right w:val="single" w:sz="4" w:space="0" w:color="000001"/>
              <w:insideH w:val="single" w:sz="4" w:space="0" w:color="00000A"/>
              <w:insideV w:val="single" w:sz="4" w:space="0" w:color="000001"/>
            </w:tcBorders>
            <w:shd w:fill="auto" w:val="clear"/>
            <w:tcMar>
              <w:left w:w="40" w:type="dxa"/>
            </w:tcMar>
          </w:tcPr>
          <w:p>
            <w:pPr>
              <w:pStyle w:val="Normal"/>
              <w:spacing w:lineRule="auto" w:line="240" w:before="0" w:after="0"/>
              <w:rPr/>
            </w:pPr>
            <w:r>
              <w:rPr>
                <w:rFonts w:cs="Arial" w:ascii="Arial" w:hAnsi="Arial"/>
                <w:sz w:val="16"/>
                <w:szCs w:val="16"/>
                <w:lang w:eastAsia="sk-SK"/>
              </w:rPr>
              <w:t xml:space="preserve"> </w:t>
            </w:r>
            <w:r>
              <w:rPr>
                <w:rFonts w:cs="Arial" w:ascii="Arial" w:hAnsi="Arial"/>
                <w:sz w:val="16"/>
                <w:szCs w:val="16"/>
                <w:lang w:eastAsia="sk-SK"/>
              </w:rPr>
              <w:t xml:space="preserve">Zostavené dňa:  </w:t>
            </w:r>
            <w:r>
              <w:rPr>
                <w:rFonts w:cs="Arial" w:ascii="Arial" w:hAnsi="Arial"/>
                <w:sz w:val="16"/>
                <w:szCs w:val="16"/>
                <w:lang w:eastAsia="sk-SK"/>
              </w:rPr>
              <w:t>22.3.2017</w:t>
            </w:r>
          </w:p>
        </w:tc>
        <w:tc>
          <w:tcPr>
            <w:tcW w:w="2174" w:type="dxa"/>
            <w:gridSpan w:val="30"/>
            <w:vMerge w:val="restart"/>
            <w:tcBorders>
              <w:top w:val="single" w:sz="4" w:space="0" w:color="00000A"/>
              <w:left w:val="single" w:sz="4" w:space="0" w:color="00000A"/>
              <w:right w:val="single" w:sz="4" w:space="0" w:color="000001"/>
              <w:insideV w:val="single" w:sz="4" w:space="0" w:color="000001"/>
            </w:tcBorders>
            <w:shd w:fill="auto" w:val="clear"/>
            <w:tcMar>
              <w:left w:w="40" w:type="dxa"/>
            </w:tcMar>
          </w:tcPr>
          <w:p>
            <w:pPr>
              <w:pStyle w:val="Normal"/>
              <w:spacing w:lineRule="auto" w:line="240" w:before="0" w:after="0"/>
              <w:rPr>
                <w:rFonts w:ascii="Arial" w:hAnsi="Arial" w:cs="Arial"/>
                <w:sz w:val="16"/>
                <w:szCs w:val="16"/>
                <w:lang w:eastAsia="sk-SK"/>
              </w:rPr>
            </w:pPr>
            <w:r>
              <w:rPr>
                <w:rFonts w:cs="Arial" w:ascii="Arial" w:hAnsi="Arial"/>
                <w:sz w:val="16"/>
                <w:szCs w:val="16"/>
                <w:lang w:eastAsia="sk-SK"/>
              </w:rPr>
              <w:t>Podpisový záznam osoby zodpovednej za vedenie účtovníctva:</w:t>
            </w:r>
          </w:p>
        </w:tc>
        <w:tc>
          <w:tcPr>
            <w:tcW w:w="2339" w:type="dxa"/>
            <w:gridSpan w:val="51"/>
            <w:vMerge w:val="restart"/>
            <w:tcBorders>
              <w:top w:val="single" w:sz="4" w:space="0" w:color="00000A"/>
              <w:left w:val="single" w:sz="4" w:space="0" w:color="00000A"/>
              <w:right w:val="single" w:sz="4" w:space="0" w:color="000001"/>
              <w:insideV w:val="single" w:sz="4" w:space="0" w:color="000001"/>
            </w:tcBorders>
            <w:shd w:fill="auto" w:val="clear"/>
            <w:tcMar>
              <w:left w:w="40" w:type="dxa"/>
            </w:tcMar>
          </w:tcPr>
          <w:p>
            <w:pPr>
              <w:pStyle w:val="Normal"/>
              <w:spacing w:lineRule="auto" w:line="240" w:before="0" w:after="0"/>
              <w:rPr>
                <w:rFonts w:ascii="Arial" w:hAnsi="Arial" w:cs="Arial"/>
                <w:sz w:val="16"/>
                <w:szCs w:val="16"/>
                <w:lang w:eastAsia="sk-SK"/>
              </w:rPr>
            </w:pPr>
            <w:r>
              <w:rPr>
                <w:rFonts w:cs="Arial" w:ascii="Arial" w:hAnsi="Arial"/>
                <w:sz w:val="16"/>
                <w:szCs w:val="16"/>
                <w:lang w:eastAsia="sk-SK"/>
              </w:rPr>
              <w:t>Podpisový záznam osoby zodpovednej za zostavenie účtovnej závierky:</w:t>
            </w:r>
          </w:p>
        </w:tc>
        <w:tc>
          <w:tcPr>
            <w:tcW w:w="2247" w:type="dxa"/>
            <w:gridSpan w:val="92"/>
            <w:vMerge w:val="restart"/>
            <w:tcBorders>
              <w:top w:val="single" w:sz="4" w:space="0" w:color="00000A"/>
              <w:left w:val="single" w:sz="4" w:space="0" w:color="00000A"/>
              <w:right w:val="single" w:sz="4" w:space="0" w:color="000001"/>
              <w:insideV w:val="single" w:sz="4" w:space="0" w:color="000001"/>
            </w:tcBorders>
            <w:shd w:fill="auto" w:val="clear"/>
            <w:tcMar>
              <w:left w:w="40" w:type="dxa"/>
            </w:tcMar>
          </w:tcPr>
          <w:p>
            <w:pPr>
              <w:pStyle w:val="Normal"/>
              <w:spacing w:lineRule="auto" w:line="240" w:before="0" w:after="0"/>
              <w:rPr>
                <w:rFonts w:ascii="Arial" w:hAnsi="Arial" w:cs="Arial"/>
                <w:sz w:val="16"/>
                <w:szCs w:val="16"/>
                <w:lang w:eastAsia="sk-SK"/>
              </w:rPr>
            </w:pPr>
            <w:r>
              <w:rPr>
                <w:rFonts w:cs="Arial" w:ascii="Arial" w:hAnsi="Arial"/>
                <w:sz w:val="16"/>
                <w:szCs w:val="16"/>
                <w:lang w:eastAsia="sk-SK"/>
              </w:rPr>
              <w:t>Podpisový záznam  člena štatutárneho orgánu účtovnej jednotky alebo fyzickej osoby, ktorá je účtovnou jednotkou:</w:t>
            </w:r>
          </w:p>
        </w:tc>
      </w:tr>
      <w:tr>
        <w:trPr>
          <w:trHeight w:val="848" w:hRule="atLeast"/>
        </w:trPr>
        <w:tc>
          <w:tcPr>
            <w:tcW w:w="2309" w:type="dxa"/>
            <w:gridSpan w:val="21"/>
            <w:tcBorders>
              <w:top w:val="single" w:sz="4" w:space="0" w:color="00000A"/>
              <w:left w:val="single" w:sz="4" w:space="0" w:color="00000A"/>
              <w:bottom w:val="single" w:sz="4" w:space="0" w:color="00000A"/>
              <w:right w:val="single" w:sz="4" w:space="0" w:color="000001"/>
              <w:insideH w:val="single" w:sz="4" w:space="0" w:color="00000A"/>
              <w:insideV w:val="single" w:sz="4" w:space="0" w:color="000001"/>
            </w:tcBorders>
            <w:shd w:fill="auto" w:val="clear"/>
            <w:tcMar>
              <w:left w:w="40" w:type="dxa"/>
            </w:tcMar>
          </w:tcPr>
          <w:p>
            <w:pPr>
              <w:pStyle w:val="Normal"/>
              <w:spacing w:lineRule="auto" w:line="240" w:before="0" w:after="0"/>
              <w:rPr>
                <w:rFonts w:ascii="Arial" w:hAnsi="Arial" w:cs="Arial"/>
                <w:sz w:val="16"/>
                <w:szCs w:val="16"/>
                <w:lang w:eastAsia="sk-SK"/>
              </w:rPr>
            </w:pPr>
            <w:r>
              <w:rPr>
                <w:rFonts w:cs="Arial" w:ascii="Arial" w:hAnsi="Arial"/>
                <w:sz w:val="16"/>
                <w:szCs w:val="16"/>
                <w:lang w:eastAsia="sk-SK"/>
              </w:rPr>
              <w:t xml:space="preserve"> </w:t>
            </w:r>
            <w:r>
              <w:rPr>
                <w:rFonts w:cs="Arial" w:ascii="Arial" w:hAnsi="Arial"/>
                <w:sz w:val="16"/>
                <w:szCs w:val="16"/>
                <w:lang w:eastAsia="sk-SK"/>
              </w:rPr>
              <w:t>Schválené dňa:</w:t>
            </w:r>
          </w:p>
        </w:tc>
        <w:tc>
          <w:tcPr>
            <w:tcW w:w="2174" w:type="dxa"/>
            <w:gridSpan w:val="30"/>
            <w:vMerge w:val="continue"/>
            <w:tcBorders>
              <w:top w:val="single" w:sz="4" w:space="0" w:color="000001"/>
              <w:left w:val="single" w:sz="4" w:space="0" w:color="00000A"/>
              <w:bottom w:val="single" w:sz="4" w:space="0" w:color="000001"/>
              <w:right w:val="single" w:sz="4" w:space="0" w:color="000001"/>
              <w:insideH w:val="single" w:sz="4" w:space="0" w:color="000001"/>
              <w:insideV w:val="single" w:sz="4" w:space="0" w:color="000001"/>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9" w:type="dxa"/>
            <w:gridSpan w:val="51"/>
            <w:vMerge w:val="continue"/>
            <w:tcBorders>
              <w:top w:val="single" w:sz="4" w:space="0" w:color="000001"/>
              <w:left w:val="single" w:sz="4" w:space="0" w:color="00000A"/>
              <w:bottom w:val="single" w:sz="4" w:space="0" w:color="000001"/>
              <w:right w:val="single" w:sz="4" w:space="0" w:color="000001"/>
              <w:insideH w:val="single" w:sz="4" w:space="0" w:color="000001"/>
              <w:insideV w:val="single" w:sz="4" w:space="0" w:color="000001"/>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47" w:type="dxa"/>
            <w:gridSpan w:val="92"/>
            <w:vMerge w:val="continue"/>
            <w:tcBorders>
              <w:top w:val="single" w:sz="4" w:space="0" w:color="000001"/>
              <w:left w:val="single" w:sz="4" w:space="0" w:color="00000A"/>
              <w:bottom w:val="single" w:sz="4" w:space="0" w:color="000001"/>
              <w:right w:val="single" w:sz="4" w:space="0" w:color="000001"/>
              <w:insideH w:val="single" w:sz="4" w:space="0" w:color="000001"/>
              <w:insideV w:val="single" w:sz="4" w:space="0" w:color="000001"/>
            </w:tcBorders>
            <w:shd w:fill="auto" w:val="clear"/>
            <w:tcMar>
              <w:left w:w="40"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r>
    </w:tbl>
    <w:p>
      <w:pPr>
        <w:pStyle w:val="Normal"/>
        <w:spacing w:lineRule="auto" w:line="240" w:before="0" w:after="0"/>
        <w:jc w:val="both"/>
        <w:rPr>
          <w:rFonts w:ascii="Arial" w:hAnsi="Arial" w:cs="Arial"/>
          <w:b/>
          <w:b/>
          <w:bCs/>
          <w:szCs w:val="22"/>
          <w:lang w:eastAsia="sk-SK"/>
        </w:rPr>
      </w:pPr>
      <w:r>
        <mc:AlternateContent>
          <mc:Choice Requires="wps">
            <w:drawing>
              <wp:anchor behindDoc="0" distT="0" distB="0" distL="114300" distR="114300" simplePos="0" locked="0" layoutInCell="1" allowOverlap="1" relativeHeight="2">
                <wp:simplePos x="0" y="0"/>
                <wp:positionH relativeFrom="column">
                  <wp:posOffset>991870</wp:posOffset>
                </wp:positionH>
                <wp:positionV relativeFrom="paragraph">
                  <wp:posOffset>42545</wp:posOffset>
                </wp:positionV>
                <wp:extent cx="154305" cy="154305"/>
                <wp:effectExtent l="0" t="0" r="0" b="0"/>
                <wp:wrapNone/>
                <wp:docPr id="1" name=""/>
                <a:graphic xmlns:a="http://schemas.openxmlformats.org/drawingml/2006/main">
                  <a:graphicData uri="http://schemas.microsoft.com/office/word/2010/wordprocessingShape">
                    <wps:wsp>
                      <wps:cNvSpPr/>
                      <wps:spPr>
                        <a:xfrm>
                          <a:off x="0" y="0"/>
                          <a:ext cx="153720" cy="153720"/>
                        </a:xfrm>
                        <a:prstGeom prst="rect">
                          <a:avLst/>
                        </a:prstGeom>
                        <a:solidFill>
                          <a:srgbClr val="ffffff"/>
                        </a:solidFill>
                        <a:ln w="720">
                          <a:solidFill>
                            <a:srgbClr val="000000"/>
                          </a:solidFill>
                          <a:round/>
                        </a:ln>
                      </wps:spPr>
                      <wps:style>
                        <a:lnRef idx="0"/>
                        <a:fillRef idx="0"/>
                        <a:effectRef idx="0"/>
                        <a:fontRef idx="minor"/>
                      </wps:style>
                      <wps:txbx>
                        <w:txbxContent>
                          <w:p>
                            <w:pPr>
                              <w:pStyle w:val="Obsahrmca"/>
                              <w:spacing w:before="0" w:after="200"/>
                              <w:jc w:val="right"/>
                              <w:rPr/>
                            </w:pPr>
                            <w:r>
                              <w:rPr>
                                <w:rFonts w:cs="Arial"/>
                                <w:color w:val="00000A"/>
                                <w:sz w:val="18"/>
                                <w:szCs w:val="18"/>
                              </w:rPr>
                              <w:t>X</w:t>
                            </w:r>
                          </w:p>
                        </w:txbxContent>
                      </wps:txbx>
                      <wps:bodyPr lIns="0" rIns="54000" tIns="0" bIns="54000">
                        <a:noAutofit/>
                      </wps:bodyPr>
                    </wps:wsp>
                  </a:graphicData>
                </a:graphic>
              </wp:anchor>
            </w:drawing>
          </mc:Choice>
          <mc:Fallback>
            <w:pict>
              <v:rect id="shape_0" fillcolor="white" stroked="t" style="position:absolute;margin-left:78.1pt;margin-top:3.35pt;width:12.05pt;height:12.05pt">
                <w10:wrap type="square"/>
                <v:fill o:detectmouseclick="t" type="solid" color2="black"/>
                <v:stroke color="black" weight="720" joinstyle="round" endcap="flat"/>
                <v:textbox>
                  <w:txbxContent>
                    <w:p>
                      <w:pPr>
                        <w:pStyle w:val="Obsahrmca"/>
                        <w:spacing w:before="0" w:after="200"/>
                        <w:jc w:val="right"/>
                        <w:rPr/>
                      </w:pPr>
                      <w:r>
                        <w:rPr>
                          <w:rFonts w:cs="Arial"/>
                          <w:color w:val="00000A"/>
                          <w:sz w:val="18"/>
                          <w:szCs w:val="18"/>
                        </w:rPr>
                        <w:t>X</w:t>
                      </w:r>
                    </w:p>
                  </w:txbxContent>
                </v:textbox>
              </v:rect>
            </w:pict>
          </mc:Fallback>
        </mc:AlternateContent>
      </w:r>
      <w:r>
        <w:rPr>
          <w:rFonts w:cs="Arial" w:ascii="Arial" w:hAnsi="Arial"/>
          <w:szCs w:val="22"/>
          <w:lang w:eastAsia="sk-SK"/>
        </w:rPr>
        <w:t xml:space="preserve">*) Vyznačuje sa    </w:t>
      </w:r>
      <w:r>
        <w:rPr>
          <w:rFonts w:cs="Arial" w:ascii="Arial" w:hAnsi="Arial"/>
          <w:b/>
          <w:bCs/>
          <w:szCs w:val="22"/>
          <w:lang w:eastAsia="sk-SK"/>
        </w:rPr>
        <w:t xml:space="preserve"> </w:t>
      </w:r>
    </w:p>
    <w:p>
      <w:pPr>
        <w:pStyle w:val="Normal"/>
        <w:spacing w:lineRule="auto" w:line="240" w:before="0" w:after="0"/>
        <w:ind w:left="1065" w:hanging="0"/>
        <w:rPr>
          <w:rFonts w:ascii="Arial" w:hAnsi="Arial"/>
          <w:b/>
          <w:b/>
          <w:bCs/>
          <w:sz w:val="24"/>
          <w:szCs w:val="24"/>
          <w:lang w:eastAsia="sk-SK"/>
        </w:rPr>
      </w:pPr>
      <w:r>
        <w:rPr>
          <w:rFonts w:ascii="Arial" w:hAnsi="Arial"/>
          <w:b/>
          <w:bCs/>
          <w:sz w:val="24"/>
          <w:szCs w:val="24"/>
          <w:lang w:eastAsia="sk-SK"/>
        </w:rPr>
      </w:r>
    </w:p>
    <w:p>
      <w:pPr>
        <w:pStyle w:val="Normal"/>
        <w:numPr>
          <w:ilvl w:val="0"/>
          <w:numId w:val="3"/>
        </w:numPr>
        <w:spacing w:lineRule="auto" w:line="240" w:before="0" w:after="0"/>
        <w:rPr>
          <w:rFonts w:ascii="Arial" w:hAnsi="Arial"/>
          <w:b/>
          <w:b/>
          <w:bCs/>
          <w:sz w:val="24"/>
          <w:szCs w:val="24"/>
          <w:lang w:eastAsia="sk-SK"/>
        </w:rPr>
      </w:pPr>
      <w:r>
        <w:rPr>
          <w:rFonts w:ascii="Arial" w:hAnsi="Arial"/>
          <w:b/>
          <w:sz w:val="24"/>
          <w:szCs w:val="24"/>
          <w:lang w:eastAsia="sk-SK"/>
        </w:rPr>
        <w:t>Informácie o účtovnej jednotke</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4"/>
        </w:numPr>
        <w:spacing w:lineRule="auto" w:line="240" w:before="0" w:after="0"/>
        <w:rPr>
          <w:rFonts w:ascii="Arial" w:hAnsi="Arial"/>
          <w:sz w:val="24"/>
          <w:szCs w:val="24"/>
          <w:lang w:eastAsia="sk-SK"/>
        </w:rPr>
      </w:pPr>
      <w:r>
        <w:rPr>
          <w:rFonts w:ascii="Arial" w:hAnsi="Arial"/>
          <w:sz w:val="24"/>
          <w:szCs w:val="24"/>
          <w:lang w:eastAsia="sk-SK"/>
        </w:rPr>
        <w:t>Obchodné meno účtovnej jednotky : AT BABKA , spol. s.r.o.</w:t>
        <w:br/>
        <w:t>Sídlo účtovnej jednotky :  J. Kráľa , Veľký Krtíš</w:t>
        <w:br/>
        <w:t>Dátum založenia účtovnej jednotky : 27.4.1999</w:t>
        <w:br/>
        <w:t>Dátum vzniku účtovnej jednotky :  27.4.1999</w:t>
        <w:br/>
      </w:r>
    </w:p>
    <w:p>
      <w:pPr>
        <w:pStyle w:val="Normal"/>
        <w:numPr>
          <w:ilvl w:val="0"/>
          <w:numId w:val="4"/>
        </w:numPr>
        <w:spacing w:lineRule="auto" w:line="240" w:before="0" w:after="0"/>
        <w:rPr>
          <w:rFonts w:ascii="Arial" w:hAnsi="Arial"/>
          <w:sz w:val="24"/>
          <w:szCs w:val="24"/>
          <w:lang w:eastAsia="sk-SK"/>
        </w:rPr>
      </w:pPr>
      <w:r>
        <w:rPr>
          <w:rFonts w:ascii="Arial" w:hAnsi="Arial"/>
          <w:sz w:val="24"/>
          <w:szCs w:val="24"/>
          <w:lang w:eastAsia="sk-SK"/>
        </w:rPr>
        <w:t xml:space="preserve">Opis hospodárskej činnosti účtovnej jednotky : </w:t>
        <w:br/>
        <w:t>Poľnohospodárska činnosť</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4"/>
        </w:numPr>
        <w:spacing w:lineRule="auto" w:line="240" w:before="0" w:after="0"/>
        <w:rPr>
          <w:rFonts w:ascii="Arial" w:hAnsi="Arial"/>
          <w:sz w:val="24"/>
          <w:szCs w:val="24"/>
          <w:lang w:eastAsia="sk-SK"/>
        </w:rPr>
      </w:pPr>
      <w:r>
        <w:rPr>
          <w:rFonts w:ascii="Arial" w:hAnsi="Arial"/>
          <w:sz w:val="24"/>
          <w:szCs w:val="24"/>
          <w:lang w:eastAsia="sk-SK"/>
        </w:rPr>
        <w:t xml:space="preserve">Zamestnanci : </w:t>
      </w:r>
    </w:p>
    <w:p>
      <w:pPr>
        <w:pStyle w:val="Normal"/>
        <w:keepNext/>
        <w:numPr>
          <w:ilvl w:val="0"/>
          <w:numId w:val="0"/>
        </w:numPr>
        <w:spacing w:lineRule="auto" w:line="240" w:before="0" w:after="60"/>
        <w:ind w:left="360" w:hanging="0"/>
        <w:outlineLvl w:val="0"/>
        <w:rPr>
          <w:rFonts w:ascii="Arial" w:hAnsi="Arial" w:cs="Arial"/>
          <w:b/>
          <w:b/>
          <w:bCs/>
          <w:sz w:val="24"/>
          <w:szCs w:val="24"/>
        </w:rPr>
      </w:pPr>
      <w:r>
        <w:rPr>
          <w:rFonts w:cs="Arial" w:ascii="Arial" w:hAnsi="Arial"/>
          <w:b/>
          <w:bCs/>
          <w:sz w:val="24"/>
          <w:szCs w:val="24"/>
        </w:rPr>
      </w:r>
    </w:p>
    <w:p>
      <w:pPr>
        <w:pStyle w:val="Nzov"/>
        <w:numPr>
          <w:ilvl w:val="0"/>
          <w:numId w:val="2"/>
        </w:numPr>
        <w:spacing w:beforeAutospacing="0" w:before="0" w:after="0"/>
        <w:jc w:val="left"/>
        <w:rPr>
          <w:szCs w:val="22"/>
        </w:rPr>
      </w:pPr>
      <w:r>
        <w:rPr>
          <w:szCs w:val="22"/>
        </w:rPr>
        <w:t>Informácie k prílohe č. 3 časti A. písm. c) o počte zamestnancov</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6" w:type="dxa"/>
          <w:bottom w:w="0" w:type="dxa"/>
          <w:right w:w="70" w:type="dxa"/>
        </w:tblCellMar>
        <w:tblLook w:val="00a0"/>
      </w:tblPr>
      <w:tblGrid>
        <w:gridCol w:w="3635"/>
        <w:gridCol w:w="2605"/>
        <w:gridCol w:w="2832"/>
      </w:tblGrid>
      <w:tr>
        <w:trPr/>
        <w:tc>
          <w:tcPr>
            <w:tcW w:w="3635"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Názov položky</w:t>
            </w:r>
          </w:p>
        </w:tc>
        <w:tc>
          <w:tcPr>
            <w:tcW w:w="2605"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Bežné účtovné obdobie</w:t>
            </w:r>
          </w:p>
        </w:tc>
        <w:tc>
          <w:tcPr>
            <w:tcW w:w="2832"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Bezprostredne predchádzajúce účtovné obdobie</w:t>
            </w:r>
          </w:p>
        </w:tc>
      </w:tr>
      <w:tr>
        <w:trPr>
          <w:trHeight w:val="340" w:hRule="atLeast"/>
        </w:trPr>
        <w:tc>
          <w:tcPr>
            <w:tcW w:w="3635"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Priemerný prepočítaný počet zamestnancov</w:t>
            </w:r>
          </w:p>
        </w:tc>
        <w:tc>
          <w:tcPr>
            <w:tcW w:w="2605"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tcPr>
          <w:p>
            <w:pPr>
              <w:pStyle w:val="Normal"/>
              <w:spacing w:lineRule="auto" w:line="240" w:before="0" w:after="0"/>
              <w:jc w:val="center"/>
              <w:rPr>
                <w:szCs w:val="22"/>
              </w:rPr>
            </w:pPr>
            <w:r>
              <w:rPr>
                <w:szCs w:val="22"/>
              </w:rPr>
              <w:t>5,4</w:t>
            </w:r>
          </w:p>
        </w:tc>
        <w:tc>
          <w:tcPr>
            <w:tcW w:w="2832"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tcPr>
          <w:p>
            <w:pPr>
              <w:pStyle w:val="Normal"/>
              <w:spacing w:lineRule="auto" w:line="240" w:before="0" w:after="0"/>
              <w:jc w:val="center"/>
              <w:rPr>
                <w:szCs w:val="22"/>
              </w:rPr>
            </w:pPr>
            <w:r>
              <w:rPr>
                <w:szCs w:val="22"/>
              </w:rPr>
              <w:t>5</w:t>
            </w:r>
          </w:p>
        </w:tc>
      </w:tr>
      <w:tr>
        <w:trPr>
          <w:trHeight w:val="285" w:hRule="atLeast"/>
        </w:trPr>
        <w:tc>
          <w:tcPr>
            <w:tcW w:w="363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Stav zamestnancov ku dňu, ku ktorému sa zostavuje účtovná závierka, z toho:</w:t>
            </w:r>
          </w:p>
        </w:tc>
        <w:tc>
          <w:tcPr>
            <w:tcW w:w="260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tcPr>
          <w:p>
            <w:pPr>
              <w:pStyle w:val="Normal"/>
              <w:spacing w:lineRule="auto" w:line="240" w:before="0" w:after="0"/>
              <w:jc w:val="center"/>
              <w:rPr>
                <w:szCs w:val="22"/>
              </w:rPr>
            </w:pPr>
            <w:r>
              <w:rPr>
                <w:szCs w:val="22"/>
              </w:rPr>
              <w:t>5</w:t>
            </w:r>
          </w:p>
        </w:tc>
        <w:tc>
          <w:tcPr>
            <w:tcW w:w="2832"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tcPr>
          <w:p>
            <w:pPr>
              <w:pStyle w:val="Normal"/>
              <w:spacing w:lineRule="auto" w:line="240" w:before="0" w:after="0"/>
              <w:jc w:val="center"/>
              <w:rPr>
                <w:szCs w:val="22"/>
              </w:rPr>
            </w:pPr>
            <w:r>
              <w:rPr>
                <w:szCs w:val="22"/>
              </w:rPr>
              <w:t>4</w:t>
            </w:r>
          </w:p>
        </w:tc>
      </w:tr>
      <w:tr>
        <w:trPr>
          <w:trHeight w:val="397" w:hRule="atLeast"/>
        </w:trPr>
        <w:tc>
          <w:tcPr>
            <w:tcW w:w="3635"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szCs w:val="22"/>
                <w:highlight w:val="green"/>
              </w:rPr>
            </w:pPr>
            <w:r>
              <w:rPr>
                <w:szCs w:val="22"/>
              </w:rPr>
              <w:t>počet vedúcich zamestnancov</w:t>
            </w:r>
          </w:p>
        </w:tc>
        <w:tc>
          <w:tcPr>
            <w:tcW w:w="2605"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tcPr>
          <w:p>
            <w:pPr>
              <w:pStyle w:val="Normal"/>
              <w:spacing w:lineRule="auto" w:line="240" w:before="0" w:after="0"/>
              <w:jc w:val="center"/>
              <w:rPr>
                <w:szCs w:val="22"/>
                <w:highlight w:val="green"/>
              </w:rPr>
            </w:pPr>
            <w:r>
              <w:rPr>
                <w:szCs w:val="22"/>
                <w:highlight w:val="green"/>
              </w:rPr>
              <w:t>1</w:t>
            </w:r>
          </w:p>
        </w:tc>
        <w:tc>
          <w:tcPr>
            <w:tcW w:w="2832"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tcPr>
          <w:p>
            <w:pPr>
              <w:pStyle w:val="Normal"/>
              <w:spacing w:lineRule="auto" w:line="240" w:before="0" w:after="0"/>
              <w:jc w:val="center"/>
              <w:rPr>
                <w:szCs w:val="22"/>
              </w:rPr>
            </w:pPr>
            <w:r>
              <w:rPr>
                <w:szCs w:val="22"/>
              </w:rPr>
              <w:t>1</w:t>
            </w:r>
          </w:p>
        </w:tc>
      </w:tr>
    </w:tbl>
    <w:p>
      <w:pPr>
        <w:pStyle w:val="Normal"/>
        <w:keepNext/>
        <w:numPr>
          <w:ilvl w:val="0"/>
          <w:numId w:val="0"/>
        </w:numPr>
        <w:spacing w:lineRule="auto" w:line="240" w:before="0" w:after="0"/>
        <w:outlineLvl w:val="0"/>
        <w:rPr>
          <w:rFonts w:ascii="Arial" w:hAnsi="Arial" w:cs="Arial"/>
          <w:b/>
          <w:b/>
          <w:bCs/>
          <w:color w:val="006600"/>
          <w:sz w:val="24"/>
          <w:szCs w:val="24"/>
        </w:rPr>
      </w:pPr>
      <w:r>
        <w:rPr>
          <w:rFonts w:cs="Arial" w:ascii="Arial" w:hAnsi="Arial"/>
          <w:b/>
          <w:bCs/>
          <w:color w:val="006600"/>
          <w:sz w:val="24"/>
          <w:szCs w:val="24"/>
        </w:rPr>
      </w:r>
    </w:p>
    <w:p>
      <w:pPr>
        <w:pStyle w:val="Normal"/>
        <w:spacing w:lineRule="auto" w:line="240" w:before="0" w:after="0"/>
        <w:ind w:left="360" w:hanging="0"/>
        <w:rPr>
          <w:rFonts w:ascii="Arial" w:hAnsi="Arial"/>
          <w:sz w:val="24"/>
          <w:szCs w:val="24"/>
          <w:lang w:eastAsia="sk-SK"/>
        </w:rPr>
      </w:pPr>
      <w:r>
        <w:rPr>
          <w:rFonts w:ascii="Arial" w:hAnsi="Arial"/>
          <w:sz w:val="24"/>
          <w:szCs w:val="24"/>
          <w:lang w:eastAsia="sk-SK"/>
        </w:rPr>
      </w:r>
    </w:p>
    <w:p>
      <w:pPr>
        <w:pStyle w:val="Normal"/>
        <w:numPr>
          <w:ilvl w:val="0"/>
          <w:numId w:val="4"/>
        </w:numPr>
        <w:spacing w:lineRule="auto" w:line="240" w:before="0" w:after="0"/>
        <w:rPr>
          <w:rFonts w:ascii="Arial" w:hAnsi="Arial"/>
          <w:sz w:val="24"/>
          <w:szCs w:val="24"/>
          <w:lang w:eastAsia="sk-SK"/>
        </w:rPr>
      </w:pPr>
      <w:r>
        <w:rPr>
          <w:rFonts w:ascii="Arial" w:hAnsi="Arial"/>
          <w:sz w:val="24"/>
          <w:szCs w:val="24"/>
          <w:lang w:eastAsia="sk-SK"/>
        </w:rPr>
        <w:t xml:space="preserve">Účtovné jednotky, v ktorých je účtovná jednotka zostavujúca účtovnú závierku neobmedzene ručiacim spoločníkom  v iných účtovných jednotkách: </w:t>
        <w:br/>
        <w:t>účtovná jednotka nie je neobmedzene ručiacim spoločníkom</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4"/>
        </w:numPr>
        <w:spacing w:lineRule="auto" w:line="240" w:before="0" w:after="0"/>
        <w:rPr>
          <w:rFonts w:ascii="Arial" w:hAnsi="Arial"/>
          <w:sz w:val="24"/>
          <w:szCs w:val="24"/>
          <w:lang w:eastAsia="sk-SK"/>
        </w:rPr>
      </w:pPr>
      <w:r>
        <w:rPr>
          <w:rFonts w:ascii="Arial" w:hAnsi="Arial"/>
          <w:sz w:val="24"/>
          <w:szCs w:val="24"/>
          <w:lang w:eastAsia="sk-SK"/>
        </w:rPr>
        <w:t xml:space="preserve">Právny dôvod na zostavenie účtovnej závierky : </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t>Účtovná závierka bola zostavená na zákl. § 17 odst.6 zákona o účtovníctve</w:t>
      </w:r>
    </w:p>
    <w:p>
      <w:pPr>
        <w:pStyle w:val="Normal"/>
        <w:spacing w:lineRule="auto" w:line="240" w:before="0" w:after="0"/>
        <w:ind w:left="360" w:hanging="0"/>
        <w:rPr>
          <w:rFonts w:ascii="Arial" w:hAnsi="Arial"/>
          <w:sz w:val="24"/>
          <w:szCs w:val="24"/>
          <w:lang w:eastAsia="sk-SK"/>
        </w:rPr>
      </w:pPr>
      <w:r>
        <w:rPr>
          <w:rFonts w:ascii="Arial" w:hAnsi="Arial"/>
          <w:sz w:val="24"/>
          <w:szCs w:val="24"/>
          <w:lang w:eastAsia="sk-SK"/>
        </w:rPr>
        <w:t xml:space="preserve">     </w:t>
      </w:r>
      <w:r>
        <w:rPr>
          <w:rFonts w:ascii="Arial" w:hAnsi="Arial"/>
          <w:sz w:val="24"/>
          <w:szCs w:val="24"/>
          <w:lang w:eastAsia="sk-SK"/>
        </w:rPr>
        <w:t xml:space="preserve">ako ročná k 31.12.2016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4"/>
        </w:numPr>
        <w:spacing w:lineRule="auto" w:line="240" w:before="0" w:after="0"/>
        <w:rPr/>
      </w:pPr>
      <w:r>
        <w:rPr>
          <w:rFonts w:ascii="Arial" w:hAnsi="Arial"/>
          <w:sz w:val="24"/>
          <w:szCs w:val="24"/>
          <w:lang w:eastAsia="sk-SK"/>
        </w:rPr>
        <w:t>Dátum schválenia účtovnej závierky za predchádzajúce účtovné obdobie príslušným orgánom účtovnej jednotky: 22.3.2016</w:t>
      </w:r>
    </w:p>
    <w:p>
      <w:pPr>
        <w:pStyle w:val="Nzov"/>
        <w:spacing w:beforeAutospacing="0" w:before="0" w:after="0"/>
        <w:jc w:val="left"/>
        <w:rPr>
          <w:szCs w:val="22"/>
        </w:rPr>
      </w:pPr>
      <w:r>
        <w:rPr>
          <w:szCs w:val="22"/>
        </w:rPr>
      </w:r>
    </w:p>
    <w:p>
      <w:pPr>
        <w:pStyle w:val="Normal"/>
        <w:numPr>
          <w:ilvl w:val="0"/>
          <w:numId w:val="0"/>
        </w:numPr>
        <w:spacing w:lineRule="auto" w:line="240" w:before="0" w:after="0"/>
        <w:ind w:left="1065" w:hanging="0"/>
        <w:rPr>
          <w:rFonts w:ascii="Arial" w:hAnsi="Arial"/>
          <w:b/>
          <w:b/>
          <w:sz w:val="24"/>
          <w:szCs w:val="24"/>
          <w:lang w:eastAsia="sk-SK"/>
        </w:rPr>
      </w:pPr>
      <w:r>
        <w:rPr>
          <w:rFonts w:ascii="Arial" w:hAnsi="Arial"/>
          <w:b/>
          <w:sz w:val="24"/>
          <w:szCs w:val="24"/>
          <w:lang w:eastAsia="sk-SK"/>
        </w:rPr>
      </w:r>
    </w:p>
    <w:p>
      <w:pPr>
        <w:pStyle w:val="Normal"/>
        <w:spacing w:lineRule="auto" w:line="240" w:before="0" w:after="0"/>
        <w:ind w:left="1065" w:hanging="0"/>
        <w:rPr>
          <w:rFonts w:ascii="Arial" w:hAnsi="Arial"/>
          <w:b/>
          <w:b/>
          <w:sz w:val="24"/>
          <w:szCs w:val="24"/>
          <w:lang w:eastAsia="sk-SK"/>
        </w:rPr>
      </w:pPr>
      <w:r>
        <w:rPr>
          <w:rFonts w:ascii="Arial" w:hAnsi="Arial"/>
          <w:b/>
          <w:sz w:val="24"/>
          <w:szCs w:val="24"/>
          <w:lang w:eastAsia="sk-SK"/>
        </w:rPr>
      </w:r>
    </w:p>
    <w:p>
      <w:pPr>
        <w:pStyle w:val="Normal"/>
        <w:numPr>
          <w:ilvl w:val="0"/>
          <w:numId w:val="3"/>
        </w:numPr>
        <w:spacing w:lineRule="auto" w:line="240" w:before="0" w:after="0"/>
        <w:rPr>
          <w:rFonts w:ascii="Arial" w:hAnsi="Arial"/>
          <w:b/>
          <w:b/>
          <w:sz w:val="24"/>
          <w:szCs w:val="24"/>
          <w:lang w:eastAsia="sk-SK"/>
        </w:rPr>
      </w:pPr>
      <w:r>
        <w:rPr>
          <w:rFonts w:ascii="Arial" w:hAnsi="Arial"/>
          <w:b/>
          <w:sz w:val="24"/>
          <w:szCs w:val="24"/>
          <w:lang w:eastAsia="sk-SK"/>
        </w:rPr>
        <w:t xml:space="preserve">Informácie o konsolidovanom celku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5"/>
        </w:numPr>
        <w:spacing w:lineRule="auto" w:line="240" w:before="0" w:after="0"/>
        <w:jc w:val="both"/>
        <w:rPr>
          <w:rFonts w:ascii="Arial" w:hAnsi="Arial"/>
          <w:sz w:val="24"/>
          <w:szCs w:val="24"/>
          <w:lang w:eastAsia="sk-SK"/>
        </w:rPr>
      </w:pPr>
      <w:r>
        <w:rPr>
          <w:rFonts w:ascii="Arial" w:hAnsi="Arial"/>
          <w:sz w:val="24"/>
          <w:szCs w:val="24"/>
          <w:lang w:eastAsia="sk-SK"/>
        </w:rPr>
        <w:t>Obchodné meno a sídlo konsolidujúcej účtovnej jednotky, ktorá zostavuje konsolidovanú účtovnú závierku za všetky skupiny účtovných jednotiek konsolidovaného celku, pre ktorú je účtovná jednotka konsolidovanou účtovnou jednotkou (za najväčšiu skupinu spoločností)</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t>AGROTRADE GROUP , spol. s.r.o.</w:t>
        <w:br/>
        <w:t>Šafárikova 124, Rožňava</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5"/>
        </w:numPr>
        <w:spacing w:lineRule="auto" w:line="240" w:before="0" w:after="0"/>
        <w:rPr>
          <w:rFonts w:ascii="Arial" w:hAnsi="Arial"/>
          <w:sz w:val="24"/>
          <w:szCs w:val="24"/>
          <w:lang w:eastAsia="sk-SK"/>
        </w:rPr>
      </w:pPr>
      <w:r>
        <w:rPr>
          <w:rFonts w:ascii="Arial" w:hAnsi="Arial"/>
          <w:sz w:val="24"/>
          <w:szCs w:val="24"/>
          <w:lang w:eastAsia="sk-SK"/>
        </w:rPr>
        <w:t>Obchodné meno a sídlo konsolidujúcej účtovnej jednotky, ktorá zostavuje konsolidovanú účtovnú závierku za tú skupinu účtovných jednotiek konsolidovaného celku, ktorého súčasťou je aj účtovná jednotka (za najmenšiu skupinu spoločností):  AGROTRADE GROUP, spol. s.r.o.</w:t>
        <w:br/>
        <w:t>Šafárikova 124, Rožňava</w:t>
      </w:r>
    </w:p>
    <w:p>
      <w:pPr>
        <w:pStyle w:val="Normal"/>
        <w:numPr>
          <w:ilvl w:val="0"/>
          <w:numId w:val="5"/>
        </w:numPr>
        <w:spacing w:lineRule="auto" w:line="240" w:before="0" w:after="0"/>
        <w:rPr>
          <w:rFonts w:ascii="Arial" w:hAnsi="Arial"/>
          <w:sz w:val="24"/>
          <w:szCs w:val="24"/>
          <w:lang w:eastAsia="sk-SK"/>
        </w:rPr>
      </w:pPr>
      <w:r>
        <w:rPr>
          <w:rFonts w:ascii="Arial" w:hAnsi="Arial"/>
          <w:sz w:val="24"/>
          <w:szCs w:val="24"/>
          <w:lang w:eastAsia="sk-SK"/>
        </w:rPr>
        <w:t>Obchodné meno a sídlo konsolidujúcej účtovnej jednotky, v ktorej sú prístupné konsolidované účtovné závierky: AGROTRADE GROUP, spol. s.r.o.</w:t>
        <w:br/>
        <w:t>Šafárikova 124 , Rožňava</w:t>
      </w:r>
    </w:p>
    <w:p>
      <w:pPr>
        <w:pStyle w:val="Normal"/>
        <w:numPr>
          <w:ilvl w:val="0"/>
          <w:numId w:val="5"/>
        </w:numPr>
        <w:spacing w:lineRule="auto" w:line="240" w:before="0" w:after="0"/>
        <w:rPr>
          <w:rFonts w:ascii="Arial" w:hAnsi="Arial"/>
          <w:sz w:val="24"/>
          <w:szCs w:val="24"/>
          <w:lang w:eastAsia="sk-SK"/>
        </w:rPr>
      </w:pPr>
      <w:r>
        <w:rPr>
          <w:rFonts w:ascii="Arial" w:hAnsi="Arial"/>
          <w:sz w:val="24"/>
          <w:szCs w:val="24"/>
          <w:lang w:eastAsia="sk-SK"/>
        </w:rPr>
        <w:t>Adresa príslušného registrového súdu, ktorý vedie obchodný register,</w:t>
      </w:r>
      <w:r>
        <w:rPr>
          <w:rFonts w:ascii="Arial" w:hAnsi="Arial"/>
          <w:sz w:val="16"/>
          <w:szCs w:val="16"/>
          <w:lang w:eastAsia="sk-SK"/>
        </w:rPr>
        <w:t xml:space="preserve"> </w:t>
      </w:r>
      <w:r>
        <w:rPr>
          <w:rFonts w:ascii="Arial" w:hAnsi="Arial"/>
          <w:sz w:val="24"/>
          <w:szCs w:val="24"/>
          <w:lang w:eastAsia="sk-SK"/>
        </w:rPr>
        <w:t>v ktorom sa uložia konsolidované účtovné závierky: Registrovaný súd Košice</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r>
    </w:p>
    <w:p>
      <w:pPr>
        <w:pStyle w:val="Normal"/>
        <w:numPr>
          <w:ilvl w:val="0"/>
          <w:numId w:val="5"/>
        </w:numPr>
        <w:spacing w:lineRule="auto" w:line="240" w:before="0" w:after="0"/>
        <w:rPr>
          <w:rFonts w:ascii="Arial" w:hAnsi="Arial"/>
          <w:sz w:val="24"/>
          <w:szCs w:val="24"/>
          <w:lang w:eastAsia="sk-SK"/>
        </w:rPr>
      </w:pPr>
      <w:r>
        <w:rPr>
          <w:rFonts w:ascii="Arial" w:hAnsi="Arial"/>
          <w:sz w:val="24"/>
          <w:szCs w:val="24"/>
          <w:lang w:eastAsia="sk-SK"/>
        </w:rPr>
        <w:t>Údaj, či je materská účtovná jednotka oslobodená od povinnosti zostaviť konsolidovanú účtovnú závierku a konsolidovanú výročnú správu, pričom sa uvádza:</w:t>
      </w:r>
    </w:p>
    <w:p>
      <w:pPr>
        <w:pStyle w:val="Normal"/>
        <w:spacing w:lineRule="auto" w:line="240" w:before="0" w:after="0"/>
        <w:ind w:left="708" w:hanging="0"/>
        <w:rPr>
          <w:rFonts w:ascii="Arial" w:hAnsi="Arial"/>
          <w:sz w:val="24"/>
          <w:szCs w:val="24"/>
          <w:lang w:eastAsia="sk-SK"/>
        </w:rPr>
      </w:pPr>
      <w:r>
        <w:rPr>
          <w:rFonts w:ascii="Arial" w:hAnsi="Arial"/>
          <w:sz w:val="24"/>
          <w:szCs w:val="24"/>
          <w:lang w:eastAsia="sk-SK"/>
        </w:rPr>
      </w:r>
    </w:p>
    <w:p>
      <w:pPr>
        <w:pStyle w:val="Normal"/>
        <w:numPr>
          <w:ilvl w:val="0"/>
          <w:numId w:val="6"/>
        </w:numPr>
        <w:tabs>
          <w:tab w:val="left" w:pos="1560" w:leader="none"/>
        </w:tabs>
        <w:spacing w:lineRule="auto" w:line="240" w:before="0" w:after="0"/>
        <w:ind w:left="1560" w:hanging="284"/>
        <w:rPr>
          <w:rFonts w:ascii="Arial" w:hAnsi="Arial"/>
          <w:sz w:val="24"/>
          <w:szCs w:val="24"/>
          <w:lang w:eastAsia="sk-SK"/>
        </w:rPr>
      </w:pPr>
      <w:r>
        <w:rPr>
          <w:rFonts w:ascii="Arial" w:hAnsi="Arial"/>
          <w:sz w:val="24"/>
          <w:szCs w:val="24"/>
          <w:lang w:eastAsia="sk-SK"/>
        </w:rPr>
        <w:t>Obchodné meno a sídlo materskej účtovnej jednotky zostavujúcej konsolidovanú účtovnú závierku, do ktorej je zahrňovaná účtovná jednotka a všetky jej dcérske spoločnosti (pri oslobodení podľa § 22 ods. 8)</w:t>
      </w:r>
    </w:p>
    <w:p>
      <w:pPr>
        <w:pStyle w:val="Normal"/>
        <w:tabs>
          <w:tab w:val="left" w:pos="1560" w:leader="none"/>
        </w:tabs>
        <w:spacing w:lineRule="auto" w:line="240" w:before="0" w:after="0"/>
        <w:ind w:left="1560" w:hanging="284"/>
        <w:rPr>
          <w:rFonts w:ascii="Arial" w:hAnsi="Arial"/>
          <w:sz w:val="24"/>
          <w:szCs w:val="24"/>
          <w:lang w:eastAsia="sk-SK"/>
        </w:rPr>
      </w:pPr>
      <w:r>
        <w:rPr>
          <w:rFonts w:ascii="Arial" w:hAnsi="Arial"/>
          <w:sz w:val="24"/>
          <w:szCs w:val="24"/>
          <w:lang w:eastAsia="sk-SK"/>
        </w:rPr>
      </w:r>
    </w:p>
    <w:p>
      <w:pPr>
        <w:pStyle w:val="Normal"/>
        <w:numPr>
          <w:ilvl w:val="0"/>
          <w:numId w:val="6"/>
        </w:numPr>
        <w:tabs>
          <w:tab w:val="left" w:pos="1560" w:leader="none"/>
        </w:tabs>
        <w:spacing w:lineRule="auto" w:line="240" w:before="0" w:after="0"/>
        <w:ind w:left="1560" w:hanging="284"/>
        <w:rPr>
          <w:rFonts w:ascii="Arial" w:hAnsi="Arial"/>
          <w:sz w:val="24"/>
          <w:szCs w:val="24"/>
          <w:lang w:eastAsia="sk-SK"/>
        </w:rPr>
      </w:pPr>
      <w:r>
        <w:rPr>
          <w:rFonts w:ascii="Arial" w:hAnsi="Arial"/>
          <w:sz w:val="24"/>
          <w:szCs w:val="24"/>
          <w:lang w:eastAsia="sk-SK"/>
        </w:rPr>
        <w:t>Obchodné meno a sídlo dcérskych účtovných jednotiek (pri oslobodení podľa § 22 ods. 12)</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3"/>
        </w:numPr>
        <w:spacing w:lineRule="auto" w:line="240" w:before="0" w:after="0"/>
        <w:rPr>
          <w:rFonts w:ascii="Arial" w:hAnsi="Arial"/>
          <w:b/>
          <w:b/>
          <w:bCs/>
          <w:sz w:val="24"/>
          <w:szCs w:val="24"/>
          <w:lang w:eastAsia="sk-SK"/>
        </w:rPr>
      </w:pPr>
      <w:r>
        <w:rPr>
          <w:rFonts w:ascii="Arial" w:hAnsi="Arial"/>
          <w:b/>
          <w:sz w:val="24"/>
          <w:szCs w:val="24"/>
          <w:lang w:eastAsia="sk-SK"/>
        </w:rPr>
        <w:t xml:space="preserve">ĎALŠIE INFORMÁCIE: </w:t>
      </w:r>
    </w:p>
    <w:p>
      <w:pPr>
        <w:pStyle w:val="Normal"/>
        <w:spacing w:lineRule="auto" w:line="240" w:before="0" w:after="0"/>
        <w:ind w:left="1065" w:hanging="0"/>
        <w:rPr>
          <w:rFonts w:ascii="Arial" w:hAnsi="Arial"/>
          <w:b/>
          <w:b/>
          <w:bCs/>
          <w:sz w:val="24"/>
          <w:szCs w:val="24"/>
          <w:lang w:eastAsia="sk-SK"/>
        </w:rPr>
      </w:pPr>
      <w:r>
        <w:rPr>
          <w:rFonts w:ascii="Arial" w:hAnsi="Arial"/>
          <w:b/>
          <w:bCs/>
          <w:sz w:val="24"/>
          <w:szCs w:val="24"/>
          <w:lang w:eastAsia="sk-SK"/>
        </w:rPr>
      </w:r>
    </w:p>
    <w:p>
      <w:pPr>
        <w:pStyle w:val="Normal"/>
        <w:spacing w:lineRule="auto" w:line="240" w:before="0" w:after="0"/>
        <w:ind w:left="360" w:hanging="0"/>
        <w:rPr>
          <w:rFonts w:ascii="Arial" w:hAnsi="Arial"/>
          <w:b/>
          <w:b/>
          <w:sz w:val="24"/>
          <w:szCs w:val="24"/>
          <w:lang w:eastAsia="sk-SK"/>
        </w:rPr>
      </w:pPr>
      <w:r>
        <w:rPr>
          <w:rFonts w:ascii="Arial" w:hAnsi="Arial"/>
          <w:b/>
          <w:sz w:val="24"/>
          <w:szCs w:val="24"/>
          <w:lang w:eastAsia="sk-SK"/>
        </w:rPr>
      </w:r>
    </w:p>
    <w:p>
      <w:pPr>
        <w:pStyle w:val="Normal"/>
        <w:numPr>
          <w:ilvl w:val="0"/>
          <w:numId w:val="3"/>
        </w:numPr>
        <w:spacing w:lineRule="auto" w:line="240" w:before="0" w:after="0"/>
        <w:rPr>
          <w:rFonts w:ascii="Arial" w:hAnsi="Arial"/>
          <w:b/>
          <w:b/>
          <w:bCs/>
          <w:sz w:val="24"/>
          <w:szCs w:val="24"/>
          <w:lang w:eastAsia="sk-SK"/>
        </w:rPr>
      </w:pPr>
      <w:r>
        <w:rPr>
          <w:rFonts w:ascii="Arial" w:hAnsi="Arial"/>
          <w:b/>
          <w:sz w:val="24"/>
          <w:szCs w:val="24"/>
          <w:lang w:eastAsia="sk-SK"/>
        </w:rPr>
        <w:t xml:space="preserve">Informácie o použitých účtovných zásadách a účtovných metódach </w:t>
        <w:br/>
      </w:r>
    </w:p>
    <w:p>
      <w:pPr>
        <w:pStyle w:val="Normal"/>
        <w:numPr>
          <w:ilvl w:val="0"/>
          <w:numId w:val="7"/>
        </w:numPr>
        <w:spacing w:lineRule="auto" w:line="240" w:before="0" w:after="0"/>
        <w:rPr>
          <w:rFonts w:ascii="Arial" w:hAnsi="Arial"/>
          <w:sz w:val="24"/>
          <w:szCs w:val="24"/>
          <w:lang w:eastAsia="sk-SK"/>
        </w:rPr>
      </w:pPr>
      <w:r>
        <w:rPr>
          <w:rFonts w:ascii="Arial" w:hAnsi="Arial"/>
          <w:sz w:val="24"/>
          <w:szCs w:val="24"/>
          <w:lang w:eastAsia="sk-SK"/>
        </w:rPr>
        <w:t xml:space="preserve">Informácie o splnení predpokladu, že účtovná jednotka bude nepretržite pokračovať vo svojej činnosti : </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t>Účtovníctvo vedené účtovnou jednotkou je založené na zásadách</w:t>
      </w:r>
    </w:p>
    <w:p>
      <w:pPr>
        <w:pStyle w:val="Normal"/>
        <w:spacing w:lineRule="auto" w:line="240" w:before="0" w:after="0"/>
        <w:ind w:left="360" w:hanging="0"/>
        <w:rPr>
          <w:rFonts w:ascii="Arial" w:hAnsi="Arial"/>
          <w:sz w:val="24"/>
          <w:szCs w:val="24"/>
          <w:lang w:eastAsia="sk-SK"/>
        </w:rPr>
      </w:pPr>
      <w:r>
        <w:rPr>
          <w:rFonts w:ascii="Arial" w:hAnsi="Arial"/>
          <w:sz w:val="24"/>
          <w:szCs w:val="24"/>
          <w:lang w:eastAsia="sk-SK"/>
        </w:rPr>
        <w:t xml:space="preserve">     </w:t>
      </w:r>
      <w:r>
        <w:rPr>
          <w:rFonts w:ascii="Arial" w:hAnsi="Arial"/>
          <w:sz w:val="24"/>
          <w:szCs w:val="24"/>
          <w:lang w:eastAsia="sk-SK"/>
        </w:rPr>
        <w:t>a metódach , v ktorých sa premieta nepretržité fungovanie účtovnej jednotky -</w:t>
      </w:r>
    </w:p>
    <w:p>
      <w:pPr>
        <w:pStyle w:val="Normal"/>
        <w:spacing w:lineRule="auto" w:line="240" w:before="0" w:after="0"/>
        <w:ind w:left="360" w:hanging="0"/>
        <w:rPr>
          <w:rFonts w:ascii="Arial" w:hAnsi="Arial"/>
          <w:sz w:val="24"/>
          <w:szCs w:val="24"/>
          <w:lang w:eastAsia="sk-SK"/>
        </w:rPr>
      </w:pPr>
      <w:r>
        <w:rPr>
          <w:rFonts w:ascii="Arial" w:hAnsi="Arial"/>
          <w:sz w:val="24"/>
          <w:szCs w:val="24"/>
          <w:lang w:eastAsia="sk-SK"/>
        </w:rPr>
        <w:t xml:space="preserve">     </w:t>
      </w:r>
      <w:r>
        <w:rPr>
          <w:rFonts w:ascii="Arial" w:hAnsi="Arial"/>
          <w:sz w:val="24"/>
          <w:szCs w:val="24"/>
          <w:lang w:eastAsia="sk-SK"/>
        </w:rPr>
        <w:t xml:space="preserve">zásada kontinuity bežného účtovania, časového rozlíšenia a nenastala žiadna    </w:t>
      </w:r>
    </w:p>
    <w:p>
      <w:pPr>
        <w:pStyle w:val="Normal"/>
        <w:spacing w:lineRule="auto" w:line="240" w:before="0" w:after="0"/>
        <w:ind w:left="360" w:hanging="0"/>
        <w:rPr>
          <w:rFonts w:ascii="Arial" w:hAnsi="Arial"/>
          <w:sz w:val="24"/>
          <w:szCs w:val="24"/>
          <w:lang w:eastAsia="sk-SK"/>
        </w:rPr>
      </w:pPr>
      <w:r>
        <w:rPr>
          <w:rFonts w:ascii="Arial" w:hAnsi="Arial"/>
          <w:sz w:val="24"/>
          <w:szCs w:val="24"/>
          <w:lang w:eastAsia="sk-SK"/>
        </w:rPr>
        <w:t xml:space="preserve">     </w:t>
      </w:r>
      <w:r>
        <w:rPr>
          <w:rFonts w:ascii="Arial" w:hAnsi="Arial"/>
          <w:sz w:val="24"/>
          <w:szCs w:val="24"/>
          <w:lang w:eastAsia="sk-SK"/>
        </w:rPr>
        <w:t>skutočnosť , ktorá by v najbližších dvanástich mesiacoch zabraňovala</w:t>
      </w:r>
    </w:p>
    <w:p>
      <w:pPr>
        <w:pStyle w:val="Normal"/>
        <w:spacing w:lineRule="auto" w:line="240" w:before="0" w:after="0"/>
        <w:ind w:left="360" w:hanging="0"/>
        <w:rPr>
          <w:rFonts w:ascii="Arial" w:hAnsi="Arial"/>
          <w:sz w:val="24"/>
          <w:szCs w:val="24"/>
          <w:lang w:eastAsia="sk-SK"/>
        </w:rPr>
      </w:pPr>
      <w:r>
        <w:rPr>
          <w:rFonts w:ascii="Arial" w:hAnsi="Arial"/>
          <w:sz w:val="24"/>
          <w:szCs w:val="24"/>
          <w:lang w:eastAsia="sk-SK"/>
        </w:rPr>
        <w:t xml:space="preserve">     </w:t>
      </w:r>
      <w:r>
        <w:rPr>
          <w:rFonts w:ascii="Arial" w:hAnsi="Arial"/>
          <w:sz w:val="24"/>
          <w:szCs w:val="24"/>
          <w:lang w:eastAsia="sk-SK"/>
        </w:rPr>
        <w:t>nepretržitej činnosti účtovnej jednotky .</w:t>
      </w:r>
    </w:p>
    <w:p>
      <w:pPr>
        <w:pStyle w:val="Normal"/>
        <w:numPr>
          <w:ilvl w:val="0"/>
          <w:numId w:val="7"/>
        </w:numPr>
        <w:spacing w:lineRule="auto" w:line="240" w:before="0" w:after="0"/>
        <w:rPr>
          <w:rFonts w:ascii="Arial" w:hAnsi="Arial"/>
          <w:sz w:val="24"/>
          <w:szCs w:val="24"/>
          <w:lang w:eastAsia="sk-SK"/>
        </w:rPr>
      </w:pPr>
      <w:r>
        <w:rPr>
          <w:rFonts w:ascii="Arial" w:hAnsi="Arial"/>
          <w:sz w:val="24"/>
          <w:szCs w:val="24"/>
          <w:lang w:eastAsia="sk-SK"/>
        </w:rPr>
        <w:t xml:space="preserve">Informácie o zmenách  účtovných zásad a zmenách účtovných metód : </w:t>
        <w:br/>
        <w:t xml:space="preserve">účtovná jednotka v priebehu roka 2016 nevykonala žiadne zmeny v zásadách </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t>a metódach</w:t>
      </w:r>
    </w:p>
    <w:p>
      <w:pPr>
        <w:pStyle w:val="Normal"/>
        <w:spacing w:lineRule="auto" w:line="240" w:before="0" w:after="0"/>
        <w:ind w:left="360" w:hanging="0"/>
        <w:rPr>
          <w:rFonts w:ascii="Arial" w:hAnsi="Arial"/>
          <w:sz w:val="24"/>
          <w:szCs w:val="24"/>
          <w:lang w:eastAsia="sk-SK"/>
        </w:rPr>
      </w:pPr>
      <w:r>
        <w:rPr>
          <w:rFonts w:ascii="Arial" w:hAnsi="Arial"/>
          <w:sz w:val="24"/>
          <w:szCs w:val="24"/>
          <w:lang w:eastAsia="sk-SK"/>
        </w:rPr>
        <w:br/>
        <w:t xml:space="preserve">Dôvod na uplatnenie zmien účtovných zásad a účtovných metód: </w:t>
        <w:br/>
        <w:br/>
        <w:t xml:space="preserve">Vplyv zmien účtovných zásad a účtovných metód na </w:t>
        <w:br/>
        <w:t xml:space="preserve">- hodnotu majetku : </w:t>
        <w:br/>
        <w:t xml:space="preserve">- hodnotu záväzkov: </w:t>
        <w:br/>
        <w:t xml:space="preserve">- hodnotu vlastného imania </w:t>
        <w:br/>
        <w:t xml:space="preserve">- výsledok hospodárenia účtovnej jednotky : </w:t>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numPr>
          <w:ilvl w:val="0"/>
          <w:numId w:val="7"/>
        </w:numPr>
        <w:spacing w:lineRule="auto" w:line="240" w:before="0" w:after="0"/>
        <w:rPr>
          <w:rFonts w:ascii="Arial" w:hAnsi="Arial"/>
          <w:bCs/>
          <w:sz w:val="24"/>
          <w:szCs w:val="24"/>
          <w:lang w:eastAsia="sk-SK"/>
        </w:rPr>
      </w:pPr>
      <w:r>
        <w:rPr>
          <w:rFonts w:ascii="Arial" w:hAnsi="Arial"/>
          <w:bCs/>
          <w:sz w:val="24"/>
          <w:szCs w:val="24"/>
          <w:lang w:eastAsia="sk-SK"/>
        </w:rPr>
        <w:t xml:space="preserve">Informácie o spôsobe oceňovania jednotlivých položiek majetku a záväzkov : </w:t>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 xml:space="preserve">dlhodobý nehmotný majetok obstaraný kúpou </w:t>
        <w:br/>
        <w:t>- obstarávacia cena pri vzniku ku dňu účtovnej závierky na základe § 25 ods. 2</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 xml:space="preserve">dlhodobý nehmotný majetok obstaraný vlastnou činnosťou </w:t>
        <w:br/>
        <w:t>- spoločnosť nemá dlhodobý nehmotný majetok obstaraný vlastnou činnosťou</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dlhodobý nehmotný majetok obstaraný iným spôsobom</w:t>
        <w:br/>
        <w:t>- spoločnosť nemá dlhodobý  nehmotný majetok obstaraný iným spôsobom</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dlhodobý hmotný majetok obstaraný kúpou</w:t>
        <w:br/>
        <w:t>- obstarávacia cena pri vzniku ku dňu účtovnej závierky na zákl. § 25 ods. 2</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 xml:space="preserve">dlhodobý hmotný majetok obstaraný vlastnou činnosťou </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t>- spoločnosť nemá hmotný majetok obstaraný vlastnou činnosťou</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 xml:space="preserve"> </w:t>
      </w:r>
      <w:r>
        <w:rPr>
          <w:rFonts w:ascii="Arial" w:hAnsi="Arial"/>
          <w:sz w:val="24"/>
          <w:szCs w:val="24"/>
          <w:lang w:eastAsia="sk-SK"/>
        </w:rPr>
        <w:t>dlhodobý hmotný majetok obstaraný iným spôsobom</w:t>
        <w:br/>
        <w:t>- spoločnosť neobstarala dlhodobý majetok iným spôsobom</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 xml:space="preserve">dlhodobý finančný majetok </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t>- spoločnosť nemá dlhodobý finančný majetok</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zásoby obstarané kúpou</w:t>
        <w:br/>
        <w:t>- obstarávacia cena pri vzniku ku dňu účtovnej závierky na základe § 25 ods. 2</w:t>
      </w:r>
    </w:p>
    <w:p>
      <w:pPr>
        <w:pStyle w:val="Normal"/>
        <w:spacing w:lineRule="auto" w:line="240" w:before="0" w:after="0"/>
        <w:rPr>
          <w:rFonts w:ascii="Arial" w:hAnsi="Arial"/>
          <w:sz w:val="24"/>
          <w:szCs w:val="24"/>
          <w:lang w:eastAsia="sk-SK"/>
        </w:rPr>
      </w:pPr>
      <w:r>
        <w:rPr>
          <w:rFonts w:ascii="Arial" w:hAnsi="Arial"/>
          <w:sz w:val="24"/>
          <w:szCs w:val="24"/>
          <w:lang w:eastAsia="sk-SK"/>
        </w:rPr>
        <w:t xml:space="preserve"> </w:t>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 xml:space="preserve">zásoby vytvorené vlastnou činnosťou </w:t>
        <w:br/>
        <w:t>- ocenené vlastnými nákladmi pri vzniku aj ku dňu účtovnej závierky</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zásoby obstarané iným spôsobom</w:t>
        <w:br/>
        <w:t>- spoločnosť neobstarala zásoby inou činnosťou</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zákazková výroba a zákazková výstavba nehnuteľnosti určenej na predaj</w:t>
        <w:br/>
        <w:t>- spoločnosť neuskutočňuje zákazkovú výrobu ani výstavbu</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pohľadávky – sú ocenené menovitou hodnotou</w:t>
        <w:b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krátkodobý finančný majetok – ocenený menovitou hodnotou</w:t>
        <w:b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časové rozlíšenie na strane aktív súvahy – ocenené menovitou hodnotou</w:t>
        <w:b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záväzky, vrátane rezerv, dlhopisov, pôžičiek a úverov – ocenené menovitou</w:t>
        <w:br/>
        <w:t>hodnotou</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časové rozlíšenie na strane pasív súvahy – ocenené menovitou hodnotou</w:t>
        <w:b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deriváty – spoločnosti na základe platných zákonov nevyplýva povinnosť</w:t>
        <w:br/>
        <w:t>účtovania derivátov</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majetok a záväzky zabezpečené derivátmi – spoločnosť nevykazuje majetok</w:t>
        <w:br/>
        <w:t>zabezpečený derivátmi</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 xml:space="preserve"> </w:t>
      </w:r>
      <w:r>
        <w:rPr>
          <w:rFonts w:ascii="Arial" w:hAnsi="Arial"/>
          <w:sz w:val="24"/>
          <w:szCs w:val="24"/>
          <w:lang w:eastAsia="sk-SK"/>
        </w:rPr>
        <w:t>prenajatý majetok a majetok obstaraný na základe zmluvy o kúpe prenajatej veci – leasingovou cenou</w:t>
        <w:b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 xml:space="preserve">majetok obstaraný v privatizácii – spoločnosť nemá obstaraný majetok  </w:t>
        <w:br/>
        <w:t>v privatizácii</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8"/>
        </w:numPr>
        <w:spacing w:lineRule="auto" w:line="240" w:before="0" w:after="0"/>
        <w:rPr>
          <w:rFonts w:ascii="Arial" w:hAnsi="Arial"/>
          <w:sz w:val="24"/>
          <w:szCs w:val="24"/>
          <w:lang w:eastAsia="sk-SK"/>
        </w:rPr>
      </w:pPr>
      <w:r>
        <w:rPr>
          <w:rFonts w:ascii="Arial" w:hAnsi="Arial"/>
          <w:sz w:val="24"/>
          <w:szCs w:val="24"/>
          <w:lang w:eastAsia="sk-SK"/>
        </w:rPr>
        <w:t xml:space="preserve">splatná daň z príjmov – menovitou hodnotou </w:t>
        <w:br/>
        <w:t>odložená daň z príjmov  - menovitou hodnotou</w:t>
        <w:br/>
        <w:tab/>
      </w:r>
    </w:p>
    <w:p>
      <w:pPr>
        <w:pStyle w:val="Normal"/>
        <w:spacing w:lineRule="auto" w:line="240" w:before="0" w:after="0"/>
        <w:rPr/>
      </w:pPr>
      <w:r>
        <w:rPr>
          <w:rFonts w:ascii="Arial" w:hAnsi="Arial"/>
          <w:sz w:val="24"/>
          <w:szCs w:val="24"/>
          <w:lang w:eastAsia="sk-SK"/>
        </w:rPr>
        <w:t xml:space="preserve">Účtovnej jednotke v roku 2016 neboli pridelené dotácie na obstaranie investičného majetku .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7"/>
        </w:numPr>
        <w:spacing w:lineRule="auto" w:line="240" w:before="0" w:after="0"/>
        <w:rPr>
          <w:rFonts w:ascii="Arial" w:hAnsi="Arial"/>
          <w:sz w:val="24"/>
          <w:szCs w:val="24"/>
          <w:lang w:eastAsia="sk-SK"/>
        </w:rPr>
      </w:pPr>
      <w:r>
        <w:rPr>
          <w:rFonts w:ascii="Arial" w:hAnsi="Arial"/>
          <w:sz w:val="24"/>
          <w:szCs w:val="24"/>
          <w:lang w:eastAsia="sk-SK"/>
        </w:rPr>
        <w:t>Informácie o tvorbe odpisového plánu pre dlhodobý majetok</w:t>
        <w:br/>
      </w:r>
    </w:p>
    <w:tbl>
      <w:tblPr>
        <w:tblW w:w="8460" w:type="dxa"/>
        <w:jc w:val="center"/>
        <w:tblInd w:w="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top w:w="0" w:type="dxa"/>
          <w:left w:w="-4" w:type="dxa"/>
          <w:bottom w:w="0" w:type="dxa"/>
          <w:right w:w="43" w:type="dxa"/>
        </w:tblCellMar>
        <w:tblLook w:val="0000"/>
      </w:tblPr>
      <w:tblGrid>
        <w:gridCol w:w="3653"/>
        <w:gridCol w:w="1439"/>
        <w:gridCol w:w="1439"/>
        <w:gridCol w:w="1928"/>
      </w:tblGrid>
      <w:tr>
        <w:trPr>
          <w:cantSplit w:val="true"/>
        </w:trPr>
        <w:tc>
          <w:tcPr>
            <w:tcW w:w="36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center"/>
              <w:rPr>
                <w:rFonts w:ascii="Arial" w:hAnsi="Arial"/>
                <w:sz w:val="20"/>
                <w:szCs w:val="20"/>
                <w:lang w:eastAsia="sk-SK"/>
              </w:rPr>
            </w:pPr>
            <w:r>
              <w:rPr>
                <w:rFonts w:ascii="Arial" w:hAnsi="Arial"/>
                <w:sz w:val="20"/>
                <w:szCs w:val="20"/>
                <w:lang w:eastAsia="sk-SK"/>
              </w:rPr>
              <w:t>Druh dlhodobého</w:t>
            </w:r>
          </w:p>
          <w:p>
            <w:pPr>
              <w:pStyle w:val="Normal"/>
              <w:spacing w:lineRule="auto" w:line="240" w:before="0" w:after="0"/>
              <w:jc w:val="center"/>
              <w:rPr>
                <w:rFonts w:ascii="Arial" w:hAnsi="Arial"/>
                <w:sz w:val="20"/>
                <w:szCs w:val="20"/>
                <w:lang w:eastAsia="sk-SK"/>
              </w:rPr>
            </w:pPr>
            <w:r>
              <w:rPr>
                <w:rFonts w:ascii="Arial" w:hAnsi="Arial"/>
                <w:sz w:val="20"/>
                <w:szCs w:val="20"/>
                <w:lang w:eastAsia="sk-SK"/>
              </w:rPr>
              <w:t>Majetku</w:t>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center"/>
              <w:rPr>
                <w:rFonts w:ascii="Arial" w:hAnsi="Arial"/>
                <w:sz w:val="20"/>
                <w:szCs w:val="20"/>
                <w:lang w:eastAsia="sk-SK"/>
              </w:rPr>
            </w:pPr>
            <w:r>
              <w:rPr>
                <w:rFonts w:ascii="Arial" w:hAnsi="Arial"/>
                <w:sz w:val="20"/>
                <w:szCs w:val="20"/>
                <w:lang w:eastAsia="sk-SK"/>
              </w:rPr>
              <w:t>Doba odpisovania</w:t>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center"/>
              <w:rPr>
                <w:rFonts w:ascii="Arial" w:hAnsi="Arial"/>
                <w:sz w:val="20"/>
                <w:szCs w:val="20"/>
                <w:lang w:eastAsia="sk-SK"/>
              </w:rPr>
            </w:pPr>
            <w:r>
              <w:rPr>
                <w:rFonts w:ascii="Arial" w:hAnsi="Arial"/>
                <w:sz w:val="20"/>
                <w:szCs w:val="20"/>
                <w:lang w:eastAsia="sk-SK"/>
              </w:rPr>
              <w:t>Sadzby odpisov</w:t>
            </w:r>
          </w:p>
        </w:tc>
        <w:tc>
          <w:tcPr>
            <w:tcW w:w="19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center"/>
              <w:rPr>
                <w:rFonts w:ascii="Arial" w:hAnsi="Arial"/>
                <w:sz w:val="20"/>
                <w:szCs w:val="20"/>
                <w:lang w:eastAsia="sk-SK"/>
              </w:rPr>
            </w:pPr>
            <w:r>
              <w:rPr>
                <w:rFonts w:ascii="Arial" w:hAnsi="Arial"/>
                <w:sz w:val="20"/>
                <w:szCs w:val="20"/>
                <w:lang w:eastAsia="sk-SK"/>
              </w:rPr>
              <w:t xml:space="preserve">Odpisové metódy </w:t>
            </w:r>
          </w:p>
          <w:p>
            <w:pPr>
              <w:pStyle w:val="Normal"/>
              <w:spacing w:lineRule="auto" w:line="240" w:before="0" w:after="0"/>
              <w:jc w:val="center"/>
              <w:rPr>
                <w:rFonts w:ascii="Arial" w:hAnsi="Arial"/>
                <w:sz w:val="20"/>
                <w:szCs w:val="20"/>
                <w:lang w:eastAsia="sk-SK"/>
              </w:rPr>
            </w:pPr>
            <w:r>
              <w:rPr>
                <w:rFonts w:ascii="Arial" w:hAnsi="Arial"/>
                <w:sz w:val="20"/>
                <w:szCs w:val="20"/>
                <w:lang w:eastAsia="sk-SK"/>
              </w:rPr>
              <w:t>pre účtovné odpisy</w:t>
            </w:r>
          </w:p>
        </w:tc>
      </w:tr>
      <w:tr>
        <w:trPr>
          <w:cantSplit w:val="true"/>
        </w:trPr>
        <w:tc>
          <w:tcPr>
            <w:tcW w:w="36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rPr>
                <w:rFonts w:ascii="Arial" w:hAnsi="Arial"/>
                <w:sz w:val="24"/>
                <w:szCs w:val="24"/>
                <w:lang w:eastAsia="sk-SK"/>
              </w:rPr>
            </w:pPr>
            <w:r>
              <w:rPr>
                <w:rFonts w:ascii="Arial" w:hAnsi="Arial"/>
                <w:sz w:val="24"/>
                <w:szCs w:val="24"/>
                <w:lang w:eastAsia="sk-SK"/>
              </w:rPr>
              <w:t>Budovy a stavby</w:t>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t>20 - 40</w:t>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t>2,5 – 5 %</w:t>
            </w:r>
          </w:p>
        </w:tc>
        <w:tc>
          <w:tcPr>
            <w:tcW w:w="19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t>Spôs.odpis.  1</w:t>
            </w:r>
          </w:p>
        </w:tc>
      </w:tr>
      <w:tr>
        <w:trPr>
          <w:cantSplit w:val="true"/>
        </w:trPr>
        <w:tc>
          <w:tcPr>
            <w:tcW w:w="36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rPr>
                <w:rFonts w:ascii="Arial" w:hAnsi="Arial"/>
                <w:sz w:val="24"/>
                <w:szCs w:val="24"/>
                <w:lang w:eastAsia="sk-SK"/>
              </w:rPr>
            </w:pPr>
            <w:r>
              <w:rPr>
                <w:rFonts w:ascii="Arial" w:hAnsi="Arial"/>
                <w:sz w:val="24"/>
                <w:szCs w:val="24"/>
                <w:lang w:eastAsia="sk-SK"/>
              </w:rPr>
              <w:t>Pracovné stroje a zariadenia</w:t>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t>6</w:t>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vertAlign w:val="subscript"/>
                <w:lang w:eastAsia="sk-SK"/>
              </w:rPr>
            </w:pPr>
            <w:r>
              <w:rPr>
                <w:rFonts w:ascii="Arial" w:hAnsi="Arial"/>
                <w:sz w:val="24"/>
                <w:szCs w:val="24"/>
                <w:lang w:eastAsia="sk-SK"/>
              </w:rPr>
              <w:t>16,67 %</w:t>
            </w:r>
          </w:p>
        </w:tc>
        <w:tc>
          <w:tcPr>
            <w:tcW w:w="19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t>Spôs.odpis. 1</w:t>
            </w:r>
          </w:p>
        </w:tc>
      </w:tr>
      <w:tr>
        <w:trPr>
          <w:cantSplit w:val="true"/>
        </w:trPr>
        <w:tc>
          <w:tcPr>
            <w:tcW w:w="36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rPr>
                <w:rFonts w:ascii="Arial" w:hAnsi="Arial"/>
                <w:sz w:val="24"/>
                <w:szCs w:val="24"/>
                <w:lang w:eastAsia="sk-SK"/>
              </w:rPr>
            </w:pPr>
            <w:r>
              <w:rPr>
                <w:rFonts w:ascii="Arial" w:hAnsi="Arial"/>
                <w:sz w:val="24"/>
                <w:szCs w:val="24"/>
                <w:lang w:eastAsia="sk-SK"/>
              </w:rPr>
              <w:t>Dopravné prostriedky</w:t>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t>6</w:t>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t>16,67%</w:t>
            </w:r>
          </w:p>
        </w:tc>
        <w:tc>
          <w:tcPr>
            <w:tcW w:w="19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t>Spôs.odpis. 1</w:t>
            </w:r>
          </w:p>
        </w:tc>
      </w:tr>
      <w:tr>
        <w:trPr>
          <w:cantSplit w:val="true"/>
        </w:trPr>
        <w:tc>
          <w:tcPr>
            <w:tcW w:w="36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9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r>
      <w:tr>
        <w:trPr>
          <w:cantSplit w:val="true"/>
        </w:trPr>
        <w:tc>
          <w:tcPr>
            <w:tcW w:w="36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9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r>
      <w:tr>
        <w:trPr>
          <w:cantSplit w:val="true"/>
        </w:trPr>
        <w:tc>
          <w:tcPr>
            <w:tcW w:w="36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9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r>
      <w:tr>
        <w:trPr>
          <w:cantSplit w:val="true"/>
        </w:trPr>
        <w:tc>
          <w:tcPr>
            <w:tcW w:w="36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9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r>
      <w:tr>
        <w:trPr>
          <w:cantSplit w:val="true"/>
        </w:trPr>
        <w:tc>
          <w:tcPr>
            <w:tcW w:w="36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9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r>
      <w:tr>
        <w:trPr>
          <w:cantSplit w:val="true"/>
        </w:trPr>
        <w:tc>
          <w:tcPr>
            <w:tcW w:w="36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9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7"/>
        </w:numPr>
        <w:spacing w:lineRule="auto" w:line="240" w:before="0" w:after="0"/>
        <w:rPr>
          <w:rFonts w:ascii="Arial" w:hAnsi="Arial"/>
          <w:bCs/>
          <w:sz w:val="24"/>
          <w:szCs w:val="24"/>
          <w:lang w:eastAsia="sk-SK"/>
        </w:rPr>
      </w:pPr>
      <w:r>
        <w:rPr>
          <w:rFonts w:ascii="Arial" w:hAnsi="Arial"/>
          <w:bCs/>
          <w:sz w:val="24"/>
          <w:szCs w:val="24"/>
          <w:lang w:eastAsia="sk-SK"/>
        </w:rPr>
        <w:t xml:space="preserve">Informácie o dotáciách poskytnutých na obstaranie majetku s uvedením zložky majetku a ich ocenenia </w:t>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tbl>
      <w:tblPr>
        <w:tblW w:w="8100" w:type="dxa"/>
        <w:jc w:val="center"/>
        <w:tblInd w:w="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top w:w="0" w:type="dxa"/>
          <w:left w:w="-4" w:type="dxa"/>
          <w:bottom w:w="0" w:type="dxa"/>
          <w:right w:w="43" w:type="dxa"/>
        </w:tblCellMar>
        <w:tblLook w:val="0000"/>
      </w:tblPr>
      <w:tblGrid>
        <w:gridCol w:w="2519"/>
        <w:gridCol w:w="2881"/>
        <w:gridCol w:w="2700"/>
      </w:tblGrid>
      <w:tr>
        <w:trPr>
          <w:cantSplit w:val="true"/>
        </w:trPr>
        <w:tc>
          <w:tcPr>
            <w:tcW w:w="251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center"/>
              <w:rPr>
                <w:rFonts w:ascii="Arial" w:hAnsi="Arial"/>
                <w:sz w:val="24"/>
                <w:szCs w:val="24"/>
                <w:lang w:eastAsia="sk-SK"/>
              </w:rPr>
            </w:pPr>
            <w:r>
              <w:rPr>
                <w:rFonts w:ascii="Arial" w:hAnsi="Arial"/>
                <w:sz w:val="24"/>
                <w:szCs w:val="24"/>
                <w:lang w:eastAsia="sk-SK"/>
              </w:rPr>
              <w:t>Výška investičnej dotácie</w:t>
            </w:r>
          </w:p>
        </w:tc>
        <w:tc>
          <w:tcPr>
            <w:tcW w:w="288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center"/>
              <w:rPr>
                <w:rFonts w:ascii="Arial" w:hAnsi="Arial"/>
                <w:sz w:val="24"/>
                <w:szCs w:val="24"/>
                <w:lang w:eastAsia="sk-SK"/>
              </w:rPr>
            </w:pPr>
            <w:r>
              <w:rPr>
                <w:rFonts w:ascii="Arial" w:hAnsi="Arial"/>
                <w:sz w:val="24"/>
                <w:szCs w:val="24"/>
                <w:lang w:eastAsia="sk-SK"/>
              </w:rPr>
              <w:t>Zložka dlhodobého majetku</w:t>
            </w:r>
          </w:p>
        </w:tc>
        <w:tc>
          <w:tcPr>
            <w:tcW w:w="270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center"/>
              <w:rPr>
                <w:rFonts w:ascii="Arial" w:hAnsi="Arial"/>
                <w:sz w:val="24"/>
                <w:szCs w:val="24"/>
                <w:lang w:eastAsia="sk-SK"/>
              </w:rPr>
            </w:pPr>
            <w:r>
              <w:rPr>
                <w:rFonts w:ascii="Arial" w:hAnsi="Arial"/>
                <w:sz w:val="24"/>
                <w:szCs w:val="24"/>
                <w:lang w:eastAsia="sk-SK"/>
              </w:rPr>
              <w:t>Ocenenie dlhodobého majetku</w:t>
            </w:r>
          </w:p>
        </w:tc>
      </w:tr>
      <w:tr>
        <w:trPr>
          <w:cantSplit w:val="true"/>
        </w:trPr>
        <w:tc>
          <w:tcPr>
            <w:tcW w:w="251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288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270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r>
      <w:tr>
        <w:trPr>
          <w:cantSplit w:val="true"/>
        </w:trPr>
        <w:tc>
          <w:tcPr>
            <w:tcW w:w="251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288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270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r>
      <w:tr>
        <w:trPr>
          <w:cantSplit w:val="true"/>
        </w:trPr>
        <w:tc>
          <w:tcPr>
            <w:tcW w:w="251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288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270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r>
      <w:tr>
        <w:trPr>
          <w:cantSplit w:val="true"/>
        </w:trPr>
        <w:tc>
          <w:tcPr>
            <w:tcW w:w="251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288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270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r>
    </w:tbl>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numPr>
          <w:ilvl w:val="0"/>
          <w:numId w:val="7"/>
        </w:numPr>
        <w:spacing w:lineRule="auto" w:line="240" w:before="0" w:after="0"/>
        <w:rPr>
          <w:rFonts w:ascii="Arial" w:hAnsi="Arial"/>
          <w:bCs/>
          <w:sz w:val="24"/>
          <w:szCs w:val="24"/>
          <w:lang w:eastAsia="sk-SK"/>
        </w:rPr>
      </w:pPr>
      <w:r>
        <w:rPr>
          <w:rFonts w:ascii="Arial" w:hAnsi="Arial"/>
          <w:bCs/>
          <w:sz w:val="24"/>
          <w:szCs w:val="24"/>
          <w:lang w:eastAsia="sk-SK"/>
        </w:rPr>
        <w:t>Informácie o oprave významných chýb minulých období</w:t>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t>neboli účtované opravy významných chýb minulých období</w:t>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numPr>
          <w:ilvl w:val="0"/>
          <w:numId w:val="3"/>
        </w:numPr>
        <w:spacing w:lineRule="auto" w:line="240" w:before="0" w:after="0"/>
        <w:rPr>
          <w:rFonts w:ascii="Arial" w:hAnsi="Arial"/>
          <w:b/>
          <w:b/>
          <w:bCs/>
          <w:sz w:val="24"/>
          <w:szCs w:val="24"/>
          <w:lang w:eastAsia="sk-SK"/>
        </w:rPr>
      </w:pPr>
      <w:r>
        <w:rPr>
          <w:rFonts w:ascii="Arial" w:hAnsi="Arial"/>
          <w:b/>
          <w:sz w:val="24"/>
          <w:szCs w:val="24"/>
          <w:lang w:eastAsia="sk-SK"/>
        </w:rPr>
        <w:t xml:space="preserve">Informácie o údajoch vykázaných na strane aktív súvahy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rPr>
          <w:rFonts w:ascii="Arial" w:hAnsi="Arial"/>
          <w:sz w:val="24"/>
          <w:szCs w:val="24"/>
          <w:lang w:eastAsia="sk-SK"/>
        </w:rPr>
      </w:pPr>
      <w:r>
        <w:rPr>
          <w:rFonts w:ascii="Arial" w:hAnsi="Arial"/>
          <w:sz w:val="24"/>
          <w:szCs w:val="24"/>
          <w:lang w:eastAsia="sk-SK"/>
        </w:rPr>
        <w:t xml:space="preserve">Dlhodobý nehmotný a dlhodobý hmotný majetok za bežné účtovné obdobie :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zov"/>
        <w:numPr>
          <w:ilvl w:val="0"/>
          <w:numId w:val="2"/>
        </w:numPr>
        <w:spacing w:beforeAutospacing="0" w:before="0" w:after="0"/>
        <w:jc w:val="left"/>
        <w:rPr>
          <w:szCs w:val="22"/>
        </w:rPr>
      </w:pPr>
      <w:r>
        <w:rPr>
          <w:szCs w:val="22"/>
        </w:rPr>
        <w:t>Informácie k prílohe č. 3 časti F. písm. a) o dlhodobom nehmotnom majetku</w:t>
      </w:r>
    </w:p>
    <w:p>
      <w:pPr>
        <w:pStyle w:val="Normal"/>
        <w:spacing w:lineRule="auto" w:line="240" w:before="0" w:after="0"/>
        <w:rPr>
          <w:szCs w:val="22"/>
        </w:rPr>
      </w:pPr>
      <w:r>
        <w:rPr>
          <w:szCs w:val="22"/>
        </w:rPr>
        <w:t>Tabuľka č. 1</w:t>
      </w:r>
    </w:p>
    <w:tbl>
      <w:tblPr>
        <w:tblW w:w="495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30" w:type="dxa"/>
        </w:tblCellMar>
        <w:tblLook w:val="00a0"/>
      </w:tblPr>
      <w:tblGrid>
        <w:gridCol w:w="1831"/>
        <w:gridCol w:w="984"/>
        <w:gridCol w:w="837"/>
        <w:gridCol w:w="853"/>
        <w:gridCol w:w="962"/>
        <w:gridCol w:w="697"/>
        <w:gridCol w:w="837"/>
        <w:gridCol w:w="1131"/>
        <w:gridCol w:w="848"/>
      </w:tblGrid>
      <w:tr>
        <w:trPr>
          <w:trHeight w:val="334" w:hRule="atLeast"/>
        </w:trPr>
        <w:tc>
          <w:tcPr>
            <w:tcW w:w="1831"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Dlhodobý nehmotný majetok</w:t>
            </w:r>
          </w:p>
        </w:tc>
        <w:tc>
          <w:tcPr>
            <w:tcW w:w="7149" w:type="dxa"/>
            <w:gridSpan w:val="8"/>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Bežné účtovné obdobie</w:t>
            </w:r>
          </w:p>
        </w:tc>
      </w:tr>
      <w:tr>
        <w:trPr>
          <w:trHeight w:val="1124" w:hRule="atLeast"/>
        </w:trPr>
        <w:tc>
          <w:tcPr>
            <w:tcW w:w="1831"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984"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Aktivo-vané náklady na vývoj</w:t>
            </w:r>
          </w:p>
        </w:tc>
        <w:tc>
          <w:tcPr>
            <w:tcW w:w="83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Softvér</w:t>
            </w:r>
          </w:p>
        </w:tc>
        <w:tc>
          <w:tcPr>
            <w:tcW w:w="853"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Oceni-teľné práva</w:t>
            </w:r>
          </w:p>
        </w:tc>
        <w:tc>
          <w:tcPr>
            <w:tcW w:w="962"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Goodwill</w:t>
            </w:r>
          </w:p>
        </w:tc>
        <w:tc>
          <w:tcPr>
            <w:tcW w:w="69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Ostat-ný DNM</w:t>
            </w:r>
          </w:p>
        </w:tc>
        <w:tc>
          <w:tcPr>
            <w:tcW w:w="83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Obsta-</w:t>
            </w:r>
          </w:p>
          <w:p>
            <w:pPr>
              <w:pStyle w:val="Normal"/>
              <w:spacing w:lineRule="auto" w:line="240" w:before="0" w:after="0"/>
              <w:jc w:val="center"/>
              <w:rPr>
                <w:b/>
                <w:b/>
                <w:bCs/>
                <w:szCs w:val="22"/>
              </w:rPr>
            </w:pPr>
            <w:r>
              <w:rPr>
                <w:b/>
                <w:bCs/>
                <w:szCs w:val="22"/>
              </w:rPr>
              <w:t>rávaný DNM</w:t>
            </w:r>
          </w:p>
        </w:tc>
        <w:tc>
          <w:tcPr>
            <w:tcW w:w="1131"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Poskytnuté preddavky na DNM</w:t>
            </w:r>
          </w:p>
        </w:tc>
        <w:tc>
          <w:tcPr>
            <w:tcW w:w="848"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Spolu</w:t>
            </w:r>
          </w:p>
        </w:tc>
      </w:tr>
      <w:tr>
        <w:trPr>
          <w:trHeight w:val="80" w:hRule="atLeast"/>
        </w:trPr>
        <w:tc>
          <w:tcPr>
            <w:tcW w:w="183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A</w:t>
            </w:r>
          </w:p>
        </w:tc>
        <w:tc>
          <w:tcPr>
            <w:tcW w:w="98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b</w:t>
            </w:r>
          </w:p>
        </w:tc>
        <w:tc>
          <w:tcPr>
            <w:tcW w:w="83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c</w:t>
            </w:r>
          </w:p>
        </w:tc>
        <w:tc>
          <w:tcPr>
            <w:tcW w:w="85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d</w:t>
            </w:r>
          </w:p>
        </w:tc>
        <w:tc>
          <w:tcPr>
            <w:tcW w:w="96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e</w:t>
            </w:r>
          </w:p>
        </w:tc>
        <w:tc>
          <w:tcPr>
            <w:tcW w:w="69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f</w:t>
            </w:r>
          </w:p>
        </w:tc>
        <w:tc>
          <w:tcPr>
            <w:tcW w:w="83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g</w:t>
            </w:r>
          </w:p>
        </w:tc>
        <w:tc>
          <w:tcPr>
            <w:tcW w:w="113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h</w:t>
            </w:r>
          </w:p>
        </w:tc>
        <w:tc>
          <w:tcPr>
            <w:tcW w:w="84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i</w:t>
            </w:r>
          </w:p>
        </w:tc>
      </w:tr>
      <w:tr>
        <w:trPr>
          <w:trHeight w:val="266" w:hRule="atLeast"/>
        </w:trPr>
        <w:tc>
          <w:tcPr>
            <w:tcW w:w="8980" w:type="dxa"/>
            <w:gridSpan w:val="9"/>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Prvotné ocenenie</w:t>
            </w:r>
          </w:p>
        </w:tc>
      </w:tr>
      <w:tr>
        <w:trPr>
          <w:trHeight w:val="227" w:hRule="atLeast"/>
        </w:trPr>
        <w:tc>
          <w:tcPr>
            <w:tcW w:w="1831"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27" w:hRule="atLeast"/>
        </w:trPr>
        <w:tc>
          <w:tcPr>
            <w:tcW w:w="1831"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8980" w:type="dxa"/>
            <w:gridSpan w:val="9"/>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Oprávky</w:t>
            </w:r>
          </w:p>
        </w:tc>
      </w:tr>
      <w:tr>
        <w:trPr>
          <w:trHeight w:val="278" w:hRule="atLeast"/>
        </w:trPr>
        <w:tc>
          <w:tcPr>
            <w:tcW w:w="1831"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27" w:hRule="atLeast"/>
        </w:trPr>
        <w:tc>
          <w:tcPr>
            <w:tcW w:w="1831"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8980" w:type="dxa"/>
            <w:gridSpan w:val="9"/>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Opravné položky</w:t>
            </w:r>
          </w:p>
        </w:tc>
      </w:tr>
      <w:tr>
        <w:trPr>
          <w:trHeight w:val="278" w:hRule="atLeast"/>
        </w:trPr>
        <w:tc>
          <w:tcPr>
            <w:tcW w:w="1831"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650" w:hRule="atLeast"/>
        </w:trPr>
        <w:tc>
          <w:tcPr>
            <w:tcW w:w="1831"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8980" w:type="dxa"/>
            <w:gridSpan w:val="9"/>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Zostatková hodnota</w:t>
            </w:r>
          </w:p>
        </w:tc>
      </w:tr>
      <w:tr>
        <w:trPr>
          <w:trHeight w:val="170" w:hRule="atLeast"/>
        </w:trPr>
        <w:tc>
          <w:tcPr>
            <w:tcW w:w="1831"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27" w:hRule="atLeast"/>
        </w:trPr>
        <w:tc>
          <w:tcPr>
            <w:tcW w:w="1831"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bl>
    <w:p>
      <w:pPr>
        <w:pStyle w:val="Nzov"/>
        <w:spacing w:beforeAutospacing="0" w:before="0" w:after="0"/>
        <w:jc w:val="left"/>
        <w:rPr>
          <w:b w:val="false"/>
          <w:b w:val="false"/>
          <w:szCs w:val="22"/>
        </w:rPr>
      </w:pPr>
      <w:r>
        <w:rPr>
          <w:b w:val="false"/>
          <w:szCs w:val="22"/>
        </w:rPr>
      </w:r>
    </w:p>
    <w:p>
      <w:pPr>
        <w:pStyle w:val="Nzov"/>
        <w:spacing w:beforeAutospacing="0" w:before="0" w:after="0"/>
        <w:jc w:val="left"/>
        <w:rPr>
          <w:b w:val="false"/>
          <w:b w:val="false"/>
          <w:szCs w:val="22"/>
        </w:rPr>
      </w:pPr>
      <w:r>
        <w:rPr>
          <w:b w:val="false"/>
          <w:szCs w:val="22"/>
        </w:rPr>
      </w:r>
    </w:p>
    <w:p>
      <w:pPr>
        <w:pStyle w:val="Nzov"/>
        <w:spacing w:beforeAutospacing="0" w:before="0" w:after="0"/>
        <w:jc w:val="left"/>
        <w:rPr>
          <w:b w:val="false"/>
          <w:b w:val="false"/>
          <w:szCs w:val="22"/>
        </w:rPr>
      </w:pPr>
      <w:r>
        <w:rPr>
          <w:b w:val="false"/>
          <w:szCs w:val="22"/>
        </w:rPr>
      </w:r>
    </w:p>
    <w:p>
      <w:pPr>
        <w:pStyle w:val="Nzov"/>
        <w:spacing w:beforeAutospacing="0" w:before="0" w:after="0"/>
        <w:jc w:val="left"/>
        <w:rPr>
          <w:b w:val="false"/>
          <w:b w:val="false"/>
          <w:szCs w:val="22"/>
        </w:rPr>
      </w:pPr>
      <w:r>
        <w:rPr>
          <w:b w:val="false"/>
          <w:szCs w:val="22"/>
        </w:rPr>
      </w:r>
    </w:p>
    <w:p>
      <w:pPr>
        <w:pStyle w:val="Normal"/>
        <w:rPr/>
      </w:pPr>
      <w:r>
        <w:rPr/>
      </w:r>
    </w:p>
    <w:p>
      <w:pPr>
        <w:pStyle w:val="Nzov"/>
        <w:spacing w:beforeAutospacing="0" w:before="0" w:after="0"/>
        <w:jc w:val="left"/>
        <w:rPr>
          <w:b w:val="false"/>
          <w:b w:val="false"/>
          <w:szCs w:val="22"/>
        </w:rPr>
      </w:pPr>
      <w:r>
        <w:rPr>
          <w:b w:val="false"/>
          <w:szCs w:val="22"/>
        </w:rPr>
        <w:t>Tabuľka č. 2</w:t>
      </w:r>
    </w:p>
    <w:tbl>
      <w:tblPr>
        <w:tblW w:w="495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30" w:type="dxa"/>
        </w:tblCellMar>
        <w:tblLook w:val="00a0"/>
      </w:tblPr>
      <w:tblGrid>
        <w:gridCol w:w="1831"/>
        <w:gridCol w:w="984"/>
        <w:gridCol w:w="837"/>
        <w:gridCol w:w="853"/>
        <w:gridCol w:w="962"/>
        <w:gridCol w:w="661"/>
        <w:gridCol w:w="36"/>
        <w:gridCol w:w="837"/>
        <w:gridCol w:w="1131"/>
        <w:gridCol w:w="848"/>
      </w:tblGrid>
      <w:tr>
        <w:trPr>
          <w:trHeight w:val="334" w:hRule="atLeast"/>
        </w:trPr>
        <w:tc>
          <w:tcPr>
            <w:tcW w:w="1831"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Dlhodobý nehmotný majetok</w:t>
            </w:r>
          </w:p>
        </w:tc>
        <w:tc>
          <w:tcPr>
            <w:tcW w:w="7149" w:type="dxa"/>
            <w:gridSpan w:val="9"/>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Bezprostredne predchádzajúce účtovné obdobie</w:t>
            </w:r>
          </w:p>
        </w:tc>
      </w:tr>
      <w:tr>
        <w:trPr>
          <w:trHeight w:val="1124" w:hRule="atLeast"/>
        </w:trPr>
        <w:tc>
          <w:tcPr>
            <w:tcW w:w="1831"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984"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Aktivo-vané náklady na vývoj</w:t>
            </w:r>
          </w:p>
        </w:tc>
        <w:tc>
          <w:tcPr>
            <w:tcW w:w="83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Softvér</w:t>
            </w:r>
          </w:p>
        </w:tc>
        <w:tc>
          <w:tcPr>
            <w:tcW w:w="853"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Oceni-teľné práva</w:t>
            </w:r>
          </w:p>
        </w:tc>
        <w:tc>
          <w:tcPr>
            <w:tcW w:w="962"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Goodwill</w:t>
            </w:r>
          </w:p>
        </w:tc>
        <w:tc>
          <w:tcPr>
            <w:tcW w:w="697"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Ostat-ný DNM</w:t>
            </w:r>
          </w:p>
        </w:tc>
        <w:tc>
          <w:tcPr>
            <w:tcW w:w="83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Obsta-</w:t>
            </w:r>
          </w:p>
          <w:p>
            <w:pPr>
              <w:pStyle w:val="Normal"/>
              <w:spacing w:lineRule="auto" w:line="240" w:before="0" w:after="0"/>
              <w:jc w:val="center"/>
              <w:rPr>
                <w:b/>
                <w:b/>
                <w:bCs/>
                <w:szCs w:val="22"/>
              </w:rPr>
            </w:pPr>
            <w:r>
              <w:rPr>
                <w:b/>
                <w:bCs/>
                <w:szCs w:val="22"/>
              </w:rPr>
              <w:t>rávaný DNM</w:t>
            </w:r>
          </w:p>
        </w:tc>
        <w:tc>
          <w:tcPr>
            <w:tcW w:w="1131"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Poskytnuté preddavky na DNM</w:t>
            </w:r>
          </w:p>
        </w:tc>
        <w:tc>
          <w:tcPr>
            <w:tcW w:w="848"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Spolu</w:t>
            </w:r>
          </w:p>
        </w:tc>
      </w:tr>
      <w:tr>
        <w:trPr>
          <w:trHeight w:val="80" w:hRule="atLeast"/>
        </w:trPr>
        <w:tc>
          <w:tcPr>
            <w:tcW w:w="183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A</w:t>
            </w:r>
          </w:p>
        </w:tc>
        <w:tc>
          <w:tcPr>
            <w:tcW w:w="98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b</w:t>
            </w:r>
          </w:p>
        </w:tc>
        <w:tc>
          <w:tcPr>
            <w:tcW w:w="83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c</w:t>
            </w:r>
          </w:p>
        </w:tc>
        <w:tc>
          <w:tcPr>
            <w:tcW w:w="85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d</w:t>
            </w:r>
          </w:p>
        </w:tc>
        <w:tc>
          <w:tcPr>
            <w:tcW w:w="96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e</w:t>
            </w:r>
          </w:p>
        </w:tc>
        <w:tc>
          <w:tcPr>
            <w:tcW w:w="697"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f</w:t>
            </w:r>
          </w:p>
        </w:tc>
        <w:tc>
          <w:tcPr>
            <w:tcW w:w="83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g</w:t>
            </w:r>
          </w:p>
        </w:tc>
        <w:tc>
          <w:tcPr>
            <w:tcW w:w="113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h</w:t>
            </w:r>
          </w:p>
        </w:tc>
        <w:tc>
          <w:tcPr>
            <w:tcW w:w="84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i</w:t>
            </w:r>
          </w:p>
        </w:tc>
      </w:tr>
      <w:tr>
        <w:trPr>
          <w:trHeight w:val="266" w:hRule="atLeast"/>
        </w:trPr>
        <w:tc>
          <w:tcPr>
            <w:tcW w:w="8980" w:type="dxa"/>
            <w:gridSpan w:val="10"/>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Prvotné ocenenie</w:t>
            </w:r>
          </w:p>
        </w:tc>
      </w:tr>
      <w:tr>
        <w:trPr>
          <w:trHeight w:val="227" w:hRule="atLeast"/>
        </w:trPr>
        <w:tc>
          <w:tcPr>
            <w:tcW w:w="1831"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27" w:hRule="atLeast"/>
        </w:trPr>
        <w:tc>
          <w:tcPr>
            <w:tcW w:w="1831"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8980" w:type="dxa"/>
            <w:gridSpan w:val="10"/>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Oprávky</w:t>
            </w:r>
          </w:p>
        </w:tc>
      </w:tr>
      <w:tr>
        <w:trPr>
          <w:trHeight w:val="278" w:hRule="atLeast"/>
        </w:trPr>
        <w:tc>
          <w:tcPr>
            <w:tcW w:w="1831"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27" w:hRule="atLeast"/>
        </w:trPr>
        <w:tc>
          <w:tcPr>
            <w:tcW w:w="1831"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8980" w:type="dxa"/>
            <w:gridSpan w:val="10"/>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Opravné položky</w:t>
            </w:r>
          </w:p>
        </w:tc>
      </w:tr>
      <w:tr>
        <w:trPr>
          <w:trHeight w:val="278" w:hRule="atLeast"/>
        </w:trPr>
        <w:tc>
          <w:tcPr>
            <w:tcW w:w="1831"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650" w:hRule="atLeast"/>
        </w:trPr>
        <w:tc>
          <w:tcPr>
            <w:tcW w:w="1831"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8980" w:type="dxa"/>
            <w:gridSpan w:val="10"/>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Zostatková hodnota</w:t>
            </w:r>
          </w:p>
        </w:tc>
      </w:tr>
      <w:tr>
        <w:trPr>
          <w:trHeight w:val="170" w:hRule="atLeast"/>
        </w:trPr>
        <w:tc>
          <w:tcPr>
            <w:tcW w:w="1831"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3"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27" w:hRule="atLeast"/>
        </w:trPr>
        <w:tc>
          <w:tcPr>
            <w:tcW w:w="1831"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1"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3"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bl>
    <w:p>
      <w:pPr>
        <w:pStyle w:val="Nzov"/>
        <w:keepNext/>
        <w:spacing w:beforeAutospacing="0" w:before="0" w:after="0"/>
        <w:jc w:val="left"/>
        <w:rPr>
          <w:szCs w:val="22"/>
        </w:rPr>
      </w:pPr>
      <w:r>
        <w:rPr>
          <w:szCs w:val="22"/>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numPr>
          <w:ilvl w:val="0"/>
          <w:numId w:val="0"/>
        </w:numPr>
        <w:spacing w:lineRule="auto" w:line="240" w:before="0" w:after="0"/>
        <w:outlineLvl w:val="0"/>
        <w:rPr>
          <w:rFonts w:ascii="Arial" w:hAnsi="Arial" w:cs="Arial"/>
          <w:b/>
          <w:b/>
          <w:bCs/>
          <w:sz w:val="24"/>
          <w:szCs w:val="24"/>
        </w:rPr>
      </w:pPr>
      <w:r>
        <w:rPr>
          <w:rFonts w:cs="Arial" w:ascii="Arial" w:hAnsi="Arial"/>
          <w:b/>
          <w:bCs/>
          <w:sz w:val="24"/>
          <w:szCs w:val="24"/>
        </w:rPr>
      </w:r>
    </w:p>
    <w:p>
      <w:pPr>
        <w:pStyle w:val="Normal"/>
        <w:numPr>
          <w:ilvl w:val="0"/>
          <w:numId w:val="0"/>
        </w:numPr>
        <w:spacing w:lineRule="auto" w:line="240" w:before="0" w:after="0"/>
        <w:outlineLvl w:val="0"/>
        <w:rPr>
          <w:rFonts w:ascii="Arial" w:hAnsi="Arial" w:cs="Arial"/>
          <w:b/>
          <w:b/>
          <w:bCs/>
          <w:sz w:val="24"/>
          <w:szCs w:val="24"/>
        </w:rPr>
      </w:pPr>
      <w:r>
        <w:rPr>
          <w:rFonts w:cs="Arial" w:ascii="Arial" w:hAnsi="Arial"/>
          <w:b/>
          <w:bCs/>
          <w:sz w:val="24"/>
          <w:szCs w:val="24"/>
        </w:rPr>
      </w:r>
    </w:p>
    <w:p>
      <w:pPr>
        <w:pStyle w:val="Normal"/>
        <w:numPr>
          <w:ilvl w:val="0"/>
          <w:numId w:val="0"/>
        </w:numPr>
        <w:spacing w:lineRule="auto" w:line="240" w:before="0" w:after="0"/>
        <w:outlineLvl w:val="0"/>
        <w:rPr>
          <w:rFonts w:ascii="Arial" w:hAnsi="Arial" w:cs="Arial"/>
          <w:b/>
          <w:b/>
          <w:bCs/>
          <w:sz w:val="24"/>
          <w:szCs w:val="24"/>
        </w:rPr>
      </w:pPr>
      <w:r>
        <w:rPr>
          <w:rFonts w:cs="Arial" w:ascii="Arial" w:hAnsi="Arial"/>
          <w:b/>
          <w:bCs/>
          <w:sz w:val="24"/>
          <w:szCs w:val="24"/>
        </w:rPr>
      </w:r>
    </w:p>
    <w:p>
      <w:pPr>
        <w:pStyle w:val="Normal"/>
        <w:numPr>
          <w:ilvl w:val="0"/>
          <w:numId w:val="0"/>
        </w:numPr>
        <w:spacing w:lineRule="auto" w:line="240" w:before="0" w:after="0"/>
        <w:outlineLvl w:val="0"/>
        <w:rPr>
          <w:rFonts w:ascii="Arial" w:hAnsi="Arial" w:cs="Arial"/>
          <w:b/>
          <w:b/>
          <w:bCs/>
          <w:sz w:val="24"/>
          <w:szCs w:val="24"/>
        </w:rPr>
      </w:pPr>
      <w:r>
        <w:rPr>
          <w:rFonts w:cs="Arial" w:ascii="Arial" w:hAnsi="Arial"/>
          <w:b/>
          <w:bCs/>
          <w:sz w:val="24"/>
          <w:szCs w:val="24"/>
        </w:rPr>
      </w:r>
    </w:p>
    <w:p>
      <w:pPr>
        <w:pStyle w:val="Normal"/>
        <w:numPr>
          <w:ilvl w:val="0"/>
          <w:numId w:val="0"/>
        </w:numPr>
        <w:spacing w:lineRule="auto" w:line="240" w:before="0" w:after="0"/>
        <w:outlineLvl w:val="0"/>
        <w:rPr>
          <w:rFonts w:ascii="Arial" w:hAnsi="Arial" w:cs="Arial"/>
          <w:b/>
          <w:b/>
          <w:bCs/>
          <w:sz w:val="24"/>
          <w:szCs w:val="24"/>
        </w:rPr>
      </w:pPr>
      <w:r>
        <w:rPr>
          <w:rFonts w:cs="Arial" w:ascii="Arial" w:hAnsi="Arial"/>
          <w:b/>
          <w:bCs/>
          <w:sz w:val="24"/>
          <w:szCs w:val="24"/>
        </w:rPr>
      </w:r>
    </w:p>
    <w:p>
      <w:pPr>
        <w:pStyle w:val="Nzov"/>
        <w:numPr>
          <w:ilvl w:val="0"/>
          <w:numId w:val="2"/>
        </w:numPr>
        <w:spacing w:beforeAutospacing="0" w:before="0" w:after="0"/>
        <w:jc w:val="left"/>
        <w:rPr>
          <w:szCs w:val="22"/>
        </w:rPr>
      </w:pPr>
      <w:r>
        <w:rPr>
          <w:szCs w:val="22"/>
        </w:rPr>
        <w:t>Informácie k prílohe č. 3 časti F. písm. a) o dlhodobom hmotnom majetku</w:t>
        <w:tab/>
      </w:r>
    </w:p>
    <w:p>
      <w:pPr>
        <w:pStyle w:val="Normal"/>
        <w:spacing w:lineRule="auto" w:line="240" w:before="0" w:after="0"/>
        <w:rPr>
          <w:szCs w:val="22"/>
        </w:rPr>
      </w:pPr>
      <w:r>
        <w:rPr>
          <w:szCs w:val="22"/>
        </w:rPr>
        <w:t>Tabuľka č. 1</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30" w:type="dxa"/>
        </w:tblCellMar>
        <w:tblLook w:val="00a0"/>
      </w:tblPr>
      <w:tblGrid>
        <w:gridCol w:w="1817"/>
        <w:gridCol w:w="9"/>
        <w:gridCol w:w="6"/>
        <w:gridCol w:w="913"/>
        <w:gridCol w:w="1"/>
        <w:gridCol w:w="762"/>
        <w:gridCol w:w="650"/>
        <w:gridCol w:w="10"/>
        <w:gridCol w:w="240"/>
        <w:gridCol w:w="757"/>
        <w:gridCol w:w="1"/>
        <w:gridCol w:w="1"/>
        <w:gridCol w:w="17"/>
        <w:gridCol w:w="874"/>
        <w:gridCol w:w="51"/>
        <w:gridCol w:w="1"/>
        <w:gridCol w:w="585"/>
        <w:gridCol w:w="0"/>
        <w:gridCol w:w="635"/>
        <w:gridCol w:w="0"/>
        <w:gridCol w:w="1"/>
        <w:gridCol w:w="1026"/>
        <w:gridCol w:w="0"/>
        <w:gridCol w:w="714"/>
      </w:tblGrid>
      <w:tr>
        <w:trPr>
          <w:tblHeader w:val="true"/>
          <w:trHeight w:val="145" w:hRule="atLeast"/>
        </w:trPr>
        <w:tc>
          <w:tcPr>
            <w:tcW w:w="1817"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Dlhodobý hmotný majetok</w:t>
            </w:r>
          </w:p>
        </w:tc>
        <w:tc>
          <w:tcPr>
            <w:tcW w:w="7254" w:type="dxa"/>
            <w:gridSpan w:val="23"/>
            <w:tcBorders>
              <w:top w:val="single" w:sz="12" w:space="0" w:color="00000A"/>
              <w:left w:val="single" w:sz="12" w:space="0" w:color="00000A"/>
              <w:right w:val="single" w:sz="12" w:space="0" w:color="00000A"/>
              <w:insideV w:val="single" w:sz="12" w:space="0" w:color="00000A"/>
            </w:tcBorders>
            <w:shd w:fill="auto" w:val="clear"/>
            <w:tcMar>
              <w:left w:w="-15" w:type="dxa"/>
            </w:tcMar>
          </w:tcPr>
          <w:p>
            <w:pPr>
              <w:pStyle w:val="Normal"/>
              <w:spacing w:lineRule="auto" w:line="240" w:before="0" w:after="0"/>
              <w:jc w:val="center"/>
              <w:rPr>
                <w:b/>
                <w:b/>
                <w:bCs/>
                <w:szCs w:val="22"/>
              </w:rPr>
            </w:pPr>
            <w:r>
              <w:rPr>
                <w:b/>
                <w:bCs/>
                <w:szCs w:val="22"/>
              </w:rPr>
              <w:t xml:space="preserve">Bežné účtovné obdobie                                                                                                                                    </w:t>
            </w:r>
          </w:p>
        </w:tc>
      </w:tr>
      <w:tr>
        <w:trPr>
          <w:tblHeader w:val="true"/>
          <w:trHeight w:val="1537" w:hRule="atLeast"/>
        </w:trPr>
        <w:tc>
          <w:tcPr>
            <w:tcW w:w="1817"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929" w:type="dxa"/>
            <w:gridSpan w:val="4"/>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Pozemky</w:t>
            </w:r>
          </w:p>
        </w:tc>
        <w:tc>
          <w:tcPr>
            <w:tcW w:w="762"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Stavby</w:t>
            </w:r>
          </w:p>
        </w:tc>
        <w:tc>
          <w:tcPr>
            <w:tcW w:w="900" w:type="dxa"/>
            <w:gridSpan w:val="3"/>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Samos-tatné hnuteľ-né veci a </w:t>
            </w:r>
          </w:p>
          <w:p>
            <w:pPr>
              <w:pStyle w:val="Normal"/>
              <w:spacing w:lineRule="auto" w:line="240" w:before="0" w:after="0"/>
              <w:jc w:val="center"/>
              <w:rPr>
                <w:b/>
                <w:b/>
                <w:bCs/>
                <w:szCs w:val="22"/>
              </w:rPr>
            </w:pPr>
            <w:r>
              <w:rPr>
                <w:b/>
                <w:bCs/>
                <w:szCs w:val="22"/>
              </w:rPr>
              <w:t>súbory hnuteľ-ných vecí</w:t>
            </w:r>
          </w:p>
        </w:tc>
        <w:tc>
          <w:tcPr>
            <w:tcW w:w="759" w:type="dxa"/>
            <w:gridSpan w:val="3"/>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Pestova-teľské celky</w:t>
              <w:br/>
              <w:t xml:space="preserve"> trvalých porastov</w:t>
            </w:r>
          </w:p>
        </w:tc>
        <w:tc>
          <w:tcPr>
            <w:tcW w:w="891"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Základné stádo a ťažné zvieratá</w:t>
            </w:r>
          </w:p>
        </w:tc>
        <w:tc>
          <w:tcPr>
            <w:tcW w:w="637" w:type="dxa"/>
            <w:gridSpan w:val="3"/>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Os-tatný DHM</w:t>
            </w:r>
          </w:p>
        </w:tc>
        <w:tc>
          <w:tcPr>
            <w:tcW w:w="635"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Ob-stará-vaný DHM</w:t>
            </w:r>
          </w:p>
        </w:tc>
        <w:tc>
          <w:tcPr>
            <w:tcW w:w="1027" w:type="dxa"/>
            <w:gridSpan w:val="3"/>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Poskyt-nuté pred-davky na </w:t>
            </w:r>
          </w:p>
          <w:p>
            <w:pPr>
              <w:pStyle w:val="Normal"/>
              <w:spacing w:lineRule="auto" w:line="240" w:before="0" w:after="0"/>
              <w:jc w:val="center"/>
              <w:rPr>
                <w:b/>
                <w:b/>
                <w:bCs/>
                <w:szCs w:val="22"/>
              </w:rPr>
            </w:pPr>
            <w:r>
              <w:rPr>
                <w:b/>
                <w:bCs/>
                <w:szCs w:val="22"/>
              </w:rPr>
              <w:t>DHM</w:t>
            </w:r>
          </w:p>
        </w:tc>
        <w:tc>
          <w:tcPr>
            <w:tcW w:w="714"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Spolu</w:t>
            </w:r>
          </w:p>
        </w:tc>
      </w:tr>
      <w:tr>
        <w:trPr>
          <w:tblHeader w:val="true"/>
          <w:trHeight w:val="155" w:hRule="atLeast"/>
        </w:trPr>
        <w:tc>
          <w:tcPr>
            <w:tcW w:w="181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A</w:t>
            </w:r>
          </w:p>
        </w:tc>
        <w:tc>
          <w:tcPr>
            <w:tcW w:w="929" w:type="dxa"/>
            <w:gridSpan w:val="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b</w:t>
            </w:r>
          </w:p>
        </w:tc>
        <w:tc>
          <w:tcPr>
            <w:tcW w:w="76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c</w:t>
            </w:r>
          </w:p>
        </w:tc>
        <w:tc>
          <w:tcPr>
            <w:tcW w:w="900"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d</w:t>
            </w:r>
          </w:p>
        </w:tc>
        <w:tc>
          <w:tcPr>
            <w:tcW w:w="759"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E</w:t>
            </w:r>
          </w:p>
        </w:tc>
        <w:tc>
          <w:tcPr>
            <w:tcW w:w="891"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f</w:t>
            </w:r>
          </w:p>
        </w:tc>
        <w:tc>
          <w:tcPr>
            <w:tcW w:w="637"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g</w:t>
            </w:r>
          </w:p>
        </w:tc>
        <w:tc>
          <w:tcPr>
            <w:tcW w:w="635"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h</w:t>
            </w:r>
          </w:p>
        </w:tc>
        <w:tc>
          <w:tcPr>
            <w:tcW w:w="1027"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i</w:t>
            </w:r>
          </w:p>
        </w:tc>
        <w:tc>
          <w:tcPr>
            <w:tcW w:w="714"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J</w:t>
            </w:r>
          </w:p>
        </w:tc>
      </w:tr>
      <w:tr>
        <w:trPr>
          <w:tblHeader w:val="true"/>
          <w:trHeight w:val="278" w:hRule="atLeast"/>
        </w:trPr>
        <w:tc>
          <w:tcPr>
            <w:tcW w:w="9071" w:type="dxa"/>
            <w:gridSpan w:val="2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Prvotné ocenenie</w:t>
            </w:r>
          </w:p>
        </w:tc>
      </w:tr>
      <w:tr>
        <w:trPr>
          <w:tblHeader w:val="true"/>
          <w:trHeight w:val="278" w:hRule="atLeast"/>
        </w:trPr>
        <w:tc>
          <w:tcPr>
            <w:tcW w:w="1826" w:type="dxa"/>
            <w:gridSpan w:val="2"/>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w:t>
              <w:br/>
              <w:t>na začiatku účtovného obdobia</w:t>
            </w:r>
          </w:p>
        </w:tc>
        <w:tc>
          <w:tcPr>
            <w:tcW w:w="920" w:type="dxa"/>
            <w:gridSpan w:val="3"/>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t xml:space="preserve">    </w:t>
            </w:r>
            <w:r>
              <w:rPr>
                <w:szCs w:val="22"/>
              </w:rPr>
              <w:t>6 233</w:t>
            </w:r>
          </w:p>
        </w:tc>
        <w:tc>
          <w:tcPr>
            <w:tcW w:w="7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t xml:space="preserve"> </w:t>
            </w:r>
            <w:r>
              <w:rPr>
                <w:szCs w:val="22"/>
              </w:rPr>
              <w:t>198 103</w:t>
            </w:r>
          </w:p>
        </w:tc>
        <w:tc>
          <w:tcPr>
            <w:tcW w:w="900"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472886</w:t>
            </w:r>
          </w:p>
        </w:tc>
        <w:tc>
          <w:tcPr>
            <w:tcW w:w="758"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43" w:type="dxa"/>
            <w:gridSpan w:val="4"/>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6"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6"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20"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t>9532</w:t>
            </w:r>
          </w:p>
        </w:tc>
        <w:tc>
          <w:tcPr>
            <w:tcW w:w="7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0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16091</w:t>
            </w:r>
          </w:p>
        </w:tc>
        <w:tc>
          <w:tcPr>
            <w:tcW w:w="758"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43"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6"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6"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20"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0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9042</w:t>
            </w:r>
          </w:p>
        </w:tc>
        <w:tc>
          <w:tcPr>
            <w:tcW w:w="758"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43"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6"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6"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20"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0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58"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43"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6"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78" w:hRule="atLeast"/>
        </w:trPr>
        <w:tc>
          <w:tcPr>
            <w:tcW w:w="1826" w:type="dxa"/>
            <w:gridSpan w:val="2"/>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20" w:type="dxa"/>
            <w:gridSpan w:val="3"/>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15765</w:t>
            </w:r>
          </w:p>
        </w:tc>
        <w:tc>
          <w:tcPr>
            <w:tcW w:w="7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t xml:space="preserve">  </w:t>
            </w:r>
            <w:r>
              <w:rPr>
                <w:szCs w:val="22"/>
              </w:rPr>
              <w:t xml:space="preserve">198103 </w:t>
            </w:r>
          </w:p>
        </w:tc>
        <w:tc>
          <w:tcPr>
            <w:tcW w:w="900"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479935</w:t>
            </w:r>
          </w:p>
        </w:tc>
        <w:tc>
          <w:tcPr>
            <w:tcW w:w="758"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43" w:type="dxa"/>
            <w:gridSpan w:val="4"/>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6"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78" w:hRule="atLeast"/>
        </w:trPr>
        <w:tc>
          <w:tcPr>
            <w:tcW w:w="9071" w:type="dxa"/>
            <w:gridSpan w:val="2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Oprávky</w:t>
            </w:r>
          </w:p>
        </w:tc>
      </w:tr>
      <w:tr>
        <w:trPr>
          <w:tblHeader w:val="true"/>
          <w:trHeight w:val="278" w:hRule="atLeast"/>
        </w:trPr>
        <w:tc>
          <w:tcPr>
            <w:tcW w:w="1826" w:type="dxa"/>
            <w:gridSpan w:val="2"/>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w:t>
              <w:br/>
              <w:t>na začiatku účtovného obdobia</w:t>
            </w:r>
          </w:p>
        </w:tc>
        <w:tc>
          <w:tcPr>
            <w:tcW w:w="920" w:type="dxa"/>
            <w:gridSpan w:val="3"/>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63676</w:t>
            </w:r>
          </w:p>
        </w:tc>
        <w:tc>
          <w:tcPr>
            <w:tcW w:w="900"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391871</w:t>
            </w:r>
          </w:p>
        </w:tc>
        <w:tc>
          <w:tcPr>
            <w:tcW w:w="776" w:type="dxa"/>
            <w:gridSpan w:val="4"/>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26"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5"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6"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6"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20"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t xml:space="preserve">    </w:t>
            </w:r>
            <w:r>
              <w:rPr>
                <w:szCs w:val="22"/>
              </w:rPr>
              <w:t>9 732</w:t>
            </w:r>
          </w:p>
        </w:tc>
        <w:tc>
          <w:tcPr>
            <w:tcW w:w="90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17288</w:t>
            </w:r>
          </w:p>
        </w:tc>
        <w:tc>
          <w:tcPr>
            <w:tcW w:w="776"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2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6"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6"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20"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0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9042</w:t>
            </w:r>
          </w:p>
        </w:tc>
        <w:tc>
          <w:tcPr>
            <w:tcW w:w="776"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2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6"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6"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20"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0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76"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2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6"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78" w:hRule="atLeast"/>
        </w:trPr>
        <w:tc>
          <w:tcPr>
            <w:tcW w:w="1826" w:type="dxa"/>
            <w:gridSpan w:val="2"/>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20" w:type="dxa"/>
            <w:gridSpan w:val="3"/>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73408</w:t>
            </w:r>
          </w:p>
        </w:tc>
        <w:tc>
          <w:tcPr>
            <w:tcW w:w="900"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400117</w:t>
            </w:r>
          </w:p>
        </w:tc>
        <w:tc>
          <w:tcPr>
            <w:tcW w:w="776" w:type="dxa"/>
            <w:gridSpan w:val="4"/>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26"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5"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6"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78" w:hRule="atLeast"/>
        </w:trPr>
        <w:tc>
          <w:tcPr>
            <w:tcW w:w="9071" w:type="dxa"/>
            <w:gridSpan w:val="2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Opravné položky</w:t>
            </w:r>
          </w:p>
        </w:tc>
      </w:tr>
      <w:tr>
        <w:trPr>
          <w:tblHeader w:val="true"/>
          <w:trHeight w:val="278" w:hRule="atLeast"/>
        </w:trPr>
        <w:tc>
          <w:tcPr>
            <w:tcW w:w="1817"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w:t>
              <w:br/>
              <w:t>na začiatku účtovného obdobia</w:t>
            </w:r>
          </w:p>
        </w:tc>
        <w:tc>
          <w:tcPr>
            <w:tcW w:w="929" w:type="dxa"/>
            <w:gridSpan w:val="4"/>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0"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97"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44" w:type="dxa"/>
            <w:gridSpan w:val="5"/>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5"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7"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17"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29" w:type="dxa"/>
            <w:gridSpan w:val="4"/>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0"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44"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17"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29" w:type="dxa"/>
            <w:gridSpan w:val="4"/>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0"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44"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17"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29" w:type="dxa"/>
            <w:gridSpan w:val="4"/>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0"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44"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17"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29" w:type="dxa"/>
            <w:gridSpan w:val="4"/>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0"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97"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44" w:type="dxa"/>
            <w:gridSpan w:val="5"/>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5"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7"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78" w:hRule="atLeast"/>
        </w:trPr>
        <w:tc>
          <w:tcPr>
            <w:tcW w:w="9071" w:type="dxa"/>
            <w:gridSpan w:val="2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Zostatková hodnota </w:t>
            </w:r>
          </w:p>
        </w:tc>
      </w:tr>
      <w:tr>
        <w:trPr>
          <w:tblHeader w:val="true"/>
          <w:trHeight w:val="278" w:hRule="atLeast"/>
        </w:trPr>
        <w:tc>
          <w:tcPr>
            <w:tcW w:w="1832"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w:t>
              <w:br/>
              <w:t>na začiatku účtovného obdobia</w:t>
            </w:r>
          </w:p>
        </w:tc>
        <w:tc>
          <w:tcPr>
            <w:tcW w:w="913" w:type="dxa"/>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t xml:space="preserve">    </w:t>
            </w:r>
            <w:r>
              <w:rPr>
                <w:szCs w:val="22"/>
              </w:rPr>
              <w:t>6 233</w:t>
            </w:r>
          </w:p>
        </w:tc>
        <w:tc>
          <w:tcPr>
            <w:tcW w:w="763"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134426</w:t>
            </w:r>
          </w:p>
        </w:tc>
        <w:tc>
          <w:tcPr>
            <w:tcW w:w="650" w:type="dxa"/>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81015</w:t>
            </w:r>
          </w:p>
        </w:tc>
        <w:tc>
          <w:tcPr>
            <w:tcW w:w="1026" w:type="dxa"/>
            <w:gridSpan w:val="6"/>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25"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5"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7" w:type="dxa"/>
            <w:gridSpan w:val="3"/>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12"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90" w:hRule="atLeast"/>
        </w:trPr>
        <w:tc>
          <w:tcPr>
            <w:tcW w:w="1832"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13" w:type="dxa"/>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15765</w:t>
            </w:r>
          </w:p>
        </w:tc>
        <w:tc>
          <w:tcPr>
            <w:tcW w:w="763"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124694</w:t>
            </w:r>
          </w:p>
        </w:tc>
        <w:tc>
          <w:tcPr>
            <w:tcW w:w="650" w:type="dxa"/>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79818</w:t>
            </w:r>
          </w:p>
        </w:tc>
        <w:tc>
          <w:tcPr>
            <w:tcW w:w="1026" w:type="dxa"/>
            <w:gridSpan w:val="6"/>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25"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5"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7" w:type="dxa"/>
            <w:gridSpan w:val="3"/>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12"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bl>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t>Tabuľka č. 2</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30" w:type="dxa"/>
        </w:tblCellMar>
        <w:tblLook w:val="00a0"/>
      </w:tblPr>
      <w:tblGrid>
        <w:gridCol w:w="1817"/>
        <w:gridCol w:w="9"/>
        <w:gridCol w:w="4"/>
        <w:gridCol w:w="913"/>
        <w:gridCol w:w="3"/>
        <w:gridCol w:w="760"/>
        <w:gridCol w:w="2"/>
        <w:gridCol w:w="646"/>
        <w:gridCol w:w="12"/>
        <w:gridCol w:w="104"/>
        <w:gridCol w:w="0"/>
        <w:gridCol w:w="890"/>
        <w:gridCol w:w="1"/>
        <w:gridCol w:w="2"/>
        <w:gridCol w:w="16"/>
        <w:gridCol w:w="2"/>
        <w:gridCol w:w="867"/>
        <w:gridCol w:w="1"/>
        <w:gridCol w:w="1"/>
        <w:gridCol w:w="0"/>
        <w:gridCol w:w="2"/>
        <w:gridCol w:w="637"/>
        <w:gridCol w:w="1"/>
        <w:gridCol w:w="1"/>
        <w:gridCol w:w="2"/>
        <w:gridCol w:w="633"/>
        <w:gridCol w:w="1"/>
        <w:gridCol w:w="1"/>
        <w:gridCol w:w="2"/>
        <w:gridCol w:w="760"/>
        <w:gridCol w:w="1"/>
        <w:gridCol w:w="1"/>
        <w:gridCol w:w="1"/>
        <w:gridCol w:w="978"/>
      </w:tblGrid>
      <w:tr>
        <w:trPr>
          <w:tblHeader w:val="true"/>
          <w:trHeight w:val="145" w:hRule="atLeast"/>
        </w:trPr>
        <w:tc>
          <w:tcPr>
            <w:tcW w:w="1817"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Dlhodobý hmotný majetok</w:t>
            </w:r>
          </w:p>
        </w:tc>
        <w:tc>
          <w:tcPr>
            <w:tcW w:w="7254" w:type="dxa"/>
            <w:gridSpan w:val="33"/>
            <w:tcBorders>
              <w:top w:val="single" w:sz="12" w:space="0" w:color="00000A"/>
              <w:left w:val="single" w:sz="12" w:space="0" w:color="00000A"/>
              <w:right w:val="single" w:sz="12" w:space="0" w:color="00000A"/>
              <w:insideV w:val="single" w:sz="12" w:space="0" w:color="00000A"/>
            </w:tcBorders>
            <w:shd w:fill="auto" w:val="clear"/>
            <w:tcMar>
              <w:left w:w="-15" w:type="dxa"/>
            </w:tcMar>
          </w:tcPr>
          <w:p>
            <w:pPr>
              <w:pStyle w:val="Normal"/>
              <w:spacing w:lineRule="auto" w:line="240" w:before="0" w:after="0"/>
              <w:jc w:val="center"/>
              <w:rPr>
                <w:b/>
                <w:b/>
                <w:bCs/>
                <w:szCs w:val="22"/>
              </w:rPr>
            </w:pPr>
            <w:r>
              <w:rPr>
                <w:b/>
                <w:bCs/>
                <w:szCs w:val="22"/>
              </w:rPr>
              <w:t xml:space="preserve">Bezprostredne predchádzajúce účtovné obdobie                                                                                                                             </w:t>
            </w:r>
          </w:p>
        </w:tc>
      </w:tr>
      <w:tr>
        <w:trPr>
          <w:tblHeader w:val="true"/>
          <w:trHeight w:val="1537" w:hRule="atLeast"/>
        </w:trPr>
        <w:tc>
          <w:tcPr>
            <w:tcW w:w="1817"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929" w:type="dxa"/>
            <w:gridSpan w:val="4"/>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Pozemky</w:t>
            </w:r>
          </w:p>
        </w:tc>
        <w:tc>
          <w:tcPr>
            <w:tcW w:w="762"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Stavby</w:t>
            </w:r>
          </w:p>
        </w:tc>
        <w:tc>
          <w:tcPr>
            <w:tcW w:w="762" w:type="dxa"/>
            <w:gridSpan w:val="4"/>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Samos-tatné hnuteľ-né veci a </w:t>
            </w:r>
          </w:p>
          <w:p>
            <w:pPr>
              <w:pStyle w:val="Normal"/>
              <w:spacing w:lineRule="auto" w:line="240" w:before="0" w:after="0"/>
              <w:jc w:val="center"/>
              <w:rPr>
                <w:b/>
                <w:b/>
                <w:bCs/>
                <w:szCs w:val="22"/>
              </w:rPr>
            </w:pPr>
            <w:r>
              <w:rPr>
                <w:b/>
                <w:bCs/>
                <w:szCs w:val="22"/>
              </w:rPr>
              <w:t>súbory hnuteľ-ných vecí</w:t>
            </w:r>
          </w:p>
        </w:tc>
        <w:tc>
          <w:tcPr>
            <w:tcW w:w="891"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Pestova-teľské celky</w:t>
              <w:br/>
              <w:t xml:space="preserve"> trvalých porastov</w:t>
            </w:r>
          </w:p>
        </w:tc>
        <w:tc>
          <w:tcPr>
            <w:tcW w:w="891" w:type="dxa"/>
            <w:gridSpan w:val="8"/>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Základné stádo a ťažné zvieratá</w:t>
            </w:r>
          </w:p>
        </w:tc>
        <w:tc>
          <w:tcPr>
            <w:tcW w:w="63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Os-tatný DHM</w:t>
            </w:r>
          </w:p>
        </w:tc>
        <w:tc>
          <w:tcPr>
            <w:tcW w:w="637" w:type="dxa"/>
            <w:gridSpan w:val="4"/>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Ob-stará-vaný DHM</w:t>
            </w:r>
          </w:p>
        </w:tc>
        <w:tc>
          <w:tcPr>
            <w:tcW w:w="764" w:type="dxa"/>
            <w:gridSpan w:val="4"/>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Poskyt-nuté pred-davky na </w:t>
            </w:r>
          </w:p>
          <w:p>
            <w:pPr>
              <w:pStyle w:val="Normal"/>
              <w:spacing w:lineRule="auto" w:line="240" w:before="0" w:after="0"/>
              <w:jc w:val="center"/>
              <w:rPr>
                <w:b/>
                <w:b/>
                <w:bCs/>
                <w:szCs w:val="22"/>
              </w:rPr>
            </w:pPr>
            <w:r>
              <w:rPr>
                <w:b/>
                <w:bCs/>
                <w:szCs w:val="22"/>
              </w:rPr>
              <w:t>DHM</w:t>
            </w:r>
          </w:p>
        </w:tc>
        <w:tc>
          <w:tcPr>
            <w:tcW w:w="981" w:type="dxa"/>
            <w:gridSpan w:val="4"/>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Spolu</w:t>
            </w:r>
          </w:p>
        </w:tc>
      </w:tr>
      <w:tr>
        <w:trPr>
          <w:tblHeader w:val="true"/>
          <w:trHeight w:val="155" w:hRule="atLeast"/>
        </w:trPr>
        <w:tc>
          <w:tcPr>
            <w:tcW w:w="181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A</w:t>
            </w:r>
          </w:p>
        </w:tc>
        <w:tc>
          <w:tcPr>
            <w:tcW w:w="929" w:type="dxa"/>
            <w:gridSpan w:val="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B</w:t>
            </w:r>
          </w:p>
        </w:tc>
        <w:tc>
          <w:tcPr>
            <w:tcW w:w="762"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c</w:t>
            </w:r>
          </w:p>
        </w:tc>
        <w:tc>
          <w:tcPr>
            <w:tcW w:w="762" w:type="dxa"/>
            <w:gridSpan w:val="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d</w:t>
            </w:r>
          </w:p>
        </w:tc>
        <w:tc>
          <w:tcPr>
            <w:tcW w:w="891"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E</w:t>
            </w:r>
          </w:p>
        </w:tc>
        <w:tc>
          <w:tcPr>
            <w:tcW w:w="891" w:type="dxa"/>
            <w:gridSpan w:val="8"/>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f</w:t>
            </w:r>
          </w:p>
        </w:tc>
        <w:tc>
          <w:tcPr>
            <w:tcW w:w="63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g</w:t>
            </w:r>
          </w:p>
        </w:tc>
        <w:tc>
          <w:tcPr>
            <w:tcW w:w="637" w:type="dxa"/>
            <w:gridSpan w:val="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h</w:t>
            </w:r>
          </w:p>
        </w:tc>
        <w:tc>
          <w:tcPr>
            <w:tcW w:w="764" w:type="dxa"/>
            <w:gridSpan w:val="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i</w:t>
            </w:r>
          </w:p>
        </w:tc>
        <w:tc>
          <w:tcPr>
            <w:tcW w:w="981" w:type="dxa"/>
            <w:gridSpan w:val="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J</w:t>
            </w:r>
          </w:p>
        </w:tc>
      </w:tr>
      <w:tr>
        <w:trPr>
          <w:tblHeader w:val="true"/>
          <w:trHeight w:val="278" w:hRule="atLeast"/>
        </w:trPr>
        <w:tc>
          <w:tcPr>
            <w:tcW w:w="9071" w:type="dxa"/>
            <w:gridSpan w:val="3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Prvotné ocenenie</w:t>
            </w:r>
          </w:p>
        </w:tc>
      </w:tr>
      <w:tr>
        <w:trPr>
          <w:tblHeader w:val="true"/>
          <w:trHeight w:val="278" w:hRule="atLeast"/>
        </w:trPr>
        <w:tc>
          <w:tcPr>
            <w:tcW w:w="1826" w:type="dxa"/>
            <w:gridSpan w:val="2"/>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w:t>
              <w:br/>
              <w:t>na začiatku účtovného obdobia</w:t>
            </w:r>
          </w:p>
        </w:tc>
        <w:tc>
          <w:tcPr>
            <w:tcW w:w="920" w:type="dxa"/>
            <w:gridSpan w:val="3"/>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t xml:space="preserve">  </w:t>
            </w:r>
            <w:r>
              <w:rPr>
                <w:szCs w:val="22"/>
              </w:rPr>
              <w:t>6 233</w:t>
            </w:r>
          </w:p>
        </w:tc>
        <w:tc>
          <w:tcPr>
            <w:tcW w:w="762"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t xml:space="preserve"> </w:t>
            </w:r>
            <w:r>
              <w:rPr>
                <w:szCs w:val="22"/>
              </w:rPr>
              <w:t>198 103</w:t>
            </w:r>
          </w:p>
        </w:tc>
        <w:tc>
          <w:tcPr>
            <w:tcW w:w="762"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402043</w:t>
            </w:r>
          </w:p>
        </w:tc>
        <w:tc>
          <w:tcPr>
            <w:tcW w:w="890"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89" w:type="dxa"/>
            <w:gridSpan w:val="6"/>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1" w:type="dxa"/>
            <w:gridSpan w:val="5"/>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7" w:type="dxa"/>
            <w:gridSpan w:val="4"/>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4" w:type="dxa"/>
            <w:gridSpan w:val="4"/>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80" w:type="dxa"/>
            <w:gridSpan w:val="3"/>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6"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20"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2"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83007</w:t>
            </w:r>
          </w:p>
        </w:tc>
        <w:tc>
          <w:tcPr>
            <w:tcW w:w="890"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89"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1"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7"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4"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80" w:type="dxa"/>
            <w:gridSpan w:val="3"/>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6"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20"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2"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12164</w:t>
            </w:r>
          </w:p>
        </w:tc>
        <w:tc>
          <w:tcPr>
            <w:tcW w:w="890"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89"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1"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7"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4"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80" w:type="dxa"/>
            <w:gridSpan w:val="3"/>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6"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20"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2"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90"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89"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1"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7"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4"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80" w:type="dxa"/>
            <w:gridSpan w:val="3"/>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78" w:hRule="atLeast"/>
        </w:trPr>
        <w:tc>
          <w:tcPr>
            <w:tcW w:w="1826" w:type="dxa"/>
            <w:gridSpan w:val="2"/>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20" w:type="dxa"/>
            <w:gridSpan w:val="3"/>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6 233</w:t>
            </w:r>
          </w:p>
        </w:tc>
        <w:tc>
          <w:tcPr>
            <w:tcW w:w="762"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t xml:space="preserve"> </w:t>
            </w:r>
            <w:r>
              <w:rPr>
                <w:szCs w:val="22"/>
              </w:rPr>
              <w:t>198 103</w:t>
            </w:r>
          </w:p>
        </w:tc>
        <w:tc>
          <w:tcPr>
            <w:tcW w:w="762"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472886</w:t>
            </w:r>
          </w:p>
        </w:tc>
        <w:tc>
          <w:tcPr>
            <w:tcW w:w="890"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89" w:type="dxa"/>
            <w:gridSpan w:val="6"/>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1" w:type="dxa"/>
            <w:gridSpan w:val="5"/>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7" w:type="dxa"/>
            <w:gridSpan w:val="4"/>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4" w:type="dxa"/>
            <w:gridSpan w:val="4"/>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80" w:type="dxa"/>
            <w:gridSpan w:val="3"/>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78" w:hRule="atLeast"/>
        </w:trPr>
        <w:tc>
          <w:tcPr>
            <w:tcW w:w="9071" w:type="dxa"/>
            <w:gridSpan w:val="3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Oprávky</w:t>
            </w:r>
          </w:p>
        </w:tc>
      </w:tr>
      <w:tr>
        <w:trPr>
          <w:tblHeader w:val="true"/>
          <w:trHeight w:val="278" w:hRule="atLeast"/>
        </w:trPr>
        <w:tc>
          <w:tcPr>
            <w:tcW w:w="1826" w:type="dxa"/>
            <w:gridSpan w:val="2"/>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w:t>
              <w:br/>
              <w:t>na začiatku účtovného obdobia</w:t>
            </w:r>
          </w:p>
        </w:tc>
        <w:tc>
          <w:tcPr>
            <w:tcW w:w="920" w:type="dxa"/>
            <w:gridSpan w:val="3"/>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53944</w:t>
            </w:r>
          </w:p>
        </w:tc>
        <w:tc>
          <w:tcPr>
            <w:tcW w:w="762"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390747</w:t>
            </w:r>
          </w:p>
        </w:tc>
        <w:tc>
          <w:tcPr>
            <w:tcW w:w="911" w:type="dxa"/>
            <w:gridSpan w:val="6"/>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69"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1" w:type="dxa"/>
            <w:gridSpan w:val="5"/>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7" w:type="dxa"/>
            <w:gridSpan w:val="4"/>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4" w:type="dxa"/>
            <w:gridSpan w:val="4"/>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9" w:type="dxa"/>
            <w:gridSpan w:val="2"/>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6"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20"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t xml:space="preserve">   </w:t>
            </w:r>
            <w:r>
              <w:rPr>
                <w:szCs w:val="22"/>
              </w:rPr>
              <w:t>9732</w:t>
            </w:r>
          </w:p>
        </w:tc>
        <w:tc>
          <w:tcPr>
            <w:tcW w:w="762"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13288</w:t>
            </w:r>
          </w:p>
        </w:tc>
        <w:tc>
          <w:tcPr>
            <w:tcW w:w="911"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69"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1"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7"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4"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9"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6"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20"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2"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 xml:space="preserve">12164  </w:t>
            </w:r>
          </w:p>
        </w:tc>
        <w:tc>
          <w:tcPr>
            <w:tcW w:w="911"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69"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1"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7"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4"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9"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6"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20"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2"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11"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69"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1"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7"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4"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9"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78" w:hRule="atLeast"/>
        </w:trPr>
        <w:tc>
          <w:tcPr>
            <w:tcW w:w="1826" w:type="dxa"/>
            <w:gridSpan w:val="2"/>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20" w:type="dxa"/>
            <w:gridSpan w:val="3"/>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63676</w:t>
            </w:r>
          </w:p>
        </w:tc>
        <w:tc>
          <w:tcPr>
            <w:tcW w:w="762"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391871</w:t>
            </w:r>
          </w:p>
        </w:tc>
        <w:tc>
          <w:tcPr>
            <w:tcW w:w="911" w:type="dxa"/>
            <w:gridSpan w:val="6"/>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69"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1" w:type="dxa"/>
            <w:gridSpan w:val="5"/>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7" w:type="dxa"/>
            <w:gridSpan w:val="4"/>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4" w:type="dxa"/>
            <w:gridSpan w:val="4"/>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9" w:type="dxa"/>
            <w:gridSpan w:val="2"/>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78" w:hRule="atLeast"/>
        </w:trPr>
        <w:tc>
          <w:tcPr>
            <w:tcW w:w="9071" w:type="dxa"/>
            <w:gridSpan w:val="3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Opravné položky</w:t>
            </w:r>
          </w:p>
        </w:tc>
      </w:tr>
      <w:tr>
        <w:trPr>
          <w:tblHeader w:val="true"/>
          <w:trHeight w:val="278" w:hRule="atLeast"/>
        </w:trPr>
        <w:tc>
          <w:tcPr>
            <w:tcW w:w="1817"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w:t>
              <w:br/>
              <w:t>na začiatku účtovného obdobia</w:t>
            </w:r>
          </w:p>
        </w:tc>
        <w:tc>
          <w:tcPr>
            <w:tcW w:w="929" w:type="dxa"/>
            <w:gridSpan w:val="4"/>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8"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97" w:type="dxa"/>
            <w:gridSpan w:val="5"/>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87" w:type="dxa"/>
            <w:gridSpan w:val="6"/>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3" w:type="dxa"/>
            <w:gridSpan w:val="5"/>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7" w:type="dxa"/>
            <w:gridSpan w:val="4"/>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3" w:type="dxa"/>
            <w:gridSpan w:val="4"/>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8"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17"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29" w:type="dxa"/>
            <w:gridSpan w:val="4"/>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8"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97"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87"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3"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7"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3"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17"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29" w:type="dxa"/>
            <w:gridSpan w:val="4"/>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8"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97"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87"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3"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7"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3"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17"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29" w:type="dxa"/>
            <w:gridSpan w:val="4"/>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8"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97"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87"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3"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7"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3"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17"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29" w:type="dxa"/>
            <w:gridSpan w:val="4"/>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8"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97" w:type="dxa"/>
            <w:gridSpan w:val="5"/>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87" w:type="dxa"/>
            <w:gridSpan w:val="6"/>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3" w:type="dxa"/>
            <w:gridSpan w:val="5"/>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7" w:type="dxa"/>
            <w:gridSpan w:val="4"/>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3" w:type="dxa"/>
            <w:gridSpan w:val="4"/>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8"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78" w:hRule="atLeast"/>
        </w:trPr>
        <w:tc>
          <w:tcPr>
            <w:tcW w:w="9071" w:type="dxa"/>
            <w:gridSpan w:val="3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Zostatková hodnota </w:t>
            </w:r>
          </w:p>
        </w:tc>
      </w:tr>
      <w:tr>
        <w:trPr>
          <w:tblHeader w:val="true"/>
          <w:trHeight w:val="278" w:hRule="atLeast"/>
        </w:trPr>
        <w:tc>
          <w:tcPr>
            <w:tcW w:w="1830"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w:t>
              <w:br/>
              <w:t>na začiatku účtovného obdobia</w:t>
            </w:r>
          </w:p>
        </w:tc>
        <w:tc>
          <w:tcPr>
            <w:tcW w:w="913" w:type="dxa"/>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t xml:space="preserve">  </w:t>
            </w:r>
            <w:r>
              <w:rPr>
                <w:szCs w:val="22"/>
              </w:rPr>
              <w:t>6 233</w:t>
            </w:r>
          </w:p>
        </w:tc>
        <w:tc>
          <w:tcPr>
            <w:tcW w:w="763"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t xml:space="preserve"> </w:t>
            </w:r>
            <w:r>
              <w:rPr>
                <w:szCs w:val="22"/>
              </w:rPr>
              <w:t>144158</w:t>
            </w:r>
          </w:p>
        </w:tc>
        <w:tc>
          <w:tcPr>
            <w:tcW w:w="648"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t xml:space="preserve"> </w:t>
            </w:r>
            <w:r>
              <w:rPr>
                <w:szCs w:val="22"/>
              </w:rPr>
              <w:t>11296</w:t>
            </w:r>
          </w:p>
        </w:tc>
        <w:tc>
          <w:tcPr>
            <w:tcW w:w="1025" w:type="dxa"/>
            <w:gridSpan w:val="7"/>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69"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3" w:type="dxa"/>
            <w:gridSpan w:val="7"/>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7" w:type="dxa"/>
            <w:gridSpan w:val="4"/>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4" w:type="dxa"/>
            <w:gridSpan w:val="4"/>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9" w:type="dxa"/>
            <w:gridSpan w:val="2"/>
            <w:tcBorders>
              <w:top w:val="single" w:sz="12"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90" w:hRule="atLeast"/>
        </w:trPr>
        <w:tc>
          <w:tcPr>
            <w:tcW w:w="1830"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13" w:type="dxa"/>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6233</w:t>
            </w:r>
          </w:p>
        </w:tc>
        <w:tc>
          <w:tcPr>
            <w:tcW w:w="763"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134427</w:t>
            </w:r>
          </w:p>
        </w:tc>
        <w:tc>
          <w:tcPr>
            <w:tcW w:w="648"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81015</w:t>
            </w:r>
          </w:p>
        </w:tc>
        <w:tc>
          <w:tcPr>
            <w:tcW w:w="1025" w:type="dxa"/>
            <w:gridSpan w:val="7"/>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69"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3" w:type="dxa"/>
            <w:gridSpan w:val="7"/>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7" w:type="dxa"/>
            <w:gridSpan w:val="4"/>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4" w:type="dxa"/>
            <w:gridSpan w:val="4"/>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9" w:type="dxa"/>
            <w:gridSpan w:val="2"/>
            <w:tcBorders>
              <w:top w:val="single" w:sz="12"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bl>
    <w:p>
      <w:pPr>
        <w:pStyle w:val="Normal"/>
        <w:keepNext/>
        <w:numPr>
          <w:ilvl w:val="0"/>
          <w:numId w:val="0"/>
        </w:numPr>
        <w:spacing w:lineRule="auto" w:line="240" w:before="0" w:after="0"/>
        <w:outlineLvl w:val="0"/>
        <w:rPr>
          <w:rFonts w:ascii="Arial" w:hAnsi="Arial" w:cs="Arial"/>
          <w:b/>
          <w:b/>
          <w:bCs/>
          <w:sz w:val="24"/>
          <w:szCs w:val="24"/>
        </w:rPr>
      </w:pPr>
      <w:r>
        <w:rPr>
          <w:rFonts w:cs="Arial" w:ascii="Arial" w:hAnsi="Arial"/>
          <w:b/>
          <w:bCs/>
          <w:sz w:val="24"/>
          <w:szCs w:val="24"/>
        </w:rPr>
      </w:r>
    </w:p>
    <w:p>
      <w:pPr>
        <w:pStyle w:val="Normal"/>
        <w:spacing w:lineRule="auto" w:line="240" w:before="0" w:after="0"/>
        <w:rPr>
          <w:rFonts w:ascii="Arial" w:hAnsi="Arial" w:cs="Arial"/>
          <w:sz w:val="24"/>
          <w:szCs w:val="24"/>
          <w:lang w:eastAsia="sk-SK"/>
        </w:rPr>
      </w:pPr>
      <w:r>
        <w:rPr>
          <w:rFonts w:cs="Arial" w:ascii="Arial" w:hAnsi="Arial"/>
          <w:sz w:val="24"/>
          <w:szCs w:val="24"/>
          <w:lang w:eastAsia="sk-SK"/>
        </w:rPr>
      </w:r>
    </w:p>
    <w:p>
      <w:pPr>
        <w:pStyle w:val="Normal"/>
        <w:spacing w:lineRule="auto" w:line="240" w:before="0" w:after="0"/>
        <w:rPr>
          <w:rFonts w:ascii="Arial" w:hAnsi="Arial"/>
          <w:sz w:val="18"/>
          <w:szCs w:val="18"/>
          <w:lang w:eastAsia="sk-SK"/>
        </w:rPr>
      </w:pPr>
      <w:r>
        <w:rPr>
          <w:rFonts w:ascii="Arial" w:hAnsi="Arial"/>
          <w:sz w:val="18"/>
          <w:szCs w:val="18"/>
          <w:lang w:eastAsia="sk-SK"/>
        </w:rPr>
      </w:r>
    </w:p>
    <w:p>
      <w:pPr>
        <w:pStyle w:val="Normal"/>
        <w:numPr>
          <w:ilvl w:val="0"/>
          <w:numId w:val="9"/>
        </w:numPr>
        <w:spacing w:lineRule="auto" w:line="240" w:before="0" w:after="0"/>
        <w:rPr>
          <w:rFonts w:ascii="Arial" w:hAnsi="Arial"/>
          <w:sz w:val="24"/>
          <w:szCs w:val="24"/>
          <w:lang w:eastAsia="sk-SK"/>
        </w:rPr>
      </w:pPr>
      <w:r>
        <w:rPr>
          <w:rFonts w:ascii="Arial" w:hAnsi="Arial"/>
          <w:sz w:val="24"/>
          <w:szCs w:val="24"/>
          <w:lang w:eastAsia="sk-SK"/>
        </w:rPr>
        <w:t xml:space="preserve">Spôsob a výška poistenia dlhodobého nehmotného a dlhodobého hmotného majetku : </w:t>
        <w:br/>
        <w:t>Motorové vozidlá a poľnohospodárske stroje : zákonné poistenie 1603</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t>Nehnuteľnosti : poistenie proti krádeži a živelnej pohrome 1725</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 xml:space="preserve">Dlhodobý nehmotný majetok a dlhodobý hmotný majetok, na ktorý je zriadené záložné právo a dlhodobý majetok, pri ktorom má účtovná jednotka obmedzené právo s ním nakladať : </w:t>
      </w:r>
    </w:p>
    <w:p>
      <w:pPr>
        <w:pStyle w:val="Normal"/>
        <w:spacing w:lineRule="auto" w:line="240" w:before="0" w:after="0"/>
        <w:rPr>
          <w:rFonts w:ascii="Arial" w:hAnsi="Arial" w:cs="Arial"/>
          <w:sz w:val="24"/>
          <w:szCs w:val="24"/>
          <w:lang w:eastAsia="sk-SK"/>
        </w:rPr>
      </w:pPr>
      <w:r>
        <w:rPr>
          <w:rFonts w:cs="Arial" w:ascii="Arial" w:hAnsi="Arial"/>
          <w:sz w:val="24"/>
          <w:szCs w:val="24"/>
          <w:lang w:eastAsia="sk-SK"/>
        </w:rPr>
      </w:r>
    </w:p>
    <w:p>
      <w:pPr>
        <w:pStyle w:val="Normal"/>
        <w:spacing w:lineRule="auto" w:line="240" w:before="0" w:after="0"/>
        <w:rPr>
          <w:rFonts w:ascii="Arial" w:hAnsi="Arial" w:cs="Arial"/>
          <w:sz w:val="24"/>
          <w:szCs w:val="24"/>
          <w:lang w:eastAsia="sk-SK"/>
        </w:rPr>
      </w:pPr>
      <w:r>
        <w:rPr>
          <w:rFonts w:cs="Arial" w:ascii="Arial" w:hAnsi="Arial"/>
          <w:sz w:val="24"/>
          <w:szCs w:val="24"/>
          <w:lang w:eastAsia="sk-SK"/>
        </w:rPr>
      </w:r>
    </w:p>
    <w:p>
      <w:pPr>
        <w:pStyle w:val="Nzov"/>
        <w:keepNext/>
        <w:numPr>
          <w:ilvl w:val="0"/>
          <w:numId w:val="2"/>
        </w:numPr>
        <w:spacing w:beforeAutospacing="0" w:before="0" w:after="0"/>
        <w:jc w:val="left"/>
        <w:rPr>
          <w:szCs w:val="22"/>
        </w:rPr>
      </w:pPr>
      <w:r>
        <w:rPr>
          <w:szCs w:val="22"/>
        </w:rPr>
        <w:t xml:space="preserve">Informácie k prílohe č. 3 časti F. písm. c) o dlhodobom nehmotnom majetku </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6" w:type="dxa"/>
          <w:bottom w:w="0" w:type="dxa"/>
          <w:right w:w="70" w:type="dxa"/>
        </w:tblCellMar>
        <w:tblLook w:val="00a0"/>
      </w:tblPr>
      <w:tblGrid>
        <w:gridCol w:w="6350"/>
        <w:gridCol w:w="2721"/>
      </w:tblGrid>
      <w:tr>
        <w:trPr>
          <w:trHeight w:val="340" w:hRule="atLeast"/>
        </w:trPr>
        <w:tc>
          <w:tcPr>
            <w:tcW w:w="6350"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Dlhodobý nehmotný majetok</w:t>
            </w:r>
          </w:p>
        </w:tc>
        <w:tc>
          <w:tcPr>
            <w:tcW w:w="2721"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Hodnota za bežné účtovné obdobie</w:t>
            </w:r>
          </w:p>
        </w:tc>
      </w:tr>
      <w:tr>
        <w:trPr>
          <w:trHeight w:val="340" w:hRule="atLeast"/>
        </w:trPr>
        <w:tc>
          <w:tcPr>
            <w:tcW w:w="635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Dlhodobý nehmotný majetok, na ktorý je zriadené záložné právo</w:t>
            </w:r>
          </w:p>
        </w:tc>
        <w:tc>
          <w:tcPr>
            <w:tcW w:w="272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r>
          </w:p>
        </w:tc>
      </w:tr>
    </w:tbl>
    <w:p>
      <w:pPr>
        <w:pStyle w:val="Normal"/>
        <w:keepNext/>
        <w:numPr>
          <w:ilvl w:val="0"/>
          <w:numId w:val="0"/>
        </w:numPr>
        <w:spacing w:lineRule="auto" w:line="240" w:before="0" w:after="0"/>
        <w:outlineLvl w:val="0"/>
        <w:rPr>
          <w:rFonts w:ascii="Arial" w:hAnsi="Arial" w:cs="Arial"/>
          <w:b/>
          <w:b/>
          <w:bCs/>
          <w:sz w:val="24"/>
          <w:szCs w:val="24"/>
        </w:rPr>
      </w:pPr>
      <w:r>
        <w:rPr>
          <w:rFonts w:cs="Arial" w:ascii="Arial" w:hAnsi="Arial"/>
          <w:b/>
          <w:bCs/>
          <w:sz w:val="24"/>
          <w:szCs w:val="24"/>
        </w:rPr>
      </w:r>
    </w:p>
    <w:p>
      <w:pPr>
        <w:pStyle w:val="Normal"/>
        <w:keepNext/>
        <w:numPr>
          <w:ilvl w:val="0"/>
          <w:numId w:val="0"/>
        </w:numPr>
        <w:spacing w:lineRule="auto" w:line="240" w:before="0" w:after="0"/>
        <w:outlineLvl w:val="0"/>
        <w:rPr>
          <w:rFonts w:ascii="Arial" w:hAnsi="Arial" w:cs="Arial"/>
          <w:b/>
          <w:b/>
          <w:bCs/>
          <w:sz w:val="24"/>
          <w:szCs w:val="24"/>
        </w:rPr>
      </w:pPr>
      <w:r>
        <w:rPr>
          <w:rFonts w:cs="Arial" w:ascii="Arial" w:hAnsi="Arial"/>
          <w:b/>
          <w:bCs/>
          <w:sz w:val="24"/>
          <w:szCs w:val="24"/>
        </w:rPr>
      </w:r>
    </w:p>
    <w:p>
      <w:pPr>
        <w:pStyle w:val="ListParagraph"/>
        <w:numPr>
          <w:ilvl w:val="0"/>
          <w:numId w:val="2"/>
        </w:numPr>
        <w:spacing w:lineRule="auto" w:line="240" w:before="0" w:after="0"/>
        <w:contextualSpacing/>
        <w:rPr>
          <w:b/>
          <w:b/>
          <w:szCs w:val="22"/>
        </w:rPr>
      </w:pPr>
      <w:r>
        <w:rPr>
          <w:b/>
          <w:szCs w:val="22"/>
        </w:rPr>
        <w:t xml:space="preserve">Informácie k prílohe č. 3 časti F. písm. c) o dlhodobom hmotnom majetku </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6" w:type="dxa"/>
          <w:bottom w:w="0" w:type="dxa"/>
          <w:right w:w="70" w:type="dxa"/>
        </w:tblCellMar>
        <w:tblLook w:val="00a0"/>
      </w:tblPr>
      <w:tblGrid>
        <w:gridCol w:w="6071"/>
        <w:gridCol w:w="3000"/>
      </w:tblGrid>
      <w:tr>
        <w:trPr/>
        <w:tc>
          <w:tcPr>
            <w:tcW w:w="6071"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Dlhodobý hmotný majetok</w:t>
            </w:r>
          </w:p>
        </w:tc>
        <w:tc>
          <w:tcPr>
            <w:tcW w:w="3000"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Hodnota za bežné účtovné obdobie</w:t>
            </w:r>
          </w:p>
        </w:tc>
      </w:tr>
      <w:tr>
        <w:trPr>
          <w:trHeight w:val="340" w:hRule="atLeast"/>
        </w:trPr>
        <w:tc>
          <w:tcPr>
            <w:tcW w:w="607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Dlhodobý hmotný majetok, na ktorý je zriadené záložné právo</w:t>
            </w:r>
          </w:p>
        </w:tc>
        <w:tc>
          <w:tcPr>
            <w:tcW w:w="300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r>
          </w:p>
        </w:tc>
      </w:tr>
    </w:tbl>
    <w:p>
      <w:pPr>
        <w:pStyle w:val="Nzov"/>
        <w:keepNext/>
        <w:spacing w:beforeAutospacing="0" w:before="0" w:after="0"/>
        <w:jc w:val="left"/>
        <w:rPr>
          <w:szCs w:val="22"/>
        </w:rPr>
      </w:pPr>
      <w:r>
        <w:rPr>
          <w:szCs w:val="22"/>
        </w:rPr>
      </w:r>
    </w:p>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 xml:space="preserve">Dlhodobý majetok, pri ktorom vlastnícke právo nadobudol veriteľ zmluvou o zabezpečovacom prevode práve, ale ktorý užíva účtovná jednotka na základe zmluvy o výpožičke : </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 xml:space="preserve">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 účtovná jednotka nemá majetok, kde nie je vlastníctvo zapísané vkladom do katastra nehnuteľnosti  </w:t>
      </w:r>
    </w:p>
    <w:p>
      <w:pPr>
        <w:pStyle w:val="Normal"/>
        <w:spacing w:lineRule="auto" w:line="240" w:before="0" w:after="0"/>
        <w:ind w:left="2520" w:hanging="0"/>
        <w:jc w:val="both"/>
        <w:rPr>
          <w:rFonts w:ascii="Arial" w:hAnsi="Arial"/>
          <w:sz w:val="24"/>
          <w:szCs w:val="24"/>
          <w:lang w:eastAsia="sk-SK"/>
        </w:rPr>
      </w:pPr>
      <w:r>
        <w:rPr>
          <w:rFonts w:ascii="Arial" w:hAnsi="Arial"/>
          <w:sz w:val="24"/>
          <w:szCs w:val="24"/>
          <w:lang w:eastAsia="sk-SK"/>
        </w:rPr>
        <w:t xml:space="preserve"> </w:t>
      </w:r>
    </w:p>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Goodwill a spôsob výpočtu jeho hodnoty : účtovná jednotka nemá majetok</w:t>
      </w:r>
    </w:p>
    <w:p>
      <w:pPr>
        <w:pStyle w:val="Normal"/>
        <w:spacing w:lineRule="auto" w:line="240" w:before="0" w:after="0"/>
        <w:ind w:left="720" w:hanging="0"/>
        <w:jc w:val="both"/>
        <w:rPr>
          <w:rFonts w:ascii="Arial" w:hAnsi="Arial"/>
          <w:sz w:val="24"/>
          <w:szCs w:val="24"/>
          <w:lang w:eastAsia="sk-SK"/>
        </w:rPr>
      </w:pPr>
      <w:r>
        <w:rPr>
          <w:rFonts w:ascii="Arial" w:hAnsi="Arial"/>
          <w:sz w:val="24"/>
          <w:szCs w:val="24"/>
          <w:lang w:eastAsia="sk-SK"/>
        </w:rPr>
        <w:t>Ktorým je goodwill</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Informácie o opravnej položke k nadobudnutému majetku účtovanej na účte 097 : účtovná jednotka neúčtuje opravnú položku k nadobudnutému majetku</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 xml:space="preserve">Informácie o výskumnej a vývojovej činnosti účtovnej jednotky za bežné účtovné obdobie : </w:t>
      </w:r>
    </w:p>
    <w:p>
      <w:pPr>
        <w:pStyle w:val="Normal"/>
        <w:numPr>
          <w:ilvl w:val="0"/>
          <w:numId w:val="10"/>
        </w:numPr>
        <w:spacing w:lineRule="auto" w:line="240" w:before="0" w:after="0"/>
        <w:jc w:val="both"/>
        <w:rPr>
          <w:rFonts w:ascii="Arial" w:hAnsi="Arial"/>
          <w:sz w:val="24"/>
          <w:szCs w:val="24"/>
          <w:lang w:eastAsia="sk-SK"/>
        </w:rPr>
      </w:pPr>
      <w:r>
        <w:rPr>
          <w:rFonts w:ascii="Arial" w:hAnsi="Arial"/>
          <w:sz w:val="24"/>
          <w:szCs w:val="24"/>
          <w:lang w:eastAsia="sk-SK"/>
        </w:rPr>
        <w:t>náklady na výskum vynaložené v bežnom účtovnom období : účtovná jednotka nevykonáva túto činnosť</w:t>
      </w:r>
    </w:p>
    <w:p>
      <w:pPr>
        <w:pStyle w:val="Normal"/>
        <w:spacing w:lineRule="auto" w:line="240" w:before="0" w:after="0"/>
        <w:ind w:left="360" w:hanging="0"/>
        <w:jc w:val="both"/>
        <w:rPr>
          <w:rFonts w:ascii="Arial" w:hAnsi="Arial"/>
          <w:sz w:val="24"/>
          <w:szCs w:val="24"/>
          <w:lang w:eastAsia="sk-SK"/>
        </w:rPr>
      </w:pPr>
      <w:r>
        <w:rPr>
          <w:rFonts w:ascii="Arial" w:hAnsi="Arial"/>
          <w:sz w:val="24"/>
          <w:szCs w:val="24"/>
          <w:lang w:eastAsia="sk-SK"/>
        </w:rPr>
      </w:r>
    </w:p>
    <w:p>
      <w:pPr>
        <w:pStyle w:val="Normal"/>
        <w:numPr>
          <w:ilvl w:val="0"/>
          <w:numId w:val="10"/>
        </w:numPr>
        <w:spacing w:lineRule="auto" w:line="240" w:before="0" w:after="0"/>
        <w:jc w:val="both"/>
        <w:rPr>
          <w:rFonts w:ascii="Arial" w:hAnsi="Arial"/>
          <w:sz w:val="24"/>
          <w:szCs w:val="24"/>
          <w:lang w:eastAsia="sk-SK"/>
        </w:rPr>
      </w:pPr>
      <w:r>
        <w:rPr>
          <w:rFonts w:ascii="Arial" w:hAnsi="Arial"/>
          <w:sz w:val="24"/>
          <w:szCs w:val="24"/>
          <w:lang w:eastAsia="sk-SK"/>
        </w:rPr>
        <w:t xml:space="preserve">neaktivované náklady na vývoj vynaložené v bežnom účtovnom období : </w:t>
      </w:r>
    </w:p>
    <w:p>
      <w:pPr>
        <w:pStyle w:val="Normal"/>
        <w:spacing w:lineRule="auto" w:line="240" w:before="0" w:after="0"/>
        <w:ind w:left="720" w:hanging="0"/>
        <w:jc w:val="both"/>
        <w:rPr>
          <w:rFonts w:ascii="Arial" w:hAnsi="Arial"/>
          <w:sz w:val="24"/>
          <w:szCs w:val="24"/>
          <w:lang w:eastAsia="sk-SK"/>
        </w:rPr>
      </w:pPr>
      <w:r>
        <w:rPr>
          <w:rFonts w:ascii="Arial" w:hAnsi="Arial"/>
          <w:sz w:val="24"/>
          <w:szCs w:val="24"/>
          <w:lang w:eastAsia="sk-SK"/>
        </w:rPr>
        <w:t>účtovná jednotka nevykonáva túto činnosť</w:t>
      </w:r>
    </w:p>
    <w:p>
      <w:pPr>
        <w:pStyle w:val="Normal"/>
        <w:spacing w:lineRule="auto" w:line="240" w:before="0" w:after="0"/>
        <w:ind w:left="360" w:hanging="0"/>
        <w:jc w:val="both"/>
        <w:rPr>
          <w:rFonts w:ascii="Arial" w:hAnsi="Arial"/>
          <w:sz w:val="24"/>
          <w:szCs w:val="24"/>
          <w:lang w:eastAsia="sk-SK"/>
        </w:rPr>
      </w:pPr>
      <w:r>
        <w:rPr>
          <w:rFonts w:ascii="Arial" w:hAnsi="Arial"/>
          <w:sz w:val="24"/>
          <w:szCs w:val="24"/>
          <w:lang w:eastAsia="sk-SK"/>
        </w:rPr>
      </w:r>
    </w:p>
    <w:p>
      <w:pPr>
        <w:pStyle w:val="Normal"/>
        <w:spacing w:lineRule="auto" w:line="240" w:before="0" w:after="0"/>
        <w:ind w:left="360" w:hanging="0"/>
        <w:jc w:val="both"/>
        <w:rPr>
          <w:rFonts w:ascii="Arial" w:hAnsi="Arial"/>
          <w:sz w:val="24"/>
          <w:szCs w:val="24"/>
          <w:lang w:eastAsia="sk-SK"/>
        </w:rPr>
      </w:pPr>
      <w:r>
        <w:rPr>
          <w:rFonts w:ascii="Arial" w:hAnsi="Arial"/>
          <w:sz w:val="24"/>
          <w:szCs w:val="24"/>
          <w:lang w:eastAsia="sk-SK"/>
        </w:rPr>
        <w:t xml:space="preserve">3 . aktivované náklady na vývoj vynaložené v bežnom účtovnom období : </w:t>
      </w:r>
    </w:p>
    <w:p>
      <w:pPr>
        <w:pStyle w:val="Normal"/>
        <w:spacing w:lineRule="auto" w:line="240" w:before="0" w:after="0"/>
        <w:ind w:left="360" w:hanging="0"/>
        <w:jc w:val="both"/>
        <w:rPr>
          <w:rFonts w:ascii="Arial" w:hAnsi="Arial"/>
          <w:sz w:val="24"/>
          <w:szCs w:val="24"/>
          <w:lang w:eastAsia="sk-SK"/>
        </w:rPr>
      </w:pPr>
      <w:r>
        <w:rPr>
          <w:rFonts w:ascii="Arial" w:hAnsi="Arial"/>
          <w:sz w:val="24"/>
          <w:szCs w:val="24"/>
          <w:lang w:eastAsia="sk-SK"/>
        </w:rPr>
        <w:t xml:space="preserve">     </w:t>
      </w:r>
      <w:r>
        <w:rPr>
          <w:rFonts w:ascii="Arial" w:hAnsi="Arial"/>
          <w:sz w:val="24"/>
          <w:szCs w:val="24"/>
          <w:lang w:eastAsia="sk-SK"/>
        </w:rPr>
        <w:t>Účtovná jednotka nevykonáva túto činnosť</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Štruktúra dlhodobého finančného majetku za bežné účtovné obdobie a jeho umiestnenie : účtovná jednotka nemá dlhodobý finančný majetok</w:t>
      </w:r>
    </w:p>
    <w:p>
      <w:pPr>
        <w:pStyle w:val="Normal"/>
        <w:spacing w:lineRule="auto" w:line="240" w:before="0" w:after="0"/>
        <w:ind w:left="360" w:hanging="0"/>
        <w:rPr>
          <w:rFonts w:ascii="Arial" w:hAnsi="Arial" w:cs="Arial"/>
          <w:sz w:val="24"/>
          <w:szCs w:val="24"/>
          <w:lang w:eastAsia="sk-SK"/>
        </w:rPr>
      </w:pPr>
      <w:r>
        <w:rPr>
          <w:rFonts w:cs="Arial" w:ascii="Arial" w:hAnsi="Arial"/>
          <w:sz w:val="24"/>
          <w:szCs w:val="24"/>
          <w:lang w:eastAsia="sk-SK"/>
        </w:rPr>
      </w:r>
    </w:p>
    <w:p>
      <w:pPr>
        <w:pStyle w:val="Normal"/>
        <w:spacing w:lineRule="auto" w:line="240" w:before="0" w:after="0"/>
        <w:ind w:left="360" w:hanging="0"/>
        <w:rPr>
          <w:rFonts w:ascii="Arial" w:hAnsi="Arial" w:cs="Arial"/>
          <w:sz w:val="24"/>
          <w:szCs w:val="24"/>
          <w:lang w:eastAsia="sk-SK"/>
        </w:rPr>
      </w:pPr>
      <w:r>
        <w:rPr>
          <w:rFonts w:cs="Arial" w:ascii="Arial" w:hAnsi="Arial"/>
          <w:sz w:val="24"/>
          <w:szCs w:val="24"/>
          <w:lang w:eastAsia="sk-SK"/>
        </w:rPr>
      </w:r>
    </w:p>
    <w:p>
      <w:pPr>
        <w:pStyle w:val="Nzov"/>
        <w:numPr>
          <w:ilvl w:val="0"/>
          <w:numId w:val="2"/>
        </w:numPr>
        <w:spacing w:beforeAutospacing="0" w:before="0" w:after="0"/>
        <w:jc w:val="left"/>
        <w:rPr>
          <w:szCs w:val="22"/>
        </w:rPr>
      </w:pPr>
      <w:r>
        <w:rPr>
          <w:szCs w:val="22"/>
        </w:rPr>
        <w:t>Informácie k prílohe č. 3  časti F. písm. i) o štruktúre dlhodobého finančného majetku</w:t>
      </w:r>
    </w:p>
    <w:tbl>
      <w:tblPr>
        <w:tblW w:w="49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6" w:type="dxa"/>
          <w:bottom w:w="0" w:type="dxa"/>
          <w:right w:w="70" w:type="dxa"/>
        </w:tblCellMar>
        <w:tblLook w:val="00a0"/>
      </w:tblPr>
      <w:tblGrid>
        <w:gridCol w:w="1897"/>
        <w:gridCol w:w="1097"/>
        <w:gridCol w:w="1663"/>
        <w:gridCol w:w="1419"/>
        <w:gridCol w:w="1628"/>
        <w:gridCol w:w="1185"/>
      </w:tblGrid>
      <w:tr>
        <w:trPr/>
        <w:tc>
          <w:tcPr>
            <w:tcW w:w="1897" w:type="dxa"/>
            <w:vMerge w:val="restart"/>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Obchodné meno a sídlo spoločnosti, v ktorej má ÚJ umiestnený DFM</w:t>
            </w:r>
          </w:p>
        </w:tc>
        <w:tc>
          <w:tcPr>
            <w:tcW w:w="6992" w:type="dxa"/>
            <w:gridSpan w:val="5"/>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6" w:type="dxa"/>
            </w:tcMar>
            <w:vAlign w:val="center"/>
          </w:tcPr>
          <w:p>
            <w:pPr>
              <w:pStyle w:val="TopHeader"/>
              <w:rPr/>
            </w:pPr>
            <w:r>
              <w:rPr/>
              <w:t xml:space="preserve">Bežné účtovné obdobie </w:t>
            </w:r>
          </w:p>
        </w:tc>
      </w:tr>
      <w:tr>
        <w:trPr>
          <w:trHeight w:val="1394" w:hRule="atLeast"/>
        </w:trPr>
        <w:tc>
          <w:tcPr>
            <w:tcW w:w="1897" w:type="dxa"/>
            <w:vMerge w:val="continue"/>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Normal"/>
              <w:spacing w:lineRule="auto" w:line="240" w:before="0" w:after="0"/>
              <w:rPr>
                <w:b/>
                <w:b/>
                <w:bCs/>
                <w:szCs w:val="22"/>
              </w:rPr>
            </w:pPr>
            <w:r>
              <w:rPr>
                <w:b/>
                <w:bCs/>
                <w:szCs w:val="22"/>
              </w:rPr>
            </w:r>
          </w:p>
        </w:tc>
        <w:tc>
          <w:tcPr>
            <w:tcW w:w="1097"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Podiel ÚJ na ZI</w:t>
            </w:r>
          </w:p>
          <w:p>
            <w:pPr>
              <w:pStyle w:val="TopHeader"/>
              <w:rPr/>
            </w:pPr>
            <w:r>
              <w:rPr/>
              <w:t>v  %</w:t>
            </w:r>
          </w:p>
        </w:tc>
        <w:tc>
          <w:tcPr>
            <w:tcW w:w="1663"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 xml:space="preserve">Podiel ÚJ na hlasovacích právach </w:t>
            </w:r>
          </w:p>
          <w:p>
            <w:pPr>
              <w:pStyle w:val="TopHeader"/>
              <w:rPr/>
            </w:pPr>
            <w:r>
              <w:rPr/>
              <w:t>v %</w:t>
            </w:r>
          </w:p>
        </w:tc>
        <w:tc>
          <w:tcPr>
            <w:tcW w:w="1419"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Hodnota  vlastného imania ÚJ, v ktorej má ÚJ umiestnený DFM</w:t>
            </w:r>
          </w:p>
        </w:tc>
        <w:tc>
          <w:tcPr>
            <w:tcW w:w="1628"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 xml:space="preserve">Výsledok hospodárenia ÚJ, v ktorej má ÚJ umiestnený DFM </w:t>
            </w:r>
          </w:p>
        </w:tc>
        <w:tc>
          <w:tcPr>
            <w:tcW w:w="1185"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Účtovná hodnota </w:t>
              <w:br/>
              <w:t>DFM</w:t>
            </w:r>
          </w:p>
        </w:tc>
      </w:tr>
      <w:tr>
        <w:trPr>
          <w:trHeight w:val="227" w:hRule="exact"/>
        </w:trPr>
        <w:tc>
          <w:tcPr>
            <w:tcW w:w="189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A</w:t>
            </w:r>
          </w:p>
        </w:tc>
        <w:tc>
          <w:tcPr>
            <w:tcW w:w="109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B</w:t>
            </w:r>
          </w:p>
        </w:tc>
        <w:tc>
          <w:tcPr>
            <w:tcW w:w="166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c</w:t>
            </w:r>
          </w:p>
        </w:tc>
        <w:tc>
          <w:tcPr>
            <w:tcW w:w="141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d</w:t>
            </w:r>
          </w:p>
        </w:tc>
        <w:tc>
          <w:tcPr>
            <w:tcW w:w="162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E</w:t>
            </w:r>
          </w:p>
        </w:tc>
        <w:tc>
          <w:tcPr>
            <w:tcW w:w="118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f</w:t>
            </w:r>
          </w:p>
        </w:tc>
      </w:tr>
      <w:tr>
        <w:trPr>
          <w:trHeight w:val="329" w:hRule="atLeast"/>
        </w:trPr>
        <w:tc>
          <w:tcPr>
            <w:tcW w:w="8889" w:type="dxa"/>
            <w:gridSpan w:val="6"/>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6" w:type="dxa"/>
            </w:tcMar>
            <w:vAlign w:val="center"/>
          </w:tcPr>
          <w:p>
            <w:pPr>
              <w:pStyle w:val="Normal"/>
              <w:spacing w:lineRule="auto" w:line="240" w:before="0" w:after="0"/>
              <w:rPr>
                <w:szCs w:val="22"/>
              </w:rPr>
            </w:pPr>
            <w:r>
              <w:rPr>
                <w:b/>
                <w:szCs w:val="22"/>
              </w:rPr>
              <w:t>Dcérske účtovné jednotky</w:t>
            </w:r>
          </w:p>
        </w:tc>
      </w:tr>
      <w:tr>
        <w:trPr>
          <w:trHeight w:val="369" w:hRule="atLeast"/>
        </w:trPr>
        <w:tc>
          <w:tcPr>
            <w:tcW w:w="1897"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r>
          </w:p>
        </w:tc>
        <w:tc>
          <w:tcPr>
            <w:tcW w:w="1097"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6" w:type="dxa"/>
            </w:tcMar>
            <w:vAlign w:val="center"/>
          </w:tcPr>
          <w:p>
            <w:pPr>
              <w:pStyle w:val="Normal"/>
              <w:spacing w:lineRule="auto" w:line="240" w:before="0" w:after="0"/>
              <w:rPr>
                <w:szCs w:val="22"/>
              </w:rPr>
            </w:pPr>
            <w:r>
              <w:rPr>
                <w:szCs w:val="22"/>
              </w:rPr>
            </w:r>
          </w:p>
        </w:tc>
        <w:tc>
          <w:tcPr>
            <w:tcW w:w="166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419"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628"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185"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36" w:type="dxa"/>
            </w:tcMar>
            <w:vAlign w:val="center"/>
          </w:tcPr>
          <w:p>
            <w:pPr>
              <w:pStyle w:val="Normal"/>
              <w:spacing w:lineRule="auto" w:line="240" w:before="0" w:after="0"/>
              <w:rPr>
                <w:szCs w:val="22"/>
              </w:rPr>
            </w:pPr>
            <w:r>
              <w:rPr>
                <w:szCs w:val="22"/>
              </w:rPr>
            </w:r>
          </w:p>
        </w:tc>
      </w:tr>
      <w:tr>
        <w:trPr>
          <w:trHeight w:val="369" w:hRule="atLeast"/>
        </w:trPr>
        <w:tc>
          <w:tcPr>
            <w:tcW w:w="1897"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r>
          </w:p>
        </w:tc>
        <w:tc>
          <w:tcPr>
            <w:tcW w:w="1097"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6" w:type="dxa"/>
            </w:tcMar>
            <w:vAlign w:val="center"/>
          </w:tcPr>
          <w:p>
            <w:pPr>
              <w:pStyle w:val="Normal"/>
              <w:spacing w:lineRule="auto" w:line="240" w:before="0" w:after="0"/>
              <w:rPr>
                <w:szCs w:val="22"/>
              </w:rPr>
            </w:pPr>
            <w:r>
              <w:rPr>
                <w:szCs w:val="22"/>
              </w:rPr>
            </w:r>
          </w:p>
        </w:tc>
        <w:tc>
          <w:tcPr>
            <w:tcW w:w="166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41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6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185"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36" w:type="dxa"/>
            </w:tcMar>
            <w:vAlign w:val="center"/>
          </w:tcPr>
          <w:p>
            <w:pPr>
              <w:pStyle w:val="Normal"/>
              <w:spacing w:lineRule="auto" w:line="240" w:before="0" w:after="0"/>
              <w:rPr>
                <w:szCs w:val="22"/>
              </w:rPr>
            </w:pPr>
            <w:r>
              <w:rPr>
                <w:szCs w:val="22"/>
              </w:rPr>
            </w:r>
          </w:p>
        </w:tc>
      </w:tr>
      <w:tr>
        <w:trPr>
          <w:trHeight w:val="369" w:hRule="atLeast"/>
        </w:trPr>
        <w:tc>
          <w:tcPr>
            <w:tcW w:w="1897"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r>
          </w:p>
        </w:tc>
        <w:tc>
          <w:tcPr>
            <w:tcW w:w="1097"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6" w:type="dxa"/>
            </w:tcMar>
            <w:vAlign w:val="center"/>
          </w:tcPr>
          <w:p>
            <w:pPr>
              <w:pStyle w:val="Normal"/>
              <w:spacing w:lineRule="auto" w:line="240" w:before="0" w:after="0"/>
              <w:rPr>
                <w:szCs w:val="22"/>
              </w:rPr>
            </w:pPr>
            <w:r>
              <w:rPr>
                <w:szCs w:val="22"/>
              </w:rPr>
            </w:r>
          </w:p>
        </w:tc>
        <w:tc>
          <w:tcPr>
            <w:tcW w:w="166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419"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628"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185"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36" w:type="dxa"/>
            </w:tcMar>
            <w:vAlign w:val="center"/>
          </w:tcPr>
          <w:p>
            <w:pPr>
              <w:pStyle w:val="Normal"/>
              <w:spacing w:lineRule="auto" w:line="240" w:before="0" w:after="0"/>
              <w:rPr>
                <w:szCs w:val="22"/>
              </w:rPr>
            </w:pPr>
            <w:r>
              <w:rPr>
                <w:szCs w:val="22"/>
              </w:rPr>
            </w:r>
          </w:p>
        </w:tc>
      </w:tr>
      <w:tr>
        <w:trPr>
          <w:trHeight w:val="329" w:hRule="atLeast"/>
        </w:trPr>
        <w:tc>
          <w:tcPr>
            <w:tcW w:w="8889" w:type="dxa"/>
            <w:gridSpan w:val="6"/>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6" w:type="dxa"/>
            </w:tcMar>
            <w:vAlign w:val="center"/>
          </w:tcPr>
          <w:p>
            <w:pPr>
              <w:pStyle w:val="Normal"/>
              <w:spacing w:lineRule="auto" w:line="240" w:before="0" w:after="0"/>
              <w:rPr>
                <w:szCs w:val="22"/>
              </w:rPr>
            </w:pPr>
            <w:r>
              <w:rPr>
                <w:b/>
                <w:szCs w:val="22"/>
              </w:rPr>
              <w:t>Účtovné jednotky s podstatným vplyvom</w:t>
            </w:r>
          </w:p>
        </w:tc>
      </w:tr>
      <w:tr>
        <w:trPr>
          <w:trHeight w:val="369" w:hRule="atLeast"/>
        </w:trPr>
        <w:tc>
          <w:tcPr>
            <w:tcW w:w="1897"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r>
          </w:p>
        </w:tc>
        <w:tc>
          <w:tcPr>
            <w:tcW w:w="1097"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6" w:type="dxa"/>
            </w:tcMar>
            <w:vAlign w:val="center"/>
          </w:tcPr>
          <w:p>
            <w:pPr>
              <w:pStyle w:val="Normal"/>
              <w:spacing w:lineRule="auto" w:line="240" w:before="0" w:after="0"/>
              <w:rPr>
                <w:szCs w:val="22"/>
              </w:rPr>
            </w:pPr>
            <w:r>
              <w:rPr>
                <w:szCs w:val="22"/>
              </w:rPr>
            </w:r>
          </w:p>
        </w:tc>
        <w:tc>
          <w:tcPr>
            <w:tcW w:w="166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419"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628"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185"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36" w:type="dxa"/>
            </w:tcMar>
            <w:vAlign w:val="center"/>
          </w:tcPr>
          <w:p>
            <w:pPr>
              <w:pStyle w:val="Normal"/>
              <w:spacing w:lineRule="auto" w:line="240" w:before="0" w:after="0"/>
              <w:rPr>
                <w:szCs w:val="22"/>
              </w:rPr>
            </w:pPr>
            <w:r>
              <w:rPr>
                <w:szCs w:val="22"/>
              </w:rPr>
            </w:r>
          </w:p>
        </w:tc>
      </w:tr>
      <w:tr>
        <w:trPr>
          <w:trHeight w:val="369" w:hRule="atLeast"/>
        </w:trPr>
        <w:tc>
          <w:tcPr>
            <w:tcW w:w="1897"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r>
          </w:p>
        </w:tc>
        <w:tc>
          <w:tcPr>
            <w:tcW w:w="1097"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6" w:type="dxa"/>
            </w:tcMar>
            <w:vAlign w:val="center"/>
          </w:tcPr>
          <w:p>
            <w:pPr>
              <w:pStyle w:val="Normal"/>
              <w:spacing w:lineRule="auto" w:line="240" w:before="0" w:after="0"/>
              <w:rPr>
                <w:szCs w:val="22"/>
              </w:rPr>
            </w:pPr>
            <w:r>
              <w:rPr>
                <w:szCs w:val="22"/>
              </w:rPr>
            </w:r>
          </w:p>
        </w:tc>
        <w:tc>
          <w:tcPr>
            <w:tcW w:w="166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41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6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185"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36" w:type="dxa"/>
            </w:tcMar>
            <w:vAlign w:val="center"/>
          </w:tcPr>
          <w:p>
            <w:pPr>
              <w:pStyle w:val="Normal"/>
              <w:spacing w:lineRule="auto" w:line="240" w:before="0" w:after="0"/>
              <w:rPr>
                <w:szCs w:val="22"/>
              </w:rPr>
            </w:pPr>
            <w:r>
              <w:rPr>
                <w:szCs w:val="22"/>
              </w:rPr>
            </w:r>
          </w:p>
        </w:tc>
      </w:tr>
      <w:tr>
        <w:trPr>
          <w:trHeight w:val="369" w:hRule="atLeast"/>
        </w:trPr>
        <w:tc>
          <w:tcPr>
            <w:tcW w:w="1897"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r>
          </w:p>
        </w:tc>
        <w:tc>
          <w:tcPr>
            <w:tcW w:w="1097"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6" w:type="dxa"/>
            </w:tcMar>
            <w:vAlign w:val="center"/>
          </w:tcPr>
          <w:p>
            <w:pPr>
              <w:pStyle w:val="Normal"/>
              <w:spacing w:lineRule="auto" w:line="240" w:before="0" w:after="0"/>
              <w:rPr>
                <w:szCs w:val="22"/>
              </w:rPr>
            </w:pPr>
            <w:r>
              <w:rPr>
                <w:szCs w:val="22"/>
              </w:rPr>
            </w:r>
          </w:p>
        </w:tc>
        <w:tc>
          <w:tcPr>
            <w:tcW w:w="166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419"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628"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185"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36" w:type="dxa"/>
            </w:tcMar>
            <w:vAlign w:val="center"/>
          </w:tcPr>
          <w:p>
            <w:pPr>
              <w:pStyle w:val="Normal"/>
              <w:spacing w:lineRule="auto" w:line="240" w:before="0" w:after="0"/>
              <w:rPr>
                <w:szCs w:val="22"/>
              </w:rPr>
            </w:pPr>
            <w:r>
              <w:rPr>
                <w:szCs w:val="22"/>
              </w:rPr>
            </w:r>
          </w:p>
        </w:tc>
      </w:tr>
      <w:tr>
        <w:trPr>
          <w:trHeight w:val="369" w:hRule="atLeast"/>
        </w:trPr>
        <w:tc>
          <w:tcPr>
            <w:tcW w:w="8889" w:type="dxa"/>
            <w:gridSpan w:val="6"/>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6" w:type="dxa"/>
            </w:tcMar>
            <w:vAlign w:val="center"/>
          </w:tcPr>
          <w:p>
            <w:pPr>
              <w:pStyle w:val="Normal"/>
              <w:spacing w:lineRule="auto" w:line="240" w:before="0" w:after="0"/>
              <w:rPr>
                <w:szCs w:val="22"/>
              </w:rPr>
            </w:pPr>
            <w:r>
              <w:rPr>
                <w:b/>
                <w:szCs w:val="22"/>
              </w:rPr>
              <w:t xml:space="preserve">Ostatné realizovateľné CP a podiely  </w:t>
            </w:r>
          </w:p>
        </w:tc>
      </w:tr>
      <w:tr>
        <w:trPr>
          <w:trHeight w:val="369" w:hRule="atLeast"/>
        </w:trPr>
        <w:tc>
          <w:tcPr>
            <w:tcW w:w="1897"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r>
          </w:p>
        </w:tc>
        <w:tc>
          <w:tcPr>
            <w:tcW w:w="1097"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6" w:type="dxa"/>
            </w:tcMar>
            <w:vAlign w:val="center"/>
          </w:tcPr>
          <w:p>
            <w:pPr>
              <w:pStyle w:val="Normal"/>
              <w:spacing w:lineRule="auto" w:line="240" w:before="0" w:after="0"/>
              <w:rPr>
                <w:szCs w:val="22"/>
              </w:rPr>
            </w:pPr>
            <w:r>
              <w:rPr>
                <w:szCs w:val="22"/>
              </w:rPr>
            </w:r>
          </w:p>
        </w:tc>
        <w:tc>
          <w:tcPr>
            <w:tcW w:w="166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419"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628"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185"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36" w:type="dxa"/>
            </w:tcMar>
            <w:vAlign w:val="center"/>
          </w:tcPr>
          <w:p>
            <w:pPr>
              <w:pStyle w:val="Normal"/>
              <w:spacing w:lineRule="auto" w:line="240" w:before="0" w:after="0"/>
              <w:rPr>
                <w:szCs w:val="22"/>
              </w:rPr>
            </w:pPr>
            <w:r>
              <w:rPr>
                <w:szCs w:val="22"/>
              </w:rPr>
            </w:r>
          </w:p>
        </w:tc>
      </w:tr>
      <w:tr>
        <w:trPr>
          <w:trHeight w:val="369" w:hRule="atLeast"/>
        </w:trPr>
        <w:tc>
          <w:tcPr>
            <w:tcW w:w="1897"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r>
          </w:p>
        </w:tc>
        <w:tc>
          <w:tcPr>
            <w:tcW w:w="1097"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6" w:type="dxa"/>
            </w:tcMar>
            <w:vAlign w:val="center"/>
          </w:tcPr>
          <w:p>
            <w:pPr>
              <w:pStyle w:val="Normal"/>
              <w:spacing w:lineRule="auto" w:line="240" w:before="0" w:after="0"/>
              <w:rPr>
                <w:szCs w:val="22"/>
              </w:rPr>
            </w:pPr>
            <w:r>
              <w:rPr>
                <w:szCs w:val="22"/>
              </w:rPr>
            </w:r>
          </w:p>
        </w:tc>
        <w:tc>
          <w:tcPr>
            <w:tcW w:w="166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41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6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185"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36" w:type="dxa"/>
            </w:tcMar>
            <w:vAlign w:val="center"/>
          </w:tcPr>
          <w:p>
            <w:pPr>
              <w:pStyle w:val="Normal"/>
              <w:spacing w:lineRule="auto" w:line="240" w:before="0" w:after="0"/>
              <w:rPr>
                <w:szCs w:val="22"/>
              </w:rPr>
            </w:pPr>
            <w:r>
              <w:rPr>
                <w:szCs w:val="22"/>
              </w:rPr>
            </w:r>
          </w:p>
        </w:tc>
      </w:tr>
      <w:tr>
        <w:trPr>
          <w:trHeight w:val="369" w:hRule="atLeast"/>
        </w:trPr>
        <w:tc>
          <w:tcPr>
            <w:tcW w:w="1897"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r>
          </w:p>
        </w:tc>
        <w:tc>
          <w:tcPr>
            <w:tcW w:w="1097"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6" w:type="dxa"/>
            </w:tcMar>
            <w:vAlign w:val="center"/>
          </w:tcPr>
          <w:p>
            <w:pPr>
              <w:pStyle w:val="Normal"/>
              <w:spacing w:lineRule="auto" w:line="240" w:before="0" w:after="0"/>
              <w:rPr>
                <w:szCs w:val="22"/>
              </w:rPr>
            </w:pPr>
            <w:r>
              <w:rPr>
                <w:szCs w:val="22"/>
              </w:rPr>
            </w:r>
          </w:p>
        </w:tc>
        <w:tc>
          <w:tcPr>
            <w:tcW w:w="166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419"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628"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185"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36" w:type="dxa"/>
            </w:tcMar>
            <w:vAlign w:val="center"/>
          </w:tcPr>
          <w:p>
            <w:pPr>
              <w:pStyle w:val="Normal"/>
              <w:spacing w:lineRule="auto" w:line="240" w:before="0" w:after="0"/>
              <w:rPr>
                <w:szCs w:val="22"/>
              </w:rPr>
            </w:pPr>
            <w:r>
              <w:rPr>
                <w:szCs w:val="22"/>
              </w:rPr>
            </w:r>
          </w:p>
        </w:tc>
      </w:tr>
      <w:tr>
        <w:trPr>
          <w:trHeight w:val="369" w:hRule="atLeast"/>
        </w:trPr>
        <w:tc>
          <w:tcPr>
            <w:tcW w:w="8889" w:type="dxa"/>
            <w:gridSpan w:val="6"/>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6" w:type="dxa"/>
            </w:tcMar>
            <w:vAlign w:val="center"/>
          </w:tcPr>
          <w:p>
            <w:pPr>
              <w:pStyle w:val="Normal"/>
              <w:spacing w:lineRule="auto" w:line="240" w:before="0" w:after="0"/>
              <w:rPr>
                <w:szCs w:val="22"/>
              </w:rPr>
            </w:pPr>
            <w:r>
              <w:rPr>
                <w:b/>
                <w:szCs w:val="22"/>
              </w:rPr>
              <w:t>Obstarávaný DFM na účely vykonania vplyvu v inej ÚJ</w:t>
            </w:r>
          </w:p>
        </w:tc>
      </w:tr>
      <w:tr>
        <w:trPr>
          <w:trHeight w:val="369" w:hRule="atLeast"/>
        </w:trPr>
        <w:tc>
          <w:tcPr>
            <w:tcW w:w="1897"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6" w:type="dxa"/>
            </w:tcMar>
            <w:vAlign w:val="center"/>
          </w:tcPr>
          <w:p>
            <w:pPr>
              <w:pStyle w:val="Normal"/>
              <w:spacing w:lineRule="auto" w:line="240" w:before="0" w:after="0"/>
              <w:rPr>
                <w:b/>
                <w:b/>
                <w:szCs w:val="22"/>
              </w:rPr>
            </w:pPr>
            <w:r>
              <w:rPr>
                <w:b/>
                <w:szCs w:val="22"/>
              </w:rPr>
            </w:r>
          </w:p>
        </w:tc>
        <w:tc>
          <w:tcPr>
            <w:tcW w:w="1097"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6" w:type="dxa"/>
            </w:tcMar>
            <w:vAlign w:val="center"/>
          </w:tcPr>
          <w:p>
            <w:pPr>
              <w:pStyle w:val="Normal"/>
              <w:spacing w:lineRule="auto" w:line="240" w:before="0" w:after="0"/>
              <w:rPr>
                <w:szCs w:val="22"/>
              </w:rPr>
            </w:pPr>
            <w:r>
              <w:rPr>
                <w:szCs w:val="22"/>
              </w:rPr>
            </w:r>
          </w:p>
        </w:tc>
        <w:tc>
          <w:tcPr>
            <w:tcW w:w="166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419"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628"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185"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36" w:type="dxa"/>
            </w:tcMar>
            <w:vAlign w:val="center"/>
          </w:tcPr>
          <w:p>
            <w:pPr>
              <w:pStyle w:val="Normal"/>
              <w:spacing w:lineRule="auto" w:line="240" w:before="0" w:after="0"/>
              <w:rPr>
                <w:szCs w:val="22"/>
              </w:rPr>
            </w:pPr>
            <w:r>
              <w:rPr>
                <w:szCs w:val="22"/>
              </w:rPr>
            </w:r>
          </w:p>
        </w:tc>
      </w:tr>
      <w:tr>
        <w:trPr>
          <w:trHeight w:val="369" w:hRule="atLeast"/>
        </w:trPr>
        <w:tc>
          <w:tcPr>
            <w:tcW w:w="1897"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b/>
                <w:b/>
                <w:szCs w:val="22"/>
              </w:rPr>
            </w:pPr>
            <w:r>
              <w:rPr>
                <w:b/>
                <w:szCs w:val="22"/>
              </w:rPr>
            </w:r>
          </w:p>
        </w:tc>
        <w:tc>
          <w:tcPr>
            <w:tcW w:w="1097"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6" w:type="dxa"/>
            </w:tcMar>
            <w:vAlign w:val="center"/>
          </w:tcPr>
          <w:p>
            <w:pPr>
              <w:pStyle w:val="Normal"/>
              <w:spacing w:lineRule="auto" w:line="240" w:before="0" w:after="0"/>
              <w:rPr>
                <w:szCs w:val="22"/>
              </w:rPr>
            </w:pPr>
            <w:r>
              <w:rPr>
                <w:szCs w:val="22"/>
              </w:rPr>
            </w:r>
          </w:p>
        </w:tc>
        <w:tc>
          <w:tcPr>
            <w:tcW w:w="166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419"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628"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185"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36" w:type="dxa"/>
            </w:tcMar>
            <w:vAlign w:val="center"/>
          </w:tcPr>
          <w:p>
            <w:pPr>
              <w:pStyle w:val="Normal"/>
              <w:spacing w:lineRule="auto" w:line="240" w:before="0" w:after="0"/>
              <w:rPr>
                <w:szCs w:val="22"/>
              </w:rPr>
            </w:pPr>
            <w:r>
              <w:rPr>
                <w:szCs w:val="22"/>
              </w:rPr>
            </w:r>
          </w:p>
        </w:tc>
      </w:tr>
      <w:tr>
        <w:trPr>
          <w:trHeight w:val="369" w:hRule="atLeast"/>
        </w:trPr>
        <w:tc>
          <w:tcPr>
            <w:tcW w:w="189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b/>
                <w:b/>
                <w:szCs w:val="22"/>
              </w:rPr>
            </w:pPr>
            <w:r>
              <w:rPr>
                <w:b/>
                <w:szCs w:val="22"/>
              </w:rPr>
              <w:t>DFM spolu</w:t>
            </w:r>
          </w:p>
        </w:tc>
        <w:tc>
          <w:tcPr>
            <w:tcW w:w="1097" w:type="dxa"/>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6" w:type="dxa"/>
            </w:tcMar>
            <w:vAlign w:val="center"/>
          </w:tcPr>
          <w:p>
            <w:pPr>
              <w:pStyle w:val="Normal"/>
              <w:spacing w:lineRule="auto" w:line="240" w:before="0" w:after="0"/>
              <w:jc w:val="center"/>
              <w:rPr>
                <w:szCs w:val="22"/>
              </w:rPr>
            </w:pPr>
            <w:r>
              <w:rPr>
                <w:szCs w:val="22"/>
              </w:rPr>
              <w:t>X</w:t>
            </w:r>
          </w:p>
        </w:tc>
        <w:tc>
          <w:tcPr>
            <w:tcW w:w="1663" w:type="dxa"/>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36" w:type="dxa"/>
            </w:tcMar>
            <w:vAlign w:val="center"/>
          </w:tcPr>
          <w:p>
            <w:pPr>
              <w:pStyle w:val="Normal"/>
              <w:spacing w:lineRule="auto" w:line="240" w:before="0" w:after="0"/>
              <w:jc w:val="center"/>
              <w:rPr>
                <w:szCs w:val="22"/>
              </w:rPr>
            </w:pPr>
            <w:r>
              <w:rPr>
                <w:szCs w:val="22"/>
              </w:rPr>
              <w:t>x</w:t>
            </w:r>
          </w:p>
        </w:tc>
        <w:tc>
          <w:tcPr>
            <w:tcW w:w="1419" w:type="dxa"/>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36" w:type="dxa"/>
            </w:tcMar>
            <w:vAlign w:val="center"/>
          </w:tcPr>
          <w:p>
            <w:pPr>
              <w:pStyle w:val="Normal"/>
              <w:spacing w:lineRule="auto" w:line="240" w:before="0" w:after="0"/>
              <w:jc w:val="center"/>
              <w:rPr>
                <w:szCs w:val="22"/>
              </w:rPr>
            </w:pPr>
            <w:r>
              <w:rPr>
                <w:szCs w:val="22"/>
              </w:rPr>
              <w:t>x</w:t>
            </w:r>
          </w:p>
        </w:tc>
        <w:tc>
          <w:tcPr>
            <w:tcW w:w="1628" w:type="dxa"/>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36" w:type="dxa"/>
            </w:tcMar>
            <w:vAlign w:val="center"/>
          </w:tcPr>
          <w:p>
            <w:pPr>
              <w:pStyle w:val="Normal"/>
              <w:spacing w:lineRule="auto" w:line="240" w:before="0" w:after="0"/>
              <w:jc w:val="center"/>
              <w:rPr>
                <w:szCs w:val="22"/>
              </w:rPr>
            </w:pPr>
            <w:r>
              <w:rPr>
                <w:szCs w:val="22"/>
              </w:rPr>
              <w:t>X</w:t>
            </w:r>
          </w:p>
        </w:tc>
        <w:tc>
          <w:tcPr>
            <w:tcW w:w="1185" w:type="dxa"/>
            <w:tcBorders>
              <w:top w:val="single" w:sz="12"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36" w:type="dxa"/>
            </w:tcMar>
            <w:vAlign w:val="center"/>
          </w:tcPr>
          <w:p>
            <w:pPr>
              <w:pStyle w:val="Normal"/>
              <w:spacing w:lineRule="auto" w:line="240" w:before="0" w:after="0"/>
              <w:rPr>
                <w:szCs w:val="22"/>
              </w:rPr>
            </w:pPr>
            <w:r>
              <w:rPr>
                <w:szCs w:val="22"/>
              </w:rPr>
            </w:r>
          </w:p>
        </w:tc>
      </w:tr>
    </w:tbl>
    <w:p>
      <w:pPr>
        <w:pStyle w:val="Normal"/>
        <w:keepNext/>
        <w:numPr>
          <w:ilvl w:val="0"/>
          <w:numId w:val="0"/>
        </w:numPr>
        <w:spacing w:lineRule="auto" w:line="240" w:before="0" w:after="0"/>
        <w:outlineLvl w:val="0"/>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 xml:space="preserve">Obstarávacia cena zložiek dlhodobého finančného majetku </w:t>
      </w:r>
    </w:p>
    <w:p>
      <w:pPr>
        <w:pStyle w:val="Normal"/>
        <w:spacing w:lineRule="auto" w:line="240" w:before="0" w:after="0"/>
        <w:ind w:left="720" w:hanging="0"/>
        <w:rPr>
          <w:rFonts w:ascii="Arial" w:hAnsi="Arial" w:cs="Arial"/>
          <w:sz w:val="24"/>
          <w:szCs w:val="24"/>
          <w:lang w:eastAsia="sk-SK"/>
        </w:rPr>
      </w:pPr>
      <w:r>
        <w:rPr>
          <w:rFonts w:cs="Arial" w:ascii="Arial" w:hAnsi="Arial"/>
          <w:sz w:val="24"/>
          <w:szCs w:val="24"/>
          <w:lang w:eastAsia="sk-SK"/>
        </w:rPr>
        <w:t>Účtovná jednotka nemá dlhodobý finančný majetok</w:t>
      </w:r>
    </w:p>
    <w:p>
      <w:pPr>
        <w:pStyle w:val="Nzov"/>
        <w:keepNext/>
        <w:numPr>
          <w:ilvl w:val="0"/>
          <w:numId w:val="2"/>
        </w:numPr>
        <w:spacing w:beforeAutospacing="0" w:before="0" w:after="0"/>
        <w:jc w:val="left"/>
        <w:rPr>
          <w:szCs w:val="22"/>
        </w:rPr>
      </w:pPr>
      <w:r>
        <w:rPr>
          <w:szCs w:val="22"/>
        </w:rPr>
        <w:t>Informácie k prílohe č. 3 časti F. písm. j) o  dlhodobom finančnom majetku</w:t>
      </w:r>
    </w:p>
    <w:p>
      <w:pPr>
        <w:pStyle w:val="Normal"/>
        <w:spacing w:lineRule="auto" w:line="240" w:before="0" w:after="0"/>
        <w:rPr>
          <w:szCs w:val="22"/>
        </w:rPr>
      </w:pPr>
      <w:r>
        <w:rPr>
          <w:szCs w:val="22"/>
        </w:rPr>
        <w:t>Tabuľka č. 1</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30" w:type="dxa"/>
        </w:tblCellMar>
        <w:tblLook w:val="00a0"/>
      </w:tblPr>
      <w:tblGrid>
        <w:gridCol w:w="1279"/>
        <w:gridCol w:w="1115"/>
        <w:gridCol w:w="1066"/>
        <w:gridCol w:w="48"/>
        <w:gridCol w:w="870"/>
        <w:gridCol w:w="99"/>
        <w:gridCol w:w="3"/>
        <w:gridCol w:w="836"/>
        <w:gridCol w:w="1"/>
        <w:gridCol w:w="695"/>
        <w:gridCol w:w="0"/>
        <w:gridCol w:w="831"/>
        <w:gridCol w:w="0"/>
        <w:gridCol w:w="3"/>
        <w:gridCol w:w="647"/>
        <w:gridCol w:w="4"/>
        <w:gridCol w:w="9"/>
        <w:gridCol w:w="1"/>
        <w:gridCol w:w="858"/>
        <w:gridCol w:w="1"/>
        <w:gridCol w:w="0"/>
        <w:gridCol w:w="2"/>
        <w:gridCol w:w="703"/>
      </w:tblGrid>
      <w:tr>
        <w:trPr>
          <w:trHeight w:val="277" w:hRule="atLeast"/>
        </w:trPr>
        <w:tc>
          <w:tcPr>
            <w:tcW w:w="1279"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Dlhodobý finančný majetok</w:t>
            </w:r>
          </w:p>
        </w:tc>
        <w:tc>
          <w:tcPr>
            <w:tcW w:w="7792" w:type="dxa"/>
            <w:gridSpan w:val="2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 xml:space="preserve">Bežné účtovné obdobie                                                                                                                                                                    </w:t>
            </w:r>
          </w:p>
        </w:tc>
      </w:tr>
      <w:tr>
        <w:trPr>
          <w:trHeight w:val="1393" w:hRule="atLeast"/>
        </w:trPr>
        <w:tc>
          <w:tcPr>
            <w:tcW w:w="1279"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1115"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Podielové CP a podiely v DÚJ</w:t>
            </w:r>
          </w:p>
        </w:tc>
        <w:tc>
          <w:tcPr>
            <w:tcW w:w="1066"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Podielové </w:t>
              <w:br/>
              <w:t xml:space="preserve">CP a podiely </w:t>
              <w:br/>
              <w:t>v spoloč-nosti s pods-tatným vplyvom</w:t>
            </w:r>
          </w:p>
        </w:tc>
        <w:tc>
          <w:tcPr>
            <w:tcW w:w="1017" w:type="dxa"/>
            <w:gridSpan w:val="3"/>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Ostatné dlhodobé CP a podiely</w:t>
            </w:r>
          </w:p>
        </w:tc>
        <w:tc>
          <w:tcPr>
            <w:tcW w:w="840" w:type="dxa"/>
            <w:gridSpan w:val="3"/>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Pôžičky ÚJ </w:t>
              <w:br/>
              <w:t>v kons. celku</w:t>
            </w:r>
          </w:p>
        </w:tc>
        <w:tc>
          <w:tcPr>
            <w:tcW w:w="695"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Ostat-ný DFM</w:t>
            </w:r>
          </w:p>
        </w:tc>
        <w:tc>
          <w:tcPr>
            <w:tcW w:w="831"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Pôžičky s  dobou splat-nosti najviac jeden rok</w:t>
            </w:r>
          </w:p>
        </w:tc>
        <w:tc>
          <w:tcPr>
            <w:tcW w:w="650"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Ob-stará-vaný </w:t>
              <w:br/>
              <w:t>DFM</w:t>
            </w:r>
          </w:p>
        </w:tc>
        <w:tc>
          <w:tcPr>
            <w:tcW w:w="872" w:type="dxa"/>
            <w:gridSpan w:val="4"/>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Poskyt-nuté pred-davky na </w:t>
            </w:r>
          </w:p>
          <w:p>
            <w:pPr>
              <w:pStyle w:val="TopHeader"/>
              <w:rPr/>
            </w:pPr>
            <w:r>
              <w:rPr/>
              <w:t>DFM</w:t>
            </w:r>
          </w:p>
        </w:tc>
        <w:tc>
          <w:tcPr>
            <w:tcW w:w="706" w:type="dxa"/>
            <w:gridSpan w:val="4"/>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Spolu</w:t>
            </w:r>
          </w:p>
        </w:tc>
      </w:tr>
      <w:tr>
        <w:trPr>
          <w:trHeight w:val="195" w:hRule="atLeast"/>
        </w:trPr>
        <w:tc>
          <w:tcPr>
            <w:tcW w:w="127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A</w:t>
            </w:r>
          </w:p>
        </w:tc>
        <w:tc>
          <w:tcPr>
            <w:tcW w:w="111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b</w:t>
            </w:r>
          </w:p>
        </w:tc>
        <w:tc>
          <w:tcPr>
            <w:tcW w:w="106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C</w:t>
            </w:r>
          </w:p>
        </w:tc>
        <w:tc>
          <w:tcPr>
            <w:tcW w:w="1017"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d</w:t>
            </w:r>
          </w:p>
        </w:tc>
        <w:tc>
          <w:tcPr>
            <w:tcW w:w="840"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E</w:t>
            </w:r>
          </w:p>
        </w:tc>
        <w:tc>
          <w:tcPr>
            <w:tcW w:w="695"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f</w:t>
            </w:r>
          </w:p>
        </w:tc>
        <w:tc>
          <w:tcPr>
            <w:tcW w:w="831"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g</w:t>
            </w:r>
          </w:p>
        </w:tc>
        <w:tc>
          <w:tcPr>
            <w:tcW w:w="650"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h</w:t>
            </w:r>
          </w:p>
        </w:tc>
        <w:tc>
          <w:tcPr>
            <w:tcW w:w="872" w:type="dxa"/>
            <w:gridSpan w:val="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i</w:t>
            </w:r>
          </w:p>
        </w:tc>
        <w:tc>
          <w:tcPr>
            <w:tcW w:w="706" w:type="dxa"/>
            <w:gridSpan w:val="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TopHeader"/>
              <w:rPr>
                <w:b w:val="false"/>
                <w:b w:val="false"/>
              </w:rPr>
            </w:pPr>
            <w:r>
              <w:rPr>
                <w:b w:val="false"/>
              </w:rPr>
              <w:t>j</w:t>
            </w:r>
          </w:p>
        </w:tc>
      </w:tr>
      <w:tr>
        <w:trPr>
          <w:trHeight w:val="278" w:hRule="atLeast"/>
        </w:trPr>
        <w:tc>
          <w:tcPr>
            <w:tcW w:w="9071" w:type="dxa"/>
            <w:gridSpan w:val="2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Prvotné ocenenie</w:t>
            </w:r>
          </w:p>
        </w:tc>
      </w:tr>
      <w:tr>
        <w:trPr>
          <w:trHeight w:val="278" w:hRule="atLeast"/>
        </w:trPr>
        <w:tc>
          <w:tcPr>
            <w:tcW w:w="1279"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začiatku účtovného obdobia</w:t>
            </w:r>
          </w:p>
        </w:tc>
        <w:tc>
          <w:tcPr>
            <w:tcW w:w="1115"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066"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7"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0"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4" w:type="dxa"/>
            <w:gridSpan w:val="5"/>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9"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2"/>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06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4"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9"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06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4"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9"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06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4"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9"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1279"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066"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7"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0"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4" w:type="dxa"/>
            <w:gridSpan w:val="5"/>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9"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2"/>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9071" w:type="dxa"/>
            <w:gridSpan w:val="2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Opravné položky</w:t>
            </w:r>
          </w:p>
        </w:tc>
      </w:tr>
      <w:tr>
        <w:trPr>
          <w:trHeight w:val="278" w:hRule="atLeast"/>
        </w:trPr>
        <w:tc>
          <w:tcPr>
            <w:tcW w:w="1279"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w:t>
            </w:r>
          </w:p>
          <w:p>
            <w:pPr>
              <w:pStyle w:val="Normal"/>
              <w:spacing w:lineRule="auto" w:line="240" w:before="0" w:after="0"/>
              <w:rPr>
                <w:b/>
                <w:b/>
                <w:bCs/>
                <w:szCs w:val="22"/>
              </w:rPr>
            </w:pPr>
            <w:r>
              <w:rPr>
                <w:b/>
                <w:bCs/>
                <w:szCs w:val="22"/>
              </w:rPr>
              <w:t>na začiatku účtovného obdobia</w:t>
            </w:r>
          </w:p>
        </w:tc>
        <w:tc>
          <w:tcPr>
            <w:tcW w:w="1115"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2"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4"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1"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1" w:type="dxa"/>
            <w:gridSpan w:val="6"/>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3"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2"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4"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1"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3"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2"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4"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1"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3"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2"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4"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1"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3"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1279"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2"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4"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1"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1" w:type="dxa"/>
            <w:gridSpan w:val="6"/>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3"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9071" w:type="dxa"/>
            <w:gridSpan w:val="2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Účtovná hodnota </w:t>
            </w:r>
          </w:p>
        </w:tc>
      </w:tr>
      <w:tr>
        <w:trPr>
          <w:trHeight w:val="278" w:hRule="atLeast"/>
        </w:trPr>
        <w:tc>
          <w:tcPr>
            <w:tcW w:w="1279"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w:t>
            </w:r>
          </w:p>
          <w:p>
            <w:pPr>
              <w:pStyle w:val="Normal"/>
              <w:spacing w:lineRule="auto" w:line="240" w:before="0" w:after="0"/>
              <w:rPr>
                <w:b/>
                <w:b/>
                <w:bCs/>
                <w:szCs w:val="22"/>
              </w:rPr>
            </w:pPr>
            <w:r>
              <w:rPr>
                <w:b/>
                <w:bCs/>
                <w:szCs w:val="22"/>
              </w:rPr>
              <w:t>na začiatku účtovného obdobia</w:t>
            </w:r>
          </w:p>
        </w:tc>
        <w:tc>
          <w:tcPr>
            <w:tcW w:w="1115"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0"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38"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6"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3" w:type="dxa"/>
            <w:gridSpan w:val="5"/>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60"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3"/>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90" w:hRule="atLeast"/>
        </w:trPr>
        <w:tc>
          <w:tcPr>
            <w:tcW w:w="1279"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0"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38"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6"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3" w:type="dxa"/>
            <w:gridSpan w:val="5"/>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60"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3"/>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bl>
    <w:p>
      <w:pPr>
        <w:pStyle w:val="Normal"/>
        <w:spacing w:lineRule="auto" w:line="240" w:before="0" w:after="0"/>
        <w:rPr>
          <w:szCs w:val="22"/>
        </w:rPr>
      </w:pPr>
      <w:r>
        <w:rPr>
          <w:szCs w:val="22"/>
        </w:rPr>
      </w:r>
    </w:p>
    <w:p>
      <w:pPr>
        <w:pStyle w:val="Normal"/>
        <w:spacing w:lineRule="auto" w:line="240" w:before="0" w:after="0"/>
        <w:rPr/>
      </w:pPr>
      <w:r>
        <w:rPr>
          <w:szCs w:val="22"/>
        </w:rPr>
        <w:t>Tabuľka č. 2</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30" w:type="dxa"/>
        </w:tblCellMar>
        <w:tblLook w:val="00a0"/>
      </w:tblPr>
      <w:tblGrid>
        <w:gridCol w:w="1279"/>
        <w:gridCol w:w="1115"/>
        <w:gridCol w:w="1066"/>
        <w:gridCol w:w="48"/>
        <w:gridCol w:w="870"/>
        <w:gridCol w:w="99"/>
        <w:gridCol w:w="3"/>
        <w:gridCol w:w="836"/>
        <w:gridCol w:w="1"/>
        <w:gridCol w:w="695"/>
        <w:gridCol w:w="0"/>
        <w:gridCol w:w="831"/>
        <w:gridCol w:w="0"/>
        <w:gridCol w:w="3"/>
        <w:gridCol w:w="647"/>
        <w:gridCol w:w="4"/>
        <w:gridCol w:w="9"/>
        <w:gridCol w:w="1"/>
        <w:gridCol w:w="858"/>
        <w:gridCol w:w="1"/>
        <w:gridCol w:w="0"/>
        <w:gridCol w:w="2"/>
        <w:gridCol w:w="703"/>
      </w:tblGrid>
      <w:tr>
        <w:trPr>
          <w:trHeight w:val="277" w:hRule="atLeast"/>
        </w:trPr>
        <w:tc>
          <w:tcPr>
            <w:tcW w:w="1279"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Dlhodobý finančný majetok</w:t>
            </w:r>
          </w:p>
        </w:tc>
        <w:tc>
          <w:tcPr>
            <w:tcW w:w="7792" w:type="dxa"/>
            <w:gridSpan w:val="2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 xml:space="preserve">Bezprostredne predchádzajúce účtovné obdobie                                                                                                                                                                    </w:t>
            </w:r>
          </w:p>
        </w:tc>
      </w:tr>
      <w:tr>
        <w:trPr>
          <w:trHeight w:val="1393" w:hRule="atLeast"/>
        </w:trPr>
        <w:tc>
          <w:tcPr>
            <w:tcW w:w="1279"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1115"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Podielové CP a podiely v DÚJ</w:t>
            </w:r>
          </w:p>
        </w:tc>
        <w:tc>
          <w:tcPr>
            <w:tcW w:w="1066"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Podielové </w:t>
              <w:br/>
              <w:t xml:space="preserve">CP a podiely </w:t>
              <w:br/>
              <w:t>v spoloč-nosti s pods-tatným vplyvom</w:t>
            </w:r>
          </w:p>
        </w:tc>
        <w:tc>
          <w:tcPr>
            <w:tcW w:w="1017" w:type="dxa"/>
            <w:gridSpan w:val="3"/>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Ostatné dlhodobé CP a podiely</w:t>
            </w:r>
          </w:p>
        </w:tc>
        <w:tc>
          <w:tcPr>
            <w:tcW w:w="840" w:type="dxa"/>
            <w:gridSpan w:val="3"/>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Pôžičky ÚJ </w:t>
              <w:br/>
              <w:t>v kons. celku</w:t>
            </w:r>
          </w:p>
        </w:tc>
        <w:tc>
          <w:tcPr>
            <w:tcW w:w="695"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Ostat-ný DFM</w:t>
            </w:r>
          </w:p>
        </w:tc>
        <w:tc>
          <w:tcPr>
            <w:tcW w:w="831"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Pôžičky s  dobou splat-nosti najviac jeden rok</w:t>
            </w:r>
          </w:p>
        </w:tc>
        <w:tc>
          <w:tcPr>
            <w:tcW w:w="650"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Ob-stará-vaný </w:t>
              <w:br/>
              <w:t>DFM</w:t>
            </w:r>
          </w:p>
        </w:tc>
        <w:tc>
          <w:tcPr>
            <w:tcW w:w="872" w:type="dxa"/>
            <w:gridSpan w:val="4"/>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Poskyt-nuté pred-davky na </w:t>
            </w:r>
          </w:p>
          <w:p>
            <w:pPr>
              <w:pStyle w:val="TopHeader"/>
              <w:rPr/>
            </w:pPr>
            <w:r>
              <w:rPr/>
              <w:t>DFM</w:t>
            </w:r>
          </w:p>
        </w:tc>
        <w:tc>
          <w:tcPr>
            <w:tcW w:w="706" w:type="dxa"/>
            <w:gridSpan w:val="4"/>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Spolu</w:t>
            </w:r>
          </w:p>
        </w:tc>
      </w:tr>
      <w:tr>
        <w:trPr>
          <w:trHeight w:val="195" w:hRule="atLeast"/>
        </w:trPr>
        <w:tc>
          <w:tcPr>
            <w:tcW w:w="127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A</w:t>
            </w:r>
          </w:p>
        </w:tc>
        <w:tc>
          <w:tcPr>
            <w:tcW w:w="111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b</w:t>
            </w:r>
          </w:p>
        </w:tc>
        <w:tc>
          <w:tcPr>
            <w:tcW w:w="106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C</w:t>
            </w:r>
          </w:p>
        </w:tc>
        <w:tc>
          <w:tcPr>
            <w:tcW w:w="1017"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d</w:t>
            </w:r>
          </w:p>
        </w:tc>
        <w:tc>
          <w:tcPr>
            <w:tcW w:w="840"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E</w:t>
            </w:r>
          </w:p>
        </w:tc>
        <w:tc>
          <w:tcPr>
            <w:tcW w:w="695"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f</w:t>
            </w:r>
          </w:p>
        </w:tc>
        <w:tc>
          <w:tcPr>
            <w:tcW w:w="831"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g</w:t>
            </w:r>
          </w:p>
        </w:tc>
        <w:tc>
          <w:tcPr>
            <w:tcW w:w="650"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h</w:t>
            </w:r>
          </w:p>
        </w:tc>
        <w:tc>
          <w:tcPr>
            <w:tcW w:w="872" w:type="dxa"/>
            <w:gridSpan w:val="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i</w:t>
            </w:r>
          </w:p>
        </w:tc>
        <w:tc>
          <w:tcPr>
            <w:tcW w:w="706" w:type="dxa"/>
            <w:gridSpan w:val="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TopHeader"/>
              <w:rPr>
                <w:b w:val="false"/>
                <w:b w:val="false"/>
              </w:rPr>
            </w:pPr>
            <w:r>
              <w:rPr>
                <w:b w:val="false"/>
              </w:rPr>
              <w:t>j</w:t>
            </w:r>
          </w:p>
        </w:tc>
      </w:tr>
      <w:tr>
        <w:trPr>
          <w:trHeight w:val="278" w:hRule="atLeast"/>
        </w:trPr>
        <w:tc>
          <w:tcPr>
            <w:tcW w:w="9071" w:type="dxa"/>
            <w:gridSpan w:val="2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Prvotné ocenenie</w:t>
            </w:r>
          </w:p>
        </w:tc>
      </w:tr>
      <w:tr>
        <w:trPr>
          <w:trHeight w:val="278" w:hRule="atLeast"/>
        </w:trPr>
        <w:tc>
          <w:tcPr>
            <w:tcW w:w="1279"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začiatku účtovného obdobia</w:t>
            </w:r>
          </w:p>
        </w:tc>
        <w:tc>
          <w:tcPr>
            <w:tcW w:w="1115"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066"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7"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0"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4" w:type="dxa"/>
            <w:gridSpan w:val="5"/>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9"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2"/>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06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4"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9"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06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4"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9"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06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4"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9"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1279"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066"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7"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0"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4" w:type="dxa"/>
            <w:gridSpan w:val="5"/>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9"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2"/>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9071" w:type="dxa"/>
            <w:gridSpan w:val="2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Opravné položky</w:t>
            </w:r>
          </w:p>
        </w:tc>
      </w:tr>
      <w:tr>
        <w:trPr>
          <w:trHeight w:val="278" w:hRule="atLeast"/>
        </w:trPr>
        <w:tc>
          <w:tcPr>
            <w:tcW w:w="1279"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w:t>
            </w:r>
          </w:p>
          <w:p>
            <w:pPr>
              <w:pStyle w:val="Normal"/>
              <w:spacing w:lineRule="auto" w:line="240" w:before="0" w:after="0"/>
              <w:rPr>
                <w:b/>
                <w:b/>
                <w:bCs/>
                <w:szCs w:val="22"/>
              </w:rPr>
            </w:pPr>
            <w:r>
              <w:rPr>
                <w:b/>
                <w:bCs/>
                <w:szCs w:val="22"/>
              </w:rPr>
              <w:t>na začiatku účtovného obdobia</w:t>
            </w:r>
          </w:p>
        </w:tc>
        <w:tc>
          <w:tcPr>
            <w:tcW w:w="1115"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2"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4"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1"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1" w:type="dxa"/>
            <w:gridSpan w:val="6"/>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3"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40"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2"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4"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1"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3"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2"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4"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1"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3"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2"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4"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1"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3"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1279"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2"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4"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1"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1" w:type="dxa"/>
            <w:gridSpan w:val="6"/>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3"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9071" w:type="dxa"/>
            <w:gridSpan w:val="2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Účtovná hodnota </w:t>
            </w:r>
          </w:p>
        </w:tc>
      </w:tr>
      <w:tr>
        <w:trPr>
          <w:trHeight w:val="278" w:hRule="atLeast"/>
        </w:trPr>
        <w:tc>
          <w:tcPr>
            <w:tcW w:w="1279"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w:t>
            </w:r>
          </w:p>
          <w:p>
            <w:pPr>
              <w:pStyle w:val="Normal"/>
              <w:spacing w:lineRule="auto" w:line="240" w:before="0" w:after="0"/>
              <w:rPr>
                <w:b/>
                <w:b/>
                <w:bCs/>
                <w:szCs w:val="22"/>
              </w:rPr>
            </w:pPr>
            <w:r>
              <w:rPr>
                <w:b/>
                <w:bCs/>
                <w:szCs w:val="22"/>
              </w:rPr>
              <w:t>na začiatku účtovného obdobia</w:t>
            </w:r>
          </w:p>
        </w:tc>
        <w:tc>
          <w:tcPr>
            <w:tcW w:w="1115"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0"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38"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6"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3" w:type="dxa"/>
            <w:gridSpan w:val="5"/>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60"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3"/>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90" w:hRule="atLeast"/>
        </w:trPr>
        <w:tc>
          <w:tcPr>
            <w:tcW w:w="1279"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0"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38"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6"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3" w:type="dxa"/>
            <w:gridSpan w:val="5"/>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60"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3"/>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Opravné položky podľa zložiek dlhodobého finančného majetku</w:t>
      </w:r>
    </w:p>
    <w:p>
      <w:pPr>
        <w:pStyle w:val="Normal"/>
        <w:spacing w:lineRule="auto" w:line="240" w:before="0" w:after="0"/>
        <w:ind w:left="720" w:hanging="0"/>
        <w:jc w:val="both"/>
        <w:rPr>
          <w:rFonts w:ascii="Arial" w:hAnsi="Arial"/>
          <w:sz w:val="24"/>
          <w:szCs w:val="24"/>
          <w:lang w:eastAsia="sk-SK"/>
        </w:rPr>
      </w:pPr>
      <w:r>
        <w:rPr>
          <w:rFonts w:ascii="Arial" w:hAnsi="Arial"/>
          <w:sz w:val="24"/>
          <w:szCs w:val="24"/>
          <w:lang w:eastAsia="sk-SK"/>
        </w:rPr>
        <w:t xml:space="preserve">Spoločnosť nevytvorila opravné položky k dlhodobému finančnému majetku </w:t>
      </w:r>
    </w:p>
    <w:tbl>
      <w:tblPr>
        <w:tblW w:w="9274" w:type="dxa"/>
        <w:jc w:val="center"/>
        <w:tblInd w:w="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top w:w="0" w:type="dxa"/>
          <w:left w:w="-4" w:type="dxa"/>
          <w:bottom w:w="0" w:type="dxa"/>
          <w:right w:w="43" w:type="dxa"/>
        </w:tblCellMar>
        <w:tblLook w:val="0000"/>
      </w:tblPr>
      <w:tblGrid>
        <w:gridCol w:w="4074"/>
        <w:gridCol w:w="985"/>
        <w:gridCol w:w="986"/>
        <w:gridCol w:w="986"/>
        <w:gridCol w:w="986"/>
        <w:gridCol w:w="1256"/>
      </w:tblGrid>
      <w:tr>
        <w:trPr>
          <w:cantSplit w:val="true"/>
        </w:trPr>
        <w:tc>
          <w:tcPr>
            <w:tcW w:w="9273"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t>Pohyb opravných položiek dlhodobého finančného majetku</w:t>
            </w:r>
          </w:p>
        </w:tc>
      </w:tr>
      <w:tr>
        <w:trPr>
          <w:cantSplit w:val="true"/>
        </w:trPr>
        <w:tc>
          <w:tcPr>
            <w:tcW w:w="40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center"/>
              <w:rPr>
                <w:rFonts w:ascii="Arial" w:hAnsi="Arial" w:cs="Arial"/>
                <w:color w:val="000000"/>
                <w:sz w:val="18"/>
                <w:szCs w:val="20"/>
                <w:lang w:eastAsia="sk-SK"/>
              </w:rPr>
            </w:pPr>
            <w:r>
              <w:rPr>
                <w:rFonts w:cs="Arial" w:ascii="Arial" w:hAnsi="Arial"/>
                <w:color w:val="000000"/>
                <w:sz w:val="18"/>
                <w:szCs w:val="20"/>
                <w:lang w:eastAsia="sk-SK"/>
              </w:rPr>
              <w:t>Druh majetku</w:t>
            </w:r>
          </w:p>
        </w:tc>
        <w:tc>
          <w:tcPr>
            <w:tcW w:w="9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center"/>
              <w:rPr>
                <w:rFonts w:ascii="Arial" w:hAnsi="Arial" w:cs="Arial"/>
                <w:color w:val="000000"/>
                <w:sz w:val="18"/>
                <w:szCs w:val="20"/>
                <w:lang w:eastAsia="sk-SK"/>
              </w:rPr>
            </w:pPr>
            <w:r>
              <w:rPr>
                <w:rFonts w:cs="Arial" w:ascii="Arial" w:hAnsi="Arial"/>
                <w:color w:val="000000"/>
                <w:sz w:val="18"/>
                <w:szCs w:val="20"/>
                <w:lang w:eastAsia="sk-SK"/>
              </w:rPr>
              <w:t>stav k 1.1</w:t>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center"/>
              <w:rPr>
                <w:rFonts w:ascii="Arial" w:hAnsi="Arial" w:cs="Arial"/>
                <w:color w:val="000000"/>
                <w:sz w:val="18"/>
                <w:szCs w:val="20"/>
                <w:lang w:eastAsia="sk-SK"/>
              </w:rPr>
            </w:pPr>
            <w:r>
              <w:rPr>
                <w:rFonts w:cs="Arial" w:ascii="Arial" w:hAnsi="Arial"/>
                <w:color w:val="000000"/>
                <w:sz w:val="18"/>
                <w:szCs w:val="20"/>
                <w:lang w:eastAsia="sk-SK"/>
              </w:rPr>
              <w:t>Prírastky</w:t>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center"/>
              <w:rPr>
                <w:rFonts w:ascii="Arial" w:hAnsi="Arial" w:cs="Arial"/>
                <w:color w:val="000000"/>
                <w:sz w:val="18"/>
                <w:szCs w:val="20"/>
                <w:lang w:eastAsia="sk-SK"/>
              </w:rPr>
            </w:pPr>
            <w:r>
              <w:rPr>
                <w:rFonts w:cs="Arial" w:ascii="Arial" w:hAnsi="Arial"/>
                <w:color w:val="000000"/>
                <w:sz w:val="18"/>
                <w:szCs w:val="20"/>
                <w:lang w:eastAsia="sk-SK"/>
              </w:rPr>
              <w:t>Úbytky</w:t>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center"/>
              <w:rPr>
                <w:rFonts w:ascii="Arial" w:hAnsi="Arial" w:cs="Arial"/>
                <w:color w:val="000000"/>
                <w:sz w:val="18"/>
                <w:szCs w:val="20"/>
                <w:lang w:eastAsia="sk-SK"/>
              </w:rPr>
            </w:pPr>
            <w:r>
              <w:rPr>
                <w:rFonts w:cs="Arial" w:ascii="Arial" w:hAnsi="Arial"/>
                <w:color w:val="000000"/>
                <w:sz w:val="18"/>
                <w:szCs w:val="20"/>
                <w:lang w:eastAsia="sk-SK"/>
              </w:rPr>
              <w:t>Presuny</w:t>
            </w:r>
          </w:p>
        </w:tc>
        <w:tc>
          <w:tcPr>
            <w:tcW w:w="125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center"/>
              <w:rPr>
                <w:rFonts w:ascii="Arial" w:hAnsi="Arial" w:cs="Arial"/>
                <w:color w:val="000000"/>
                <w:sz w:val="18"/>
                <w:szCs w:val="20"/>
                <w:lang w:eastAsia="sk-SK"/>
              </w:rPr>
            </w:pPr>
            <w:r>
              <w:rPr>
                <w:rFonts w:cs="Arial" w:ascii="Arial" w:hAnsi="Arial"/>
                <w:color w:val="000000"/>
                <w:sz w:val="18"/>
                <w:szCs w:val="20"/>
                <w:lang w:eastAsia="sk-SK"/>
              </w:rPr>
              <w:t>stav k 31.12</w:t>
            </w:r>
          </w:p>
        </w:tc>
      </w:tr>
      <w:tr>
        <w:trPr>
          <w:cantSplit w:val="true"/>
        </w:trPr>
        <w:tc>
          <w:tcPr>
            <w:tcW w:w="40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rPr>
                <w:rFonts w:ascii="Arial" w:hAnsi="Arial" w:cs="Arial"/>
                <w:color w:val="000000"/>
                <w:sz w:val="20"/>
                <w:szCs w:val="20"/>
                <w:lang w:eastAsia="sk-SK"/>
              </w:rPr>
            </w:pPr>
            <w:r>
              <w:rPr>
                <w:rFonts w:cs="Arial" w:ascii="Arial" w:hAnsi="Arial"/>
                <w:color w:val="000000"/>
                <w:sz w:val="20"/>
                <w:szCs w:val="20"/>
                <w:lang w:eastAsia="sk-SK"/>
              </w:rPr>
              <w:t xml:space="preserve">Dlhodobý finančný majetok </w:t>
            </w:r>
          </w:p>
        </w:tc>
        <w:tc>
          <w:tcPr>
            <w:tcW w:w="9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125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40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rPr>
                <w:rFonts w:ascii="Arial" w:hAnsi="Arial" w:cs="Arial"/>
                <w:color w:val="000000"/>
                <w:sz w:val="20"/>
                <w:szCs w:val="20"/>
                <w:lang w:eastAsia="sk-SK"/>
              </w:rPr>
            </w:pPr>
            <w:r>
              <w:rPr>
                <w:rFonts w:cs="Arial" w:ascii="Arial" w:hAnsi="Arial"/>
                <w:color w:val="000000"/>
                <w:sz w:val="20"/>
                <w:szCs w:val="20"/>
                <w:lang w:eastAsia="sk-SK"/>
              </w:rPr>
              <w:t>Podielové cenné papiere a podiely v ovládanej osobe</w:t>
            </w:r>
          </w:p>
        </w:tc>
        <w:tc>
          <w:tcPr>
            <w:tcW w:w="9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125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40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rPr>
                <w:rFonts w:ascii="Arial" w:hAnsi="Arial" w:cs="Arial"/>
                <w:color w:val="000000"/>
                <w:sz w:val="20"/>
                <w:szCs w:val="20"/>
                <w:lang w:eastAsia="sk-SK"/>
              </w:rPr>
            </w:pPr>
            <w:r>
              <w:rPr>
                <w:rFonts w:cs="Arial" w:ascii="Arial" w:hAnsi="Arial"/>
                <w:color w:val="000000"/>
                <w:sz w:val="20"/>
                <w:szCs w:val="20"/>
                <w:lang w:eastAsia="sk-SK"/>
              </w:rPr>
              <w:t>Podielové cenné papiere a podiely v spoločnosti s podstatným vplyvom</w:t>
            </w:r>
          </w:p>
        </w:tc>
        <w:tc>
          <w:tcPr>
            <w:tcW w:w="9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125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40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rPr>
                <w:rFonts w:ascii="Arial" w:hAnsi="Arial" w:cs="Arial"/>
                <w:color w:val="000000"/>
                <w:sz w:val="20"/>
                <w:szCs w:val="20"/>
                <w:lang w:eastAsia="sk-SK"/>
              </w:rPr>
            </w:pPr>
            <w:r>
              <w:rPr>
                <w:rFonts w:cs="Arial" w:ascii="Arial" w:hAnsi="Arial"/>
                <w:color w:val="000000"/>
                <w:sz w:val="20"/>
                <w:szCs w:val="20"/>
                <w:lang w:eastAsia="sk-SK"/>
              </w:rPr>
              <w:t xml:space="preserve">Ostatné dlhodobé cenné papiere a podiely </w:t>
            </w:r>
          </w:p>
        </w:tc>
        <w:tc>
          <w:tcPr>
            <w:tcW w:w="9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125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40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rPr>
                <w:rFonts w:ascii="Arial" w:hAnsi="Arial" w:cs="Arial"/>
                <w:color w:val="000000"/>
                <w:sz w:val="20"/>
                <w:szCs w:val="20"/>
                <w:lang w:eastAsia="sk-SK"/>
              </w:rPr>
            </w:pPr>
            <w:r>
              <w:rPr>
                <w:rFonts w:cs="Arial" w:ascii="Arial" w:hAnsi="Arial"/>
                <w:color w:val="000000"/>
                <w:sz w:val="20"/>
                <w:szCs w:val="20"/>
                <w:lang w:eastAsia="sk-SK"/>
              </w:rPr>
              <w:t xml:space="preserve">Pôžičky účtovnej jednotke v konsolidovanom celku </w:t>
            </w:r>
          </w:p>
        </w:tc>
        <w:tc>
          <w:tcPr>
            <w:tcW w:w="9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125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40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rPr>
                <w:rFonts w:ascii="Arial" w:hAnsi="Arial" w:cs="Arial"/>
                <w:color w:val="000000"/>
                <w:sz w:val="20"/>
                <w:szCs w:val="20"/>
                <w:lang w:eastAsia="sk-SK"/>
              </w:rPr>
            </w:pPr>
            <w:r>
              <w:rPr>
                <w:rFonts w:cs="Arial" w:ascii="Arial" w:hAnsi="Arial"/>
                <w:color w:val="000000"/>
                <w:sz w:val="20"/>
                <w:szCs w:val="20"/>
                <w:lang w:eastAsia="sk-SK"/>
              </w:rPr>
              <w:t xml:space="preserve">Ostatný dlhodobý finančný majetok </w:t>
            </w:r>
          </w:p>
        </w:tc>
        <w:tc>
          <w:tcPr>
            <w:tcW w:w="9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125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40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rPr>
                <w:rFonts w:ascii="Arial" w:hAnsi="Arial" w:cs="Arial"/>
                <w:color w:val="000000"/>
                <w:sz w:val="20"/>
                <w:szCs w:val="20"/>
                <w:lang w:eastAsia="sk-SK"/>
              </w:rPr>
            </w:pPr>
            <w:r>
              <w:rPr>
                <w:rFonts w:cs="Arial" w:ascii="Arial" w:hAnsi="Arial"/>
                <w:color w:val="000000"/>
                <w:sz w:val="20"/>
                <w:szCs w:val="20"/>
                <w:lang w:eastAsia="sk-SK"/>
              </w:rPr>
              <w:t xml:space="preserve">Pôžičky s dobou splatnosti najviac jeden rok </w:t>
            </w:r>
          </w:p>
        </w:tc>
        <w:tc>
          <w:tcPr>
            <w:tcW w:w="9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125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40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rPr>
                <w:rFonts w:ascii="Arial" w:hAnsi="Arial" w:cs="Arial"/>
                <w:color w:val="000000"/>
                <w:sz w:val="20"/>
                <w:szCs w:val="20"/>
                <w:lang w:eastAsia="sk-SK"/>
              </w:rPr>
            </w:pPr>
            <w:r>
              <w:rPr>
                <w:rFonts w:cs="Arial" w:ascii="Arial" w:hAnsi="Arial"/>
                <w:color w:val="000000"/>
                <w:sz w:val="20"/>
                <w:szCs w:val="20"/>
                <w:lang w:eastAsia="sk-SK"/>
              </w:rPr>
              <w:t xml:space="preserve">Obstarávaný dlhodobý finančný majetok </w:t>
            </w:r>
          </w:p>
        </w:tc>
        <w:tc>
          <w:tcPr>
            <w:tcW w:w="9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125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40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rPr>
                <w:rFonts w:ascii="Arial" w:hAnsi="Arial" w:cs="Arial"/>
                <w:color w:val="000000"/>
                <w:sz w:val="20"/>
                <w:szCs w:val="20"/>
                <w:lang w:eastAsia="sk-SK"/>
              </w:rPr>
            </w:pPr>
            <w:r>
              <w:rPr>
                <w:rFonts w:cs="Arial" w:ascii="Arial" w:hAnsi="Arial"/>
                <w:color w:val="000000"/>
                <w:sz w:val="20"/>
                <w:szCs w:val="20"/>
                <w:lang w:eastAsia="sk-SK"/>
              </w:rPr>
              <w:t xml:space="preserve">Poskytnuté preddavky na dlhodobý finančný majetok </w:t>
            </w:r>
          </w:p>
        </w:tc>
        <w:tc>
          <w:tcPr>
            <w:tcW w:w="9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125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4"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bl>
    <w:p>
      <w:pPr>
        <w:pStyle w:val="Normal"/>
        <w:spacing w:lineRule="auto" w:line="240" w:before="0" w:after="0"/>
        <w:ind w:left="360" w:hanging="0"/>
        <w:jc w:val="both"/>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 xml:space="preserve">Zmeny v jednotlivých položkách dlhodobého finančného majetku </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t>Účtovná jednotka nemá dlhodobý finančný majetok</w:t>
      </w:r>
    </w:p>
    <w:p>
      <w:pPr>
        <w:pStyle w:val="Nzov"/>
        <w:keepNext/>
        <w:widowControl w:val="false"/>
        <w:numPr>
          <w:ilvl w:val="0"/>
          <w:numId w:val="2"/>
        </w:numPr>
        <w:spacing w:beforeAutospacing="0" w:before="0" w:after="0"/>
        <w:ind w:left="357" w:hanging="357"/>
        <w:jc w:val="left"/>
        <w:rPr>
          <w:szCs w:val="22"/>
        </w:rPr>
      </w:pPr>
      <w:r>
        <w:rPr>
          <w:szCs w:val="22"/>
        </w:rPr>
        <w:t xml:space="preserve">Informácie k prílohe č. 3 časti F. písm. j) a l) o dlhových CP držaných do splatnosti </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6" w:type="dxa"/>
          <w:bottom w:w="0" w:type="dxa"/>
          <w:right w:w="70" w:type="dxa"/>
        </w:tblCellMar>
        <w:tblLook w:val="00a0"/>
      </w:tblPr>
      <w:tblGrid>
        <w:gridCol w:w="2574"/>
        <w:gridCol w:w="700"/>
        <w:gridCol w:w="1232"/>
        <w:gridCol w:w="1093"/>
        <w:gridCol w:w="1092"/>
        <w:gridCol w:w="1365"/>
        <w:gridCol w:w="1015"/>
      </w:tblGrid>
      <w:tr>
        <w:trPr>
          <w:trHeight w:val="644" w:hRule="atLeast"/>
        </w:trPr>
        <w:tc>
          <w:tcPr>
            <w:tcW w:w="2574"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Dlhové CP</w:t>
              <w:br/>
              <w:t xml:space="preserve"> držané do splatnosti</w:t>
            </w:r>
          </w:p>
        </w:tc>
        <w:tc>
          <w:tcPr>
            <w:tcW w:w="700"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Druh CP</w:t>
            </w:r>
          </w:p>
        </w:tc>
        <w:tc>
          <w:tcPr>
            <w:tcW w:w="1232"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Stav na začiatku účtovného obdobia</w:t>
            </w:r>
          </w:p>
        </w:tc>
        <w:tc>
          <w:tcPr>
            <w:tcW w:w="1093"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Zvýšenie hodnoty</w:t>
            </w:r>
          </w:p>
        </w:tc>
        <w:tc>
          <w:tcPr>
            <w:tcW w:w="1092"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Zníženie hodnoty</w:t>
            </w:r>
          </w:p>
        </w:tc>
        <w:tc>
          <w:tcPr>
            <w:tcW w:w="1365"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 xml:space="preserve">Vyradenie dlhového CP z účtovníctva </w:t>
            </w:r>
          </w:p>
          <w:p>
            <w:pPr>
              <w:pStyle w:val="TopHeader"/>
              <w:rPr/>
            </w:pPr>
            <w:r>
              <w:rPr/>
              <w:t>v účtovnom období</w:t>
            </w:r>
          </w:p>
        </w:tc>
        <w:tc>
          <w:tcPr>
            <w:tcW w:w="1015"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Stav </w:t>
              <w:br/>
              <w:t>na konci účtov-ného obdobia</w:t>
            </w:r>
          </w:p>
        </w:tc>
      </w:tr>
      <w:tr>
        <w:trPr>
          <w:trHeight w:val="227" w:hRule="exact"/>
        </w:trPr>
        <w:tc>
          <w:tcPr>
            <w:tcW w:w="257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a</w:t>
            </w:r>
          </w:p>
        </w:tc>
        <w:tc>
          <w:tcPr>
            <w:tcW w:w="70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B</w:t>
            </w:r>
          </w:p>
        </w:tc>
        <w:tc>
          <w:tcPr>
            <w:tcW w:w="123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c</w:t>
            </w:r>
          </w:p>
        </w:tc>
        <w:tc>
          <w:tcPr>
            <w:tcW w:w="109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d</w:t>
            </w:r>
          </w:p>
        </w:tc>
        <w:tc>
          <w:tcPr>
            <w:tcW w:w="109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e</w:t>
            </w:r>
          </w:p>
        </w:tc>
        <w:tc>
          <w:tcPr>
            <w:tcW w:w="136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f</w:t>
            </w:r>
          </w:p>
        </w:tc>
        <w:tc>
          <w:tcPr>
            <w:tcW w:w="101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G</w:t>
            </w:r>
          </w:p>
        </w:tc>
      </w:tr>
      <w:tr>
        <w:trPr>
          <w:trHeight w:val="340" w:hRule="atLeast"/>
        </w:trPr>
        <w:tc>
          <w:tcPr>
            <w:tcW w:w="2574"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Do splatnosti viac ako päť rokov</w:t>
            </w:r>
          </w:p>
        </w:tc>
        <w:tc>
          <w:tcPr>
            <w:tcW w:w="700"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6" w:type="dxa"/>
            </w:tcMar>
            <w:vAlign w:val="center"/>
          </w:tcPr>
          <w:p>
            <w:pPr>
              <w:pStyle w:val="Normal"/>
              <w:spacing w:lineRule="auto" w:line="240" w:before="0" w:after="0"/>
              <w:rPr>
                <w:szCs w:val="22"/>
              </w:rPr>
            </w:pPr>
            <w:r>
              <w:rPr>
                <w:szCs w:val="22"/>
              </w:rPr>
            </w:r>
          </w:p>
        </w:tc>
        <w:tc>
          <w:tcPr>
            <w:tcW w:w="123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09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09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365"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015"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36" w:type="dxa"/>
            </w:tcMar>
            <w:vAlign w:val="center"/>
          </w:tcPr>
          <w:p>
            <w:pPr>
              <w:pStyle w:val="Normal"/>
              <w:spacing w:lineRule="auto" w:line="240" w:before="0" w:after="0"/>
              <w:rPr>
                <w:szCs w:val="22"/>
              </w:rPr>
            </w:pPr>
            <w:r>
              <w:rPr>
                <w:szCs w:val="22"/>
              </w:rPr>
            </w:r>
          </w:p>
        </w:tc>
      </w:tr>
      <w:tr>
        <w:trPr/>
        <w:tc>
          <w:tcPr>
            <w:tcW w:w="2574"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Do splatnosti  viac ako tri roky a najviac päť rokov vrátane</w:t>
            </w:r>
          </w:p>
        </w:tc>
        <w:tc>
          <w:tcPr>
            <w:tcW w:w="700"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6" w:type="dxa"/>
            </w:tcMar>
            <w:vAlign w:val="center"/>
          </w:tcPr>
          <w:p>
            <w:pPr>
              <w:pStyle w:val="Normal"/>
              <w:spacing w:lineRule="auto" w:line="240" w:before="0" w:after="0"/>
              <w:rPr>
                <w:szCs w:val="22"/>
              </w:rPr>
            </w:pPr>
            <w:r>
              <w:rPr>
                <w:szCs w:val="22"/>
              </w:rPr>
            </w:r>
          </w:p>
        </w:tc>
        <w:tc>
          <w:tcPr>
            <w:tcW w:w="123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09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09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36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015"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36" w:type="dxa"/>
            </w:tcMar>
            <w:vAlign w:val="center"/>
          </w:tcPr>
          <w:p>
            <w:pPr>
              <w:pStyle w:val="Normal"/>
              <w:spacing w:lineRule="auto" w:line="240" w:before="0" w:after="0"/>
              <w:rPr>
                <w:szCs w:val="22"/>
              </w:rPr>
            </w:pPr>
            <w:r>
              <w:rPr>
                <w:szCs w:val="22"/>
              </w:rPr>
            </w:r>
          </w:p>
        </w:tc>
      </w:tr>
      <w:tr>
        <w:trPr/>
        <w:tc>
          <w:tcPr>
            <w:tcW w:w="2574"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Do splatnosti viac ako jeden rok a najviac tri roky vrátane</w:t>
            </w:r>
          </w:p>
        </w:tc>
        <w:tc>
          <w:tcPr>
            <w:tcW w:w="700"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6" w:type="dxa"/>
            </w:tcMar>
            <w:vAlign w:val="center"/>
          </w:tcPr>
          <w:p>
            <w:pPr>
              <w:pStyle w:val="Normal"/>
              <w:spacing w:lineRule="auto" w:line="240" w:before="0" w:after="0"/>
              <w:rPr>
                <w:szCs w:val="22"/>
              </w:rPr>
            </w:pPr>
            <w:r>
              <w:rPr>
                <w:szCs w:val="22"/>
              </w:rPr>
            </w:r>
          </w:p>
        </w:tc>
        <w:tc>
          <w:tcPr>
            <w:tcW w:w="123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09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09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36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015"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36" w:type="dxa"/>
            </w:tcMar>
            <w:vAlign w:val="center"/>
          </w:tcPr>
          <w:p>
            <w:pPr>
              <w:pStyle w:val="Normal"/>
              <w:spacing w:lineRule="auto" w:line="240" w:before="0" w:after="0"/>
              <w:rPr>
                <w:szCs w:val="22"/>
              </w:rPr>
            </w:pPr>
            <w:r>
              <w:rPr>
                <w:szCs w:val="22"/>
              </w:rPr>
            </w:r>
          </w:p>
        </w:tc>
      </w:tr>
      <w:tr>
        <w:trPr/>
        <w:tc>
          <w:tcPr>
            <w:tcW w:w="2574"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Do splatnosti do jedného roka vrátane</w:t>
            </w:r>
          </w:p>
        </w:tc>
        <w:tc>
          <w:tcPr>
            <w:tcW w:w="700"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6" w:type="dxa"/>
            </w:tcMar>
            <w:vAlign w:val="center"/>
          </w:tcPr>
          <w:p>
            <w:pPr>
              <w:pStyle w:val="Normal"/>
              <w:spacing w:lineRule="auto" w:line="240" w:before="0" w:after="0"/>
              <w:rPr>
                <w:szCs w:val="22"/>
              </w:rPr>
            </w:pPr>
            <w:r>
              <w:rPr>
                <w:szCs w:val="22"/>
              </w:rPr>
            </w:r>
          </w:p>
        </w:tc>
        <w:tc>
          <w:tcPr>
            <w:tcW w:w="123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09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09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36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36" w:type="dxa"/>
            </w:tcMar>
            <w:vAlign w:val="center"/>
          </w:tcPr>
          <w:p>
            <w:pPr>
              <w:pStyle w:val="Normal"/>
              <w:spacing w:lineRule="auto" w:line="240" w:before="0" w:after="0"/>
              <w:rPr>
                <w:szCs w:val="22"/>
              </w:rPr>
            </w:pPr>
            <w:r>
              <w:rPr>
                <w:szCs w:val="22"/>
              </w:rPr>
            </w:r>
          </w:p>
        </w:tc>
        <w:tc>
          <w:tcPr>
            <w:tcW w:w="1015"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36" w:type="dxa"/>
            </w:tcMar>
            <w:vAlign w:val="center"/>
          </w:tcPr>
          <w:p>
            <w:pPr>
              <w:pStyle w:val="Normal"/>
              <w:spacing w:lineRule="auto" w:line="240" w:before="0" w:after="0"/>
              <w:rPr>
                <w:szCs w:val="22"/>
              </w:rPr>
            </w:pPr>
            <w:r>
              <w:rPr>
                <w:szCs w:val="22"/>
              </w:rPr>
            </w:r>
          </w:p>
        </w:tc>
      </w:tr>
      <w:tr>
        <w:trPr/>
        <w:tc>
          <w:tcPr>
            <w:tcW w:w="2574"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b/>
                <w:b/>
                <w:szCs w:val="22"/>
              </w:rPr>
            </w:pPr>
            <w:r>
              <w:rPr>
                <w:b/>
                <w:szCs w:val="22"/>
              </w:rPr>
              <w:t>Dlhové CP držané do splatnosti spolu</w:t>
            </w:r>
          </w:p>
        </w:tc>
        <w:tc>
          <w:tcPr>
            <w:tcW w:w="700"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6" w:type="dxa"/>
            </w:tcMar>
            <w:vAlign w:val="center"/>
          </w:tcPr>
          <w:p>
            <w:pPr>
              <w:pStyle w:val="Normal"/>
              <w:spacing w:lineRule="auto" w:line="240" w:before="0" w:after="0"/>
              <w:jc w:val="center"/>
              <w:rPr>
                <w:szCs w:val="22"/>
              </w:rPr>
            </w:pPr>
            <w:r>
              <w:rPr>
                <w:szCs w:val="22"/>
              </w:rPr>
              <w:t>X</w:t>
            </w:r>
          </w:p>
        </w:tc>
        <w:tc>
          <w:tcPr>
            <w:tcW w:w="123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36" w:type="dxa"/>
            </w:tcMar>
            <w:vAlign w:val="center"/>
          </w:tcPr>
          <w:p>
            <w:pPr>
              <w:pStyle w:val="Normal"/>
              <w:spacing w:lineRule="auto" w:line="240" w:before="0" w:after="0"/>
              <w:rPr>
                <w:b/>
                <w:b/>
                <w:szCs w:val="22"/>
              </w:rPr>
            </w:pPr>
            <w:r>
              <w:rPr>
                <w:b/>
                <w:szCs w:val="22"/>
              </w:rPr>
            </w:r>
          </w:p>
        </w:tc>
        <w:tc>
          <w:tcPr>
            <w:tcW w:w="109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36" w:type="dxa"/>
            </w:tcMar>
            <w:vAlign w:val="center"/>
          </w:tcPr>
          <w:p>
            <w:pPr>
              <w:pStyle w:val="Normal"/>
              <w:spacing w:lineRule="auto" w:line="240" w:before="0" w:after="0"/>
              <w:rPr>
                <w:b/>
                <w:b/>
                <w:szCs w:val="22"/>
              </w:rPr>
            </w:pPr>
            <w:r>
              <w:rPr>
                <w:b/>
                <w:szCs w:val="22"/>
              </w:rPr>
            </w:r>
          </w:p>
        </w:tc>
        <w:tc>
          <w:tcPr>
            <w:tcW w:w="109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36" w:type="dxa"/>
            </w:tcMar>
            <w:vAlign w:val="center"/>
          </w:tcPr>
          <w:p>
            <w:pPr>
              <w:pStyle w:val="Normal"/>
              <w:spacing w:lineRule="auto" w:line="240" w:before="0" w:after="0"/>
              <w:rPr>
                <w:b/>
                <w:b/>
                <w:szCs w:val="22"/>
              </w:rPr>
            </w:pPr>
            <w:r>
              <w:rPr>
                <w:b/>
                <w:szCs w:val="22"/>
              </w:rPr>
            </w:r>
          </w:p>
        </w:tc>
        <w:tc>
          <w:tcPr>
            <w:tcW w:w="1365"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36" w:type="dxa"/>
            </w:tcMar>
            <w:vAlign w:val="center"/>
          </w:tcPr>
          <w:p>
            <w:pPr>
              <w:pStyle w:val="Normal"/>
              <w:spacing w:lineRule="auto" w:line="240" w:before="0" w:after="0"/>
              <w:rPr>
                <w:b/>
                <w:b/>
                <w:szCs w:val="22"/>
              </w:rPr>
            </w:pPr>
            <w:r>
              <w:rPr>
                <w:b/>
                <w:szCs w:val="22"/>
              </w:rPr>
            </w:r>
          </w:p>
        </w:tc>
        <w:tc>
          <w:tcPr>
            <w:tcW w:w="1015"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36" w:type="dxa"/>
            </w:tcMar>
            <w:vAlign w:val="center"/>
          </w:tcPr>
          <w:p>
            <w:pPr>
              <w:pStyle w:val="Normal"/>
              <w:spacing w:lineRule="auto" w:line="240" w:before="0" w:after="0"/>
              <w:rPr>
                <w:b/>
                <w:b/>
                <w:szCs w:val="22"/>
              </w:rPr>
            </w:pPr>
            <w:r>
              <w:rPr>
                <w:b/>
                <w:szCs w:val="22"/>
              </w:rPr>
            </w:r>
          </w:p>
        </w:tc>
      </w:tr>
    </w:tbl>
    <w:p>
      <w:pPr>
        <w:pStyle w:val="Normal"/>
        <w:spacing w:lineRule="auto" w:line="240" w:before="0" w:after="120"/>
        <w:rPr>
          <w:szCs w:val="22"/>
        </w:rPr>
      </w:pPr>
      <w:r>
        <w:rPr>
          <w:szCs w:val="22"/>
        </w:rPr>
      </w:r>
    </w:p>
    <w:p>
      <w:pPr>
        <w:pStyle w:val="Nzov"/>
        <w:keepNext/>
        <w:widowControl w:val="false"/>
        <w:numPr>
          <w:ilvl w:val="0"/>
          <w:numId w:val="2"/>
        </w:numPr>
        <w:spacing w:beforeAutospacing="0" w:before="0" w:after="0"/>
        <w:jc w:val="left"/>
        <w:rPr>
          <w:szCs w:val="22"/>
        </w:rPr>
      </w:pPr>
      <w:r>
        <w:rPr>
          <w:szCs w:val="22"/>
        </w:rPr>
        <w:t>Informácie k prílohe č. 3 časti F. písm. j) a l) o poskytnutých dlhodobých pôžičkách</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6" w:type="dxa"/>
          <w:bottom w:w="0" w:type="dxa"/>
          <w:right w:w="70" w:type="dxa"/>
        </w:tblCellMar>
        <w:tblLook w:val="00a0"/>
      </w:tblPr>
      <w:tblGrid>
        <w:gridCol w:w="2733"/>
        <w:gridCol w:w="1397"/>
        <w:gridCol w:w="1093"/>
        <w:gridCol w:w="1064"/>
        <w:gridCol w:w="1460"/>
        <w:gridCol w:w="1324"/>
      </w:tblGrid>
      <w:tr>
        <w:trPr>
          <w:trHeight w:val="996" w:hRule="atLeast"/>
        </w:trPr>
        <w:tc>
          <w:tcPr>
            <w:tcW w:w="2733"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Dlhodobé pôžičky</w:t>
            </w:r>
          </w:p>
        </w:tc>
        <w:tc>
          <w:tcPr>
            <w:tcW w:w="1397"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Stav </w:t>
              <w:br/>
              <w:t>na začiatku účtovného obdobia</w:t>
            </w:r>
          </w:p>
        </w:tc>
        <w:tc>
          <w:tcPr>
            <w:tcW w:w="1093"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Zvýšenie hodnoty</w:t>
            </w:r>
          </w:p>
        </w:tc>
        <w:tc>
          <w:tcPr>
            <w:tcW w:w="1064"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Zníženie hodnoty</w:t>
            </w:r>
          </w:p>
        </w:tc>
        <w:tc>
          <w:tcPr>
            <w:tcW w:w="1460"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Vyradenie pôžičky z účtovníctva v účtovnom období</w:t>
            </w:r>
          </w:p>
        </w:tc>
        <w:tc>
          <w:tcPr>
            <w:tcW w:w="1324"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Stav </w:t>
              <w:br/>
              <w:t>na konci účtovného obdobia</w:t>
            </w:r>
          </w:p>
        </w:tc>
      </w:tr>
      <w:tr>
        <w:trPr>
          <w:trHeight w:val="275" w:hRule="exact"/>
        </w:trPr>
        <w:tc>
          <w:tcPr>
            <w:tcW w:w="273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a</w:t>
            </w:r>
          </w:p>
        </w:tc>
        <w:tc>
          <w:tcPr>
            <w:tcW w:w="139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b</w:t>
            </w:r>
          </w:p>
        </w:tc>
        <w:tc>
          <w:tcPr>
            <w:tcW w:w="109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C</w:t>
            </w:r>
          </w:p>
        </w:tc>
        <w:tc>
          <w:tcPr>
            <w:tcW w:w="106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d</w:t>
            </w:r>
          </w:p>
        </w:tc>
        <w:tc>
          <w:tcPr>
            <w:tcW w:w="146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e</w:t>
            </w:r>
          </w:p>
        </w:tc>
        <w:tc>
          <w:tcPr>
            <w:tcW w:w="132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F</w:t>
            </w:r>
          </w:p>
        </w:tc>
      </w:tr>
      <w:tr>
        <w:trPr>
          <w:trHeight w:val="340" w:hRule="atLeast"/>
        </w:trPr>
        <w:tc>
          <w:tcPr>
            <w:tcW w:w="2733"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Do splatnosti viac ako päť rokov</w:t>
            </w:r>
          </w:p>
        </w:tc>
        <w:tc>
          <w:tcPr>
            <w:tcW w:w="1397"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1093"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064"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460"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324"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c>
          <w:tcPr>
            <w:tcW w:w="273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 xml:space="preserve">Do splatnosti viac ako tri roky a najviac päť rokov vrátane </w:t>
            </w:r>
          </w:p>
        </w:tc>
        <w:tc>
          <w:tcPr>
            <w:tcW w:w="139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10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06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4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324"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c>
          <w:tcPr>
            <w:tcW w:w="273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Do splatnosti viac ako jeden rok a najviac tri roky vrátane</w:t>
            </w:r>
          </w:p>
        </w:tc>
        <w:tc>
          <w:tcPr>
            <w:tcW w:w="139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10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06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4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324"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rHeight w:val="431" w:hRule="atLeast"/>
        </w:trPr>
        <w:tc>
          <w:tcPr>
            <w:tcW w:w="273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Do splatnosti do jedného roka vrátane</w:t>
            </w:r>
          </w:p>
        </w:tc>
        <w:tc>
          <w:tcPr>
            <w:tcW w:w="139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10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06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4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324"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rHeight w:val="340" w:hRule="atLeast"/>
        </w:trPr>
        <w:tc>
          <w:tcPr>
            <w:tcW w:w="2733"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b/>
                <w:b/>
                <w:szCs w:val="22"/>
              </w:rPr>
            </w:pPr>
            <w:r>
              <w:rPr>
                <w:b/>
                <w:szCs w:val="22"/>
              </w:rPr>
              <w:t>Dlhodobé pôžičky spolu</w:t>
            </w:r>
          </w:p>
        </w:tc>
        <w:tc>
          <w:tcPr>
            <w:tcW w:w="1397"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6" w:type="dxa"/>
            </w:tcMar>
            <w:vAlign w:val="center"/>
          </w:tcPr>
          <w:p>
            <w:pPr>
              <w:pStyle w:val="Normal"/>
              <w:spacing w:lineRule="auto" w:line="240" w:before="0" w:after="0"/>
              <w:rPr>
                <w:b/>
                <w:b/>
                <w:szCs w:val="22"/>
              </w:rPr>
            </w:pPr>
            <w:r>
              <w:rPr>
                <w:b/>
                <w:szCs w:val="22"/>
              </w:rPr>
            </w:r>
          </w:p>
        </w:tc>
        <w:tc>
          <w:tcPr>
            <w:tcW w:w="1093"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4" w:type="dxa"/>
            </w:tcMar>
            <w:vAlign w:val="center"/>
          </w:tcPr>
          <w:p>
            <w:pPr>
              <w:pStyle w:val="Normal"/>
              <w:spacing w:lineRule="auto" w:line="240" w:before="0" w:after="0"/>
              <w:rPr>
                <w:b/>
                <w:b/>
                <w:szCs w:val="22"/>
              </w:rPr>
            </w:pPr>
            <w:r>
              <w:rPr>
                <w:b/>
                <w:szCs w:val="22"/>
              </w:rPr>
            </w:r>
          </w:p>
        </w:tc>
        <w:tc>
          <w:tcPr>
            <w:tcW w:w="1064"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4" w:type="dxa"/>
            </w:tcMar>
            <w:vAlign w:val="center"/>
          </w:tcPr>
          <w:p>
            <w:pPr>
              <w:pStyle w:val="Normal"/>
              <w:spacing w:lineRule="auto" w:line="240" w:before="0" w:after="0"/>
              <w:rPr>
                <w:b/>
                <w:b/>
                <w:szCs w:val="22"/>
              </w:rPr>
            </w:pPr>
            <w:r>
              <w:rPr>
                <w:b/>
                <w:szCs w:val="22"/>
              </w:rPr>
            </w:r>
          </w:p>
        </w:tc>
        <w:tc>
          <w:tcPr>
            <w:tcW w:w="1460"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4" w:type="dxa"/>
            </w:tcMar>
            <w:vAlign w:val="center"/>
          </w:tcPr>
          <w:p>
            <w:pPr>
              <w:pStyle w:val="Normal"/>
              <w:spacing w:lineRule="auto" w:line="240" w:before="0" w:after="0"/>
              <w:rPr>
                <w:b/>
                <w:b/>
                <w:szCs w:val="22"/>
              </w:rPr>
            </w:pPr>
            <w:r>
              <w:rPr>
                <w:b/>
                <w:szCs w:val="22"/>
              </w:rPr>
            </w:r>
          </w:p>
        </w:tc>
        <w:tc>
          <w:tcPr>
            <w:tcW w:w="1324"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54" w:type="dxa"/>
            </w:tcMar>
            <w:vAlign w:val="center"/>
          </w:tcPr>
          <w:p>
            <w:pPr>
              <w:pStyle w:val="Normal"/>
              <w:spacing w:lineRule="auto" w:line="240" w:before="0" w:after="0"/>
              <w:rPr>
                <w:b/>
                <w:b/>
                <w:szCs w:val="22"/>
              </w:rPr>
            </w:pPr>
            <w:r>
              <w:rPr>
                <w:b/>
                <w:szCs w:val="22"/>
              </w:rPr>
            </w:r>
          </w:p>
        </w:tc>
      </w:tr>
    </w:tbl>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 xml:space="preserve">Dlhodobý finančný majetok, na ktorý je zriadené záložné právo  ÚJ nemá DFM                </w:t>
        <w:br/>
        <w:t>Dlhodobý finančný majetok, pri ktorom má účtovná jednotka obmedzené právo s ním nakladať  - ÚJ nemá takýto majetok</w:t>
      </w:r>
    </w:p>
    <w:p>
      <w:pPr>
        <w:pStyle w:val="Normal"/>
        <w:spacing w:lineRule="auto" w:line="240" w:before="0" w:after="0"/>
        <w:rPr>
          <w:rFonts w:ascii="Arial" w:hAnsi="Arial" w:cs="Arial"/>
          <w:sz w:val="24"/>
          <w:szCs w:val="24"/>
          <w:lang w:eastAsia="sk-SK"/>
        </w:rPr>
      </w:pPr>
      <w:r>
        <w:rPr>
          <w:rFonts w:cs="Arial" w:ascii="Arial" w:hAnsi="Arial"/>
          <w:sz w:val="24"/>
          <w:szCs w:val="24"/>
          <w:lang w:eastAsia="sk-SK"/>
        </w:rPr>
      </w:r>
    </w:p>
    <w:p>
      <w:pPr>
        <w:pStyle w:val="Normal"/>
        <w:spacing w:lineRule="auto" w:line="240" w:before="0" w:after="0"/>
        <w:rPr>
          <w:rFonts w:ascii="Arial" w:hAnsi="Arial" w:cs="Arial"/>
          <w:sz w:val="24"/>
          <w:szCs w:val="24"/>
          <w:lang w:eastAsia="sk-SK"/>
        </w:rPr>
      </w:pPr>
      <w:r>
        <w:rPr>
          <w:rFonts w:cs="Arial" w:ascii="Arial" w:hAnsi="Arial"/>
          <w:sz w:val="24"/>
          <w:szCs w:val="24"/>
          <w:lang w:eastAsia="sk-SK"/>
        </w:rPr>
      </w:r>
    </w:p>
    <w:p>
      <w:pPr>
        <w:pStyle w:val="Nzov"/>
        <w:keepNext/>
        <w:widowControl w:val="false"/>
        <w:numPr>
          <w:ilvl w:val="0"/>
          <w:numId w:val="2"/>
        </w:numPr>
        <w:spacing w:beforeAutospacing="0" w:before="0" w:after="0"/>
        <w:jc w:val="left"/>
        <w:rPr>
          <w:bCs w:val="false"/>
          <w:szCs w:val="22"/>
        </w:rPr>
      </w:pPr>
      <w:r>
        <w:rPr>
          <w:bCs w:val="false"/>
          <w:szCs w:val="22"/>
        </w:rPr>
        <w:t>Informácie k </w:t>
      </w:r>
      <w:r>
        <w:rPr>
          <w:szCs w:val="22"/>
        </w:rPr>
        <w:t>prílohe č. 3 </w:t>
      </w:r>
      <w:r>
        <w:rPr>
          <w:bCs w:val="false"/>
          <w:szCs w:val="22"/>
        </w:rPr>
        <w:t xml:space="preserve">časti F. písm. m) o dlhodobom finančnom majetku </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6" w:type="dxa"/>
          <w:bottom w:w="0" w:type="dxa"/>
          <w:right w:w="70" w:type="dxa"/>
        </w:tblCellMar>
        <w:tblLook w:val="00a0"/>
      </w:tblPr>
      <w:tblGrid>
        <w:gridCol w:w="6211"/>
        <w:gridCol w:w="2860"/>
      </w:tblGrid>
      <w:tr>
        <w:trPr>
          <w:trHeight w:val="340" w:hRule="atLeast"/>
        </w:trPr>
        <w:tc>
          <w:tcPr>
            <w:tcW w:w="6211"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Dlhodobý finančný majetok</w:t>
            </w:r>
          </w:p>
        </w:tc>
        <w:tc>
          <w:tcPr>
            <w:tcW w:w="2860"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 xml:space="preserve">Hodnota </w:t>
            </w:r>
            <w:r>
              <w:rPr>
                <w:bCs w:val="false"/>
              </w:rPr>
              <w:t>za bežné účtovné obdobie</w:t>
            </w:r>
          </w:p>
        </w:tc>
      </w:tr>
      <w:tr>
        <w:trPr>
          <w:trHeight w:val="340" w:hRule="atLeast"/>
        </w:trPr>
        <w:tc>
          <w:tcPr>
            <w:tcW w:w="621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Dlhodobý finančný majetok, na ktorý je zriadené záložné právo</w:t>
            </w:r>
          </w:p>
        </w:tc>
        <w:tc>
          <w:tcPr>
            <w:tcW w:w="286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r>
          </w:p>
        </w:tc>
      </w:tr>
    </w:tbl>
    <w:p>
      <w:pPr>
        <w:pStyle w:val="Normal"/>
        <w:spacing w:lineRule="auto" w:line="240" w:before="0" w:after="0"/>
        <w:rPr>
          <w:rFonts w:ascii="Arial" w:hAnsi="Arial" w:cs="Arial"/>
          <w:sz w:val="24"/>
          <w:szCs w:val="24"/>
          <w:lang w:eastAsia="sk-SK"/>
        </w:rPr>
      </w:pPr>
      <w:r>
        <w:rPr>
          <w:rFonts w:cs="Arial" w:ascii="Arial" w:hAnsi="Arial"/>
          <w:sz w:val="24"/>
          <w:szCs w:val="24"/>
          <w:lang w:eastAsia="sk-SK"/>
        </w:rPr>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 xml:space="preserve">Ocenenie dlhodobého finančného majetku ku dňu, ku ktorému sa zostavuje účtovná závierka reálnou hodnotou alebo metódou vlastného imania </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t>ÚJ nemá dlhodobý finančný majetok</w:t>
      </w:r>
    </w:p>
    <w:p>
      <w:pPr>
        <w:pStyle w:val="Normal"/>
        <w:spacing w:lineRule="auto" w:line="240" w:before="0" w:after="0"/>
        <w:rPr>
          <w:rFonts w:ascii="Arial" w:hAnsi="Arial"/>
          <w:sz w:val="24"/>
          <w:szCs w:val="24"/>
          <w:lang w:eastAsia="sk-SK"/>
        </w:rPr>
      </w:pPr>
      <w:r>
        <w:rPr>
          <w:rFonts w:ascii="Arial" w:hAnsi="Arial"/>
          <w:sz w:val="24"/>
          <w:szCs w:val="24"/>
          <w:lang w:eastAsia="sk-SK"/>
        </w:rPr>
      </w:r>
    </w:p>
    <w:tbl>
      <w:tblPr>
        <w:tblW w:w="7711" w:type="dxa"/>
        <w:jc w:val="center"/>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83" w:type="dxa"/>
          <w:bottom w:w="0" w:type="dxa"/>
          <w:right w:w="108" w:type="dxa"/>
        </w:tblCellMar>
        <w:tblLook w:val="01e0"/>
      </w:tblPr>
      <w:tblGrid>
        <w:gridCol w:w="2268"/>
        <w:gridCol w:w="1842"/>
        <w:gridCol w:w="1681"/>
        <w:gridCol w:w="1919"/>
      </w:tblGrid>
      <w:tr>
        <w:trPr/>
        <w:tc>
          <w:tcPr>
            <w:tcW w:w="2268" w:type="dxa"/>
            <w:vMerge w:val="restart"/>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center"/>
              <w:rPr>
                <w:rFonts w:ascii="Arial" w:hAnsi="Arial"/>
                <w:szCs w:val="22"/>
                <w:lang w:eastAsia="sk-SK"/>
              </w:rPr>
            </w:pPr>
            <w:r>
              <w:rPr>
                <w:rFonts w:ascii="Arial" w:hAnsi="Arial"/>
                <w:szCs w:val="22"/>
                <w:lang w:eastAsia="sk-SK"/>
              </w:rPr>
              <w:t>Dlhodobý majetok</w:t>
            </w:r>
          </w:p>
        </w:tc>
        <w:tc>
          <w:tcPr>
            <w:tcW w:w="1842" w:type="dxa"/>
            <w:vMerge w:val="restart"/>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center"/>
              <w:rPr>
                <w:rFonts w:ascii="Arial" w:hAnsi="Arial"/>
                <w:szCs w:val="22"/>
                <w:lang w:eastAsia="sk-SK"/>
              </w:rPr>
            </w:pPr>
            <w:r>
              <w:rPr>
                <w:rFonts w:ascii="Arial" w:hAnsi="Arial"/>
                <w:szCs w:val="22"/>
                <w:lang w:eastAsia="sk-SK"/>
              </w:rPr>
              <w:t>Hodnota</w:t>
            </w:r>
          </w:p>
        </w:tc>
        <w:tc>
          <w:tcPr>
            <w:tcW w:w="3600"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center"/>
              <w:rPr>
                <w:rFonts w:ascii="Arial" w:hAnsi="Arial"/>
                <w:szCs w:val="22"/>
                <w:lang w:eastAsia="sk-SK"/>
              </w:rPr>
            </w:pPr>
            <w:r>
              <w:rPr>
                <w:rFonts w:ascii="Arial" w:hAnsi="Arial"/>
                <w:szCs w:val="22"/>
                <w:lang w:eastAsia="sk-SK"/>
              </w:rPr>
              <w:t>Vplyv ocenenia na :</w:t>
            </w:r>
          </w:p>
        </w:tc>
      </w:tr>
      <w:tr>
        <w:trPr/>
        <w:tc>
          <w:tcPr>
            <w:tcW w:w="226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center"/>
              <w:rPr>
                <w:rFonts w:ascii="Arial" w:hAnsi="Arial"/>
                <w:szCs w:val="22"/>
                <w:lang w:eastAsia="sk-SK"/>
              </w:rPr>
            </w:pPr>
            <w:r>
              <w:rPr>
                <w:rFonts w:ascii="Arial" w:hAnsi="Arial"/>
                <w:szCs w:val="22"/>
                <w:lang w:eastAsia="sk-SK"/>
              </w:rPr>
            </w:r>
          </w:p>
        </w:tc>
        <w:tc>
          <w:tcPr>
            <w:tcW w:w="1842"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center"/>
              <w:rPr>
                <w:rFonts w:ascii="Arial" w:hAnsi="Arial"/>
                <w:szCs w:val="22"/>
                <w:lang w:eastAsia="sk-SK"/>
              </w:rPr>
            </w:pPr>
            <w:r>
              <w:rPr>
                <w:rFonts w:ascii="Arial" w:hAnsi="Arial"/>
                <w:szCs w:val="22"/>
                <w:lang w:eastAsia="sk-SK"/>
              </w:rPr>
            </w:r>
          </w:p>
        </w:tc>
        <w:tc>
          <w:tcPr>
            <w:tcW w:w="168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center"/>
              <w:rPr>
                <w:rFonts w:ascii="Arial" w:hAnsi="Arial"/>
                <w:szCs w:val="22"/>
                <w:lang w:eastAsia="sk-SK"/>
              </w:rPr>
            </w:pPr>
            <w:r>
              <w:rPr>
                <w:rFonts w:ascii="Arial" w:hAnsi="Arial"/>
                <w:szCs w:val="22"/>
                <w:lang w:eastAsia="sk-SK"/>
              </w:rPr>
              <w:t>výsledok hospodárenia</w:t>
            </w:r>
          </w:p>
        </w:tc>
        <w:tc>
          <w:tcPr>
            <w:tcW w:w="191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center"/>
              <w:rPr>
                <w:rFonts w:ascii="Arial" w:hAnsi="Arial"/>
                <w:szCs w:val="22"/>
                <w:lang w:eastAsia="sk-SK"/>
              </w:rPr>
            </w:pPr>
            <w:r>
              <w:rPr>
                <w:rFonts w:ascii="Arial" w:hAnsi="Arial"/>
                <w:szCs w:val="22"/>
                <w:lang w:eastAsia="sk-SK"/>
              </w:rPr>
              <w:t>výšku vlastného imania</w:t>
            </w:r>
          </w:p>
        </w:tc>
      </w:tr>
      <w:tr>
        <w:trPr/>
        <w:tc>
          <w:tcPr>
            <w:tcW w:w="22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rPr>
                <w:rFonts w:ascii="Arial" w:hAnsi="Arial"/>
                <w:szCs w:val="22"/>
                <w:lang w:eastAsia="sk-SK"/>
              </w:rPr>
            </w:pPr>
            <w:r>
              <w:rPr>
                <w:rFonts w:ascii="Arial" w:hAnsi="Arial"/>
                <w:szCs w:val="22"/>
                <w:lang w:eastAsia="sk-SK"/>
              </w:rPr>
            </w:r>
          </w:p>
        </w:tc>
        <w:tc>
          <w:tcPr>
            <w:tcW w:w="184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right"/>
              <w:rPr>
                <w:rFonts w:ascii="Arial" w:hAnsi="Arial"/>
                <w:szCs w:val="22"/>
                <w:lang w:eastAsia="sk-SK"/>
              </w:rPr>
            </w:pPr>
            <w:r>
              <w:rPr>
                <w:rFonts w:ascii="Arial" w:hAnsi="Arial"/>
                <w:szCs w:val="22"/>
                <w:lang w:eastAsia="sk-SK"/>
              </w:rPr>
            </w:r>
          </w:p>
        </w:tc>
        <w:tc>
          <w:tcPr>
            <w:tcW w:w="168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right"/>
              <w:rPr>
                <w:rFonts w:ascii="Arial" w:hAnsi="Arial"/>
                <w:szCs w:val="22"/>
                <w:lang w:eastAsia="sk-SK"/>
              </w:rPr>
            </w:pPr>
            <w:r>
              <w:rPr>
                <w:rFonts w:ascii="Arial" w:hAnsi="Arial"/>
                <w:szCs w:val="22"/>
                <w:lang w:eastAsia="sk-SK"/>
              </w:rPr>
            </w:r>
          </w:p>
        </w:tc>
        <w:tc>
          <w:tcPr>
            <w:tcW w:w="191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right"/>
              <w:rPr>
                <w:rFonts w:ascii="Arial" w:hAnsi="Arial"/>
                <w:szCs w:val="22"/>
                <w:lang w:eastAsia="sk-SK"/>
              </w:rPr>
            </w:pPr>
            <w:r>
              <w:rPr>
                <w:rFonts w:ascii="Arial" w:hAnsi="Arial"/>
                <w:szCs w:val="22"/>
                <w:lang w:eastAsia="sk-SK"/>
              </w:rPr>
            </w:r>
          </w:p>
        </w:tc>
      </w:tr>
      <w:tr>
        <w:trPr/>
        <w:tc>
          <w:tcPr>
            <w:tcW w:w="22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rPr>
                <w:rFonts w:ascii="Arial" w:hAnsi="Arial"/>
                <w:szCs w:val="22"/>
                <w:lang w:eastAsia="sk-SK"/>
              </w:rPr>
            </w:pPr>
            <w:r>
              <w:rPr>
                <w:rFonts w:ascii="Arial" w:hAnsi="Arial"/>
                <w:szCs w:val="22"/>
                <w:lang w:eastAsia="sk-SK"/>
              </w:rPr>
            </w:r>
          </w:p>
        </w:tc>
        <w:tc>
          <w:tcPr>
            <w:tcW w:w="184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right"/>
              <w:rPr>
                <w:rFonts w:ascii="Arial" w:hAnsi="Arial"/>
                <w:szCs w:val="22"/>
                <w:lang w:eastAsia="sk-SK"/>
              </w:rPr>
            </w:pPr>
            <w:r>
              <w:rPr>
                <w:rFonts w:ascii="Arial" w:hAnsi="Arial"/>
                <w:szCs w:val="22"/>
                <w:lang w:eastAsia="sk-SK"/>
              </w:rPr>
            </w:r>
          </w:p>
        </w:tc>
        <w:tc>
          <w:tcPr>
            <w:tcW w:w="168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right"/>
              <w:rPr>
                <w:rFonts w:ascii="Arial" w:hAnsi="Arial"/>
                <w:szCs w:val="22"/>
                <w:lang w:eastAsia="sk-SK"/>
              </w:rPr>
            </w:pPr>
            <w:r>
              <w:rPr>
                <w:rFonts w:ascii="Arial" w:hAnsi="Arial"/>
                <w:szCs w:val="22"/>
                <w:lang w:eastAsia="sk-SK"/>
              </w:rPr>
            </w:r>
          </w:p>
        </w:tc>
        <w:tc>
          <w:tcPr>
            <w:tcW w:w="191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right"/>
              <w:rPr>
                <w:rFonts w:ascii="Arial" w:hAnsi="Arial"/>
                <w:szCs w:val="22"/>
                <w:lang w:eastAsia="sk-SK"/>
              </w:rPr>
            </w:pPr>
            <w:r>
              <w:rPr>
                <w:rFonts w:ascii="Arial" w:hAnsi="Arial"/>
                <w:szCs w:val="22"/>
                <w:lang w:eastAsia="sk-SK"/>
              </w:rPr>
            </w:r>
          </w:p>
        </w:tc>
      </w:tr>
      <w:tr>
        <w:trPr/>
        <w:tc>
          <w:tcPr>
            <w:tcW w:w="22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rPr>
                <w:rFonts w:ascii="Arial" w:hAnsi="Arial"/>
                <w:szCs w:val="22"/>
                <w:lang w:eastAsia="sk-SK"/>
              </w:rPr>
            </w:pPr>
            <w:r>
              <w:rPr>
                <w:rFonts w:ascii="Arial" w:hAnsi="Arial"/>
                <w:szCs w:val="22"/>
                <w:lang w:eastAsia="sk-SK"/>
              </w:rPr>
            </w:r>
          </w:p>
        </w:tc>
        <w:tc>
          <w:tcPr>
            <w:tcW w:w="184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right"/>
              <w:rPr>
                <w:rFonts w:ascii="Arial" w:hAnsi="Arial"/>
                <w:szCs w:val="22"/>
                <w:lang w:eastAsia="sk-SK"/>
              </w:rPr>
            </w:pPr>
            <w:r>
              <w:rPr>
                <w:rFonts w:ascii="Arial" w:hAnsi="Arial"/>
                <w:szCs w:val="22"/>
                <w:lang w:eastAsia="sk-SK"/>
              </w:rPr>
            </w:r>
          </w:p>
        </w:tc>
        <w:tc>
          <w:tcPr>
            <w:tcW w:w="168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right"/>
              <w:rPr>
                <w:rFonts w:ascii="Arial" w:hAnsi="Arial"/>
                <w:szCs w:val="22"/>
                <w:lang w:eastAsia="sk-SK"/>
              </w:rPr>
            </w:pPr>
            <w:r>
              <w:rPr>
                <w:rFonts w:ascii="Arial" w:hAnsi="Arial"/>
                <w:szCs w:val="22"/>
                <w:lang w:eastAsia="sk-SK"/>
              </w:rPr>
            </w:r>
          </w:p>
        </w:tc>
        <w:tc>
          <w:tcPr>
            <w:tcW w:w="191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right"/>
              <w:rPr>
                <w:rFonts w:ascii="Arial" w:hAnsi="Arial"/>
                <w:szCs w:val="22"/>
                <w:lang w:eastAsia="sk-SK"/>
              </w:rPr>
            </w:pPr>
            <w:r>
              <w:rPr>
                <w:rFonts w:ascii="Arial" w:hAnsi="Arial"/>
                <w:szCs w:val="22"/>
                <w:lang w:eastAsia="sk-SK"/>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Opravné položky k zásob – spoločnosť nevytvorila opravné položky k zásobám</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zov"/>
        <w:keepNext/>
        <w:numPr>
          <w:ilvl w:val="0"/>
          <w:numId w:val="2"/>
        </w:numPr>
        <w:spacing w:beforeAutospacing="0" w:before="120" w:after="0"/>
        <w:ind w:left="357" w:hanging="357"/>
        <w:jc w:val="left"/>
        <w:rPr>
          <w:szCs w:val="22"/>
        </w:rPr>
      </w:pPr>
      <w:r>
        <w:rPr>
          <w:szCs w:val="22"/>
        </w:rPr>
        <w:t>Informácie k prílohe č. 3  časti F. písm. o) o opravných položkách k zásobám</w:t>
      </w:r>
    </w:p>
    <w:p>
      <w:pPr>
        <w:pStyle w:val="Normal"/>
        <w:spacing w:lineRule="auto" w:line="240" w:before="0" w:after="0"/>
        <w:rPr>
          <w:szCs w:val="22"/>
        </w:rPr>
      </w:pPr>
      <w:r>
        <w:rPr>
          <w:szCs w:val="22"/>
        </w:rPr>
        <w:t>Tabuľka č. 1</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6" w:type="dxa"/>
          <w:bottom w:w="0" w:type="dxa"/>
          <w:right w:w="70" w:type="dxa"/>
        </w:tblCellMar>
        <w:tblLook w:val="00a0"/>
      </w:tblPr>
      <w:tblGrid>
        <w:gridCol w:w="2313"/>
        <w:gridCol w:w="1385"/>
        <w:gridCol w:w="977"/>
        <w:gridCol w:w="1678"/>
        <w:gridCol w:w="1544"/>
        <w:gridCol w:w="1174"/>
      </w:tblGrid>
      <w:tr>
        <w:trPr/>
        <w:tc>
          <w:tcPr>
            <w:tcW w:w="2313" w:type="dxa"/>
            <w:vMerge w:val="restart"/>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Zásoby</w:t>
            </w:r>
          </w:p>
        </w:tc>
        <w:tc>
          <w:tcPr>
            <w:tcW w:w="6758" w:type="dxa"/>
            <w:gridSpan w:val="5"/>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Bežné účtovné obdobie</w:t>
            </w:r>
          </w:p>
        </w:tc>
      </w:tr>
      <w:tr>
        <w:trPr/>
        <w:tc>
          <w:tcPr>
            <w:tcW w:w="2313" w:type="dxa"/>
            <w:vMerge w:val="continue"/>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Normal"/>
              <w:spacing w:lineRule="auto" w:line="240" w:before="0" w:after="0"/>
              <w:rPr>
                <w:b/>
                <w:b/>
                <w:bCs/>
                <w:szCs w:val="22"/>
              </w:rPr>
            </w:pPr>
            <w:r>
              <w:rPr>
                <w:b/>
                <w:bCs/>
                <w:szCs w:val="22"/>
              </w:rPr>
            </w:r>
          </w:p>
        </w:tc>
        <w:tc>
          <w:tcPr>
            <w:tcW w:w="1385"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Stav  OP na začiatku účtovného obdobia</w:t>
            </w:r>
          </w:p>
        </w:tc>
        <w:tc>
          <w:tcPr>
            <w:tcW w:w="977"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Tvorba </w:t>
            </w:r>
          </w:p>
          <w:p>
            <w:pPr>
              <w:pStyle w:val="TopHeader"/>
              <w:rPr/>
            </w:pPr>
            <w:r>
              <w:rPr/>
              <w:t>OP</w:t>
            </w:r>
          </w:p>
          <w:p>
            <w:pPr>
              <w:pStyle w:val="TopHeader"/>
              <w:rPr/>
            </w:pPr>
            <w:r>
              <w:rPr/>
            </w:r>
          </w:p>
        </w:tc>
        <w:tc>
          <w:tcPr>
            <w:tcW w:w="1678"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Zúčtovanie OP z dôvodu zániku opodstatnenosti</w:t>
            </w:r>
          </w:p>
        </w:tc>
        <w:tc>
          <w:tcPr>
            <w:tcW w:w="1544"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 xml:space="preserve">Zúčtovanie OP z dôvodu vyradenia majetku </w:t>
              <w:br/>
              <w:t>z účtovníctva</w:t>
            </w:r>
          </w:p>
        </w:tc>
        <w:tc>
          <w:tcPr>
            <w:tcW w:w="1174"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Stav OP na konci účtovného obdobia</w:t>
            </w:r>
          </w:p>
        </w:tc>
      </w:tr>
      <w:tr>
        <w:trPr>
          <w:trHeight w:val="277" w:hRule="exact"/>
        </w:trPr>
        <w:tc>
          <w:tcPr>
            <w:tcW w:w="231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A</w:t>
            </w:r>
          </w:p>
        </w:tc>
        <w:tc>
          <w:tcPr>
            <w:tcW w:w="138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b</w:t>
            </w:r>
          </w:p>
        </w:tc>
        <w:tc>
          <w:tcPr>
            <w:tcW w:w="97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c</w:t>
            </w:r>
          </w:p>
        </w:tc>
        <w:tc>
          <w:tcPr>
            <w:tcW w:w="167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d</w:t>
            </w:r>
          </w:p>
        </w:tc>
        <w:tc>
          <w:tcPr>
            <w:tcW w:w="154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e</w:t>
            </w:r>
          </w:p>
        </w:tc>
        <w:tc>
          <w:tcPr>
            <w:tcW w:w="117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f</w:t>
            </w:r>
          </w:p>
        </w:tc>
      </w:tr>
      <w:tr>
        <w:trPr>
          <w:trHeight w:val="369" w:hRule="atLeast"/>
        </w:trPr>
        <w:tc>
          <w:tcPr>
            <w:tcW w:w="2313"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Materiál</w:t>
            </w:r>
          </w:p>
        </w:tc>
        <w:tc>
          <w:tcPr>
            <w:tcW w:w="1385"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977"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678"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544"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174"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rHeight w:val="369" w:hRule="atLeast"/>
        </w:trPr>
        <w:tc>
          <w:tcPr>
            <w:tcW w:w="231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Nedokončená výroba a polotovary vlastnej výroby</w:t>
            </w:r>
          </w:p>
        </w:tc>
        <w:tc>
          <w:tcPr>
            <w:tcW w:w="1385"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97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6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5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174"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rHeight w:val="369" w:hRule="atLeast"/>
        </w:trPr>
        <w:tc>
          <w:tcPr>
            <w:tcW w:w="231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Výrobky</w:t>
            </w:r>
          </w:p>
        </w:tc>
        <w:tc>
          <w:tcPr>
            <w:tcW w:w="1385"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97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6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5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174"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rHeight w:val="369" w:hRule="atLeast"/>
        </w:trPr>
        <w:tc>
          <w:tcPr>
            <w:tcW w:w="2313"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 xml:space="preserve">Zvieratá </w:t>
            </w:r>
          </w:p>
        </w:tc>
        <w:tc>
          <w:tcPr>
            <w:tcW w:w="1385"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977"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678"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544"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174" w:type="dxa"/>
            <w:tcBorders>
              <w:top w:val="single" w:sz="4"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rHeight w:val="369" w:hRule="atLeast"/>
        </w:trPr>
        <w:tc>
          <w:tcPr>
            <w:tcW w:w="2313"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Tovar</w:t>
            </w:r>
          </w:p>
        </w:tc>
        <w:tc>
          <w:tcPr>
            <w:tcW w:w="1385"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97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678"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544"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174" w:type="dxa"/>
            <w:tcBorders>
              <w:top w:val="single" w:sz="6"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rHeight w:val="340" w:hRule="atLeast"/>
        </w:trPr>
        <w:tc>
          <w:tcPr>
            <w:tcW w:w="231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Nehnuteľnosť na predaj</w:t>
            </w:r>
          </w:p>
        </w:tc>
        <w:tc>
          <w:tcPr>
            <w:tcW w:w="1385"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97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6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5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174"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rHeight w:val="340" w:hRule="atLeast"/>
        </w:trPr>
        <w:tc>
          <w:tcPr>
            <w:tcW w:w="231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Poskytnuté preddavky  na zásoby</w:t>
            </w:r>
          </w:p>
        </w:tc>
        <w:tc>
          <w:tcPr>
            <w:tcW w:w="1385"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97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6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5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174"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rHeight w:val="369" w:hRule="atLeast"/>
        </w:trPr>
        <w:tc>
          <w:tcPr>
            <w:tcW w:w="2313"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b/>
                <w:b/>
                <w:szCs w:val="22"/>
              </w:rPr>
            </w:pPr>
            <w:r>
              <w:rPr>
                <w:b/>
                <w:szCs w:val="22"/>
              </w:rPr>
              <w:t>Zásoby spolu</w:t>
            </w:r>
          </w:p>
        </w:tc>
        <w:tc>
          <w:tcPr>
            <w:tcW w:w="1385"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6" w:type="dxa"/>
            </w:tcMar>
            <w:vAlign w:val="center"/>
          </w:tcPr>
          <w:p>
            <w:pPr>
              <w:pStyle w:val="Normal"/>
              <w:spacing w:lineRule="auto" w:line="240" w:before="0" w:after="0"/>
              <w:rPr>
                <w:b/>
                <w:b/>
                <w:szCs w:val="22"/>
              </w:rPr>
            </w:pPr>
            <w:r>
              <w:rPr>
                <w:b/>
                <w:szCs w:val="22"/>
              </w:rPr>
            </w:r>
          </w:p>
        </w:tc>
        <w:tc>
          <w:tcPr>
            <w:tcW w:w="977"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4" w:type="dxa"/>
            </w:tcMar>
            <w:vAlign w:val="center"/>
          </w:tcPr>
          <w:p>
            <w:pPr>
              <w:pStyle w:val="Normal"/>
              <w:spacing w:lineRule="auto" w:line="240" w:before="0" w:after="0"/>
              <w:rPr>
                <w:b/>
                <w:b/>
                <w:szCs w:val="22"/>
              </w:rPr>
            </w:pPr>
            <w:r>
              <w:rPr>
                <w:b/>
                <w:szCs w:val="22"/>
              </w:rPr>
            </w:r>
          </w:p>
        </w:tc>
        <w:tc>
          <w:tcPr>
            <w:tcW w:w="1678"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4" w:type="dxa"/>
            </w:tcMar>
            <w:vAlign w:val="center"/>
          </w:tcPr>
          <w:p>
            <w:pPr>
              <w:pStyle w:val="Normal"/>
              <w:spacing w:lineRule="auto" w:line="240" w:before="0" w:after="0"/>
              <w:rPr>
                <w:b/>
                <w:b/>
                <w:szCs w:val="22"/>
              </w:rPr>
            </w:pPr>
            <w:r>
              <w:rPr>
                <w:b/>
                <w:szCs w:val="22"/>
              </w:rPr>
            </w:r>
          </w:p>
        </w:tc>
        <w:tc>
          <w:tcPr>
            <w:tcW w:w="1544"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4" w:type="dxa"/>
            </w:tcMar>
            <w:vAlign w:val="center"/>
          </w:tcPr>
          <w:p>
            <w:pPr>
              <w:pStyle w:val="Normal"/>
              <w:spacing w:lineRule="auto" w:line="240" w:before="0" w:after="0"/>
              <w:rPr>
                <w:b/>
                <w:b/>
                <w:szCs w:val="22"/>
              </w:rPr>
            </w:pPr>
            <w:r>
              <w:rPr>
                <w:b/>
                <w:szCs w:val="22"/>
              </w:rPr>
            </w:r>
          </w:p>
        </w:tc>
        <w:tc>
          <w:tcPr>
            <w:tcW w:w="1174"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54" w:type="dxa"/>
            </w:tcMar>
            <w:vAlign w:val="center"/>
          </w:tcPr>
          <w:p>
            <w:pPr>
              <w:pStyle w:val="Normal"/>
              <w:spacing w:lineRule="auto" w:line="240" w:before="0" w:after="0"/>
              <w:rPr>
                <w:b/>
                <w:b/>
                <w:szCs w:val="22"/>
              </w:rPr>
            </w:pPr>
            <w:r>
              <w:rPr>
                <w:b/>
                <w:szCs w:val="22"/>
              </w:rPr>
            </w:r>
          </w:p>
        </w:tc>
      </w:tr>
    </w:tbl>
    <w:p>
      <w:pPr>
        <w:pStyle w:val="Normal"/>
        <w:spacing w:lineRule="auto" w:line="240" w:before="0" w:after="0"/>
        <w:rPr>
          <w:szCs w:val="22"/>
        </w:rPr>
      </w:pPr>
      <w:r>
        <w:rPr>
          <w:szCs w:val="22"/>
        </w:rPr>
      </w:r>
    </w:p>
    <w:p>
      <w:pPr>
        <w:pStyle w:val="Normal"/>
        <w:spacing w:lineRule="auto" w:line="240" w:before="0" w:after="0"/>
        <w:rPr>
          <w:szCs w:val="22"/>
        </w:rPr>
      </w:pPr>
      <w:r>
        <w:rPr>
          <w:szCs w:val="22"/>
        </w:rPr>
        <w:t>Tabuľka č. 2</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6" w:type="dxa"/>
          <w:bottom w:w="0" w:type="dxa"/>
          <w:right w:w="70" w:type="dxa"/>
        </w:tblCellMar>
        <w:tblLook w:val="00a0"/>
      </w:tblPr>
      <w:tblGrid>
        <w:gridCol w:w="6909"/>
        <w:gridCol w:w="2162"/>
      </w:tblGrid>
      <w:tr>
        <w:trPr/>
        <w:tc>
          <w:tcPr>
            <w:tcW w:w="6909"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Nehnuteľnosť na predaj</w:t>
            </w:r>
          </w:p>
        </w:tc>
        <w:tc>
          <w:tcPr>
            <w:tcW w:w="2162"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Hodnota</w:t>
            </w:r>
          </w:p>
        </w:tc>
      </w:tr>
      <w:tr>
        <w:trPr>
          <w:trHeight w:val="340" w:hRule="atLeast"/>
        </w:trPr>
        <w:tc>
          <w:tcPr>
            <w:tcW w:w="690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Náklady na obstarávanie nehnuteľnosti  na predaj za účtovné obdobie</w:t>
            </w:r>
          </w:p>
        </w:tc>
        <w:tc>
          <w:tcPr>
            <w:tcW w:w="2162"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r>
          </w:p>
        </w:tc>
      </w:tr>
      <w:tr>
        <w:trPr>
          <w:trHeight w:val="340" w:hRule="atLeast"/>
        </w:trPr>
        <w:tc>
          <w:tcPr>
            <w:tcW w:w="690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Náklady na obstaranie nehnuteľnosti na predaj od začiatku obstarávania</w:t>
            </w:r>
          </w:p>
        </w:tc>
        <w:tc>
          <w:tcPr>
            <w:tcW w:w="2162"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r>
          </w:p>
        </w:tc>
      </w:tr>
    </w:tbl>
    <w:p>
      <w:pPr>
        <w:pStyle w:val="Nzov"/>
        <w:spacing w:beforeAutospacing="0" w:before="0" w:after="0"/>
        <w:jc w:val="both"/>
        <w:rPr>
          <w:szCs w:val="22"/>
        </w:rPr>
      </w:pPr>
      <w:r>
        <w:rPr>
          <w:szCs w:val="22"/>
        </w:rPr>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Zásoby, na ktoré je zriadené záložné právo                                 .</w:t>
        <w:br/>
        <w:t xml:space="preserve">Zásoby, pri ktorých má účtovná jednotka obmedzené právo s nimi nakladať  </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t>- spoločnosť nemá zriadené právo na zásoby</w:t>
      </w:r>
    </w:p>
    <w:p>
      <w:pPr>
        <w:pStyle w:val="Nzov"/>
        <w:numPr>
          <w:ilvl w:val="0"/>
          <w:numId w:val="2"/>
        </w:numPr>
        <w:spacing w:beforeAutospacing="0" w:before="120" w:after="0"/>
        <w:ind w:left="357" w:hanging="357"/>
        <w:jc w:val="both"/>
        <w:rPr>
          <w:szCs w:val="22"/>
        </w:rPr>
      </w:pPr>
      <w:r>
        <w:rPr>
          <w:szCs w:val="22"/>
        </w:rPr>
        <w:t xml:space="preserve">Informácie k prílohe č. 3  časti F. písm. p) o zásobách, na ktoré je zriadené záložné právo </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6" w:type="dxa"/>
          <w:bottom w:w="0" w:type="dxa"/>
          <w:right w:w="70" w:type="dxa"/>
        </w:tblCellMar>
        <w:tblLook w:val="00a0"/>
      </w:tblPr>
      <w:tblGrid>
        <w:gridCol w:w="6909"/>
        <w:gridCol w:w="2162"/>
      </w:tblGrid>
      <w:tr>
        <w:trPr/>
        <w:tc>
          <w:tcPr>
            <w:tcW w:w="6909"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Zásoby</w:t>
            </w:r>
          </w:p>
        </w:tc>
        <w:tc>
          <w:tcPr>
            <w:tcW w:w="2162"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Hodnota za bežné účtovné obdobie</w:t>
            </w:r>
          </w:p>
        </w:tc>
      </w:tr>
      <w:tr>
        <w:trPr>
          <w:trHeight w:val="454" w:hRule="atLeast"/>
        </w:trPr>
        <w:tc>
          <w:tcPr>
            <w:tcW w:w="690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Zásoby, na ktoré je zriadené záložné právo</w:t>
            </w:r>
          </w:p>
        </w:tc>
        <w:tc>
          <w:tcPr>
            <w:tcW w:w="216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Údaje o zákazkovej výrobe – spoločnosť nevykonáva zákazkovú výrobu</w:t>
      </w:r>
    </w:p>
    <w:p>
      <w:pPr>
        <w:pStyle w:val="Normal"/>
        <w:keepNext/>
        <w:numPr>
          <w:ilvl w:val="0"/>
          <w:numId w:val="0"/>
        </w:numPr>
        <w:spacing w:lineRule="auto" w:line="240" w:before="0" w:after="0"/>
        <w:outlineLvl w:val="0"/>
        <w:rPr>
          <w:rFonts w:ascii="Arial" w:hAnsi="Arial" w:cs="Arial"/>
          <w:b/>
          <w:b/>
          <w:bCs/>
          <w:sz w:val="24"/>
          <w:szCs w:val="24"/>
        </w:rPr>
      </w:pPr>
      <w:r>
        <w:rPr>
          <w:b/>
          <w:bCs/>
          <w:szCs w:val="32"/>
        </w:rPr>
        <w:tab/>
      </w:r>
    </w:p>
    <w:p>
      <w:pPr>
        <w:pStyle w:val="Nzov"/>
        <w:numPr>
          <w:ilvl w:val="0"/>
          <w:numId w:val="2"/>
        </w:numPr>
        <w:spacing w:beforeAutospacing="0" w:before="0" w:after="0"/>
        <w:jc w:val="both"/>
        <w:rPr>
          <w:szCs w:val="22"/>
        </w:rPr>
      </w:pPr>
      <w:r>
        <w:rPr>
          <w:szCs w:val="22"/>
        </w:rPr>
        <w:t>Informácie k prílohe č. 3 časti F. písm. q) o zákazkovej výrobe a o zákazkovej výstavbe nehnuteľnosti určenej na predaj</w:t>
      </w:r>
    </w:p>
    <w:p>
      <w:pPr>
        <w:pStyle w:val="Normal"/>
        <w:spacing w:lineRule="auto" w:line="240" w:before="0" w:after="0"/>
        <w:rPr>
          <w:szCs w:val="22"/>
        </w:rPr>
      </w:pPr>
      <w:r>
        <w:rPr>
          <w:szCs w:val="22"/>
        </w:rPr>
        <w:t>Tabuľka č. 1</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23" w:type="dxa"/>
          <w:bottom w:w="0" w:type="dxa"/>
          <w:right w:w="108" w:type="dxa"/>
        </w:tblCellMar>
        <w:tblLook w:val="00a0"/>
      </w:tblPr>
      <w:tblGrid>
        <w:gridCol w:w="3151"/>
        <w:gridCol w:w="1661"/>
        <w:gridCol w:w="2110"/>
        <w:gridCol w:w="2149"/>
      </w:tblGrid>
      <w:tr>
        <w:trPr/>
        <w:tc>
          <w:tcPr>
            <w:tcW w:w="3151" w:type="dxa"/>
            <w:tcBorders>
              <w:top w:val="single" w:sz="12" w:space="0" w:color="00000A"/>
              <w:left w:val="single" w:sz="12" w:space="0" w:color="00000A"/>
              <w:right w:val="single" w:sz="12" w:space="0" w:color="00000A"/>
              <w:insideV w:val="single" w:sz="12" w:space="0" w:color="00000A"/>
            </w:tcBorders>
            <w:shd w:fill="auto" w:val="clear"/>
            <w:tcMar>
              <w:left w:w="23" w:type="dxa"/>
            </w:tcMar>
            <w:vAlign w:val="center"/>
          </w:tcPr>
          <w:p>
            <w:pPr>
              <w:pStyle w:val="Normal"/>
              <w:spacing w:lineRule="auto" w:line="240" w:before="0" w:after="0"/>
              <w:jc w:val="center"/>
              <w:rPr>
                <w:b/>
                <w:b/>
                <w:szCs w:val="22"/>
              </w:rPr>
            </w:pPr>
            <w:r>
              <w:rPr>
                <w:b/>
                <w:szCs w:val="22"/>
              </w:rPr>
              <w:t>Názov položky</w:t>
            </w:r>
          </w:p>
        </w:tc>
        <w:tc>
          <w:tcPr>
            <w:tcW w:w="1661" w:type="dxa"/>
            <w:tcBorders>
              <w:top w:val="single" w:sz="12" w:space="0" w:color="00000A"/>
              <w:left w:val="single" w:sz="12" w:space="0" w:color="00000A"/>
              <w:right w:val="single" w:sz="12" w:space="0" w:color="00000A"/>
              <w:insideV w:val="single" w:sz="12" w:space="0" w:color="00000A"/>
            </w:tcBorders>
            <w:shd w:fill="auto" w:val="clear"/>
            <w:tcMar>
              <w:left w:w="23" w:type="dxa"/>
            </w:tcMar>
            <w:vAlign w:val="center"/>
          </w:tcPr>
          <w:p>
            <w:pPr>
              <w:pStyle w:val="Normal"/>
              <w:spacing w:lineRule="auto" w:line="240" w:before="0" w:after="0"/>
              <w:jc w:val="center"/>
              <w:rPr>
                <w:b/>
                <w:b/>
                <w:szCs w:val="22"/>
              </w:rPr>
            </w:pPr>
            <w:r>
              <w:rPr>
                <w:b/>
                <w:szCs w:val="22"/>
              </w:rPr>
              <w:t>Za bežné účtovné obdobie</w:t>
            </w:r>
          </w:p>
        </w:tc>
        <w:tc>
          <w:tcPr>
            <w:tcW w:w="2110" w:type="dxa"/>
            <w:tcBorders>
              <w:top w:val="single" w:sz="12" w:space="0" w:color="00000A"/>
              <w:left w:val="single" w:sz="12" w:space="0" w:color="00000A"/>
              <w:right w:val="single" w:sz="12" w:space="0" w:color="00000A"/>
              <w:insideV w:val="single" w:sz="12" w:space="0" w:color="00000A"/>
            </w:tcBorders>
            <w:shd w:fill="auto" w:val="clear"/>
            <w:tcMar>
              <w:left w:w="23" w:type="dxa"/>
            </w:tcMar>
            <w:vAlign w:val="center"/>
          </w:tcPr>
          <w:p>
            <w:pPr>
              <w:pStyle w:val="Normal"/>
              <w:spacing w:lineRule="auto" w:line="240" w:before="0" w:after="0"/>
              <w:jc w:val="center"/>
              <w:rPr>
                <w:b/>
                <w:b/>
                <w:szCs w:val="22"/>
              </w:rPr>
            </w:pPr>
            <w:r>
              <w:rPr>
                <w:b/>
                <w:szCs w:val="22"/>
              </w:rPr>
              <w:t>Za bezprostredne predchádzajúce účtovné obdobie</w:t>
            </w:r>
          </w:p>
        </w:tc>
        <w:tc>
          <w:tcPr>
            <w:tcW w:w="2149" w:type="dxa"/>
            <w:tcBorders>
              <w:top w:val="single" w:sz="12" w:space="0" w:color="00000A"/>
              <w:left w:val="single" w:sz="12" w:space="0" w:color="00000A"/>
              <w:right w:val="single" w:sz="12" w:space="0" w:color="00000A"/>
              <w:insideV w:val="single" w:sz="12" w:space="0" w:color="00000A"/>
            </w:tcBorders>
            <w:shd w:fill="auto" w:val="clear"/>
            <w:tcMar>
              <w:left w:w="23" w:type="dxa"/>
            </w:tcMar>
            <w:vAlign w:val="center"/>
          </w:tcPr>
          <w:p>
            <w:pPr>
              <w:pStyle w:val="Normal"/>
              <w:spacing w:lineRule="auto" w:line="240" w:before="0" w:after="0"/>
              <w:jc w:val="center"/>
              <w:rPr>
                <w:b/>
                <w:b/>
                <w:szCs w:val="22"/>
              </w:rPr>
            </w:pPr>
            <w:r>
              <w:rPr>
                <w:b/>
                <w:szCs w:val="22"/>
              </w:rPr>
              <w:t>Sumár od začiatku zákazkovej výroby až do konca bežného účtovného obdobia</w:t>
            </w:r>
          </w:p>
        </w:tc>
      </w:tr>
      <w:tr>
        <w:trPr/>
        <w:tc>
          <w:tcPr>
            <w:tcW w:w="315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tcPr>
          <w:p>
            <w:pPr>
              <w:pStyle w:val="Normal"/>
              <w:spacing w:lineRule="auto" w:line="240" w:before="0" w:after="0"/>
              <w:jc w:val="center"/>
              <w:rPr>
                <w:szCs w:val="22"/>
              </w:rPr>
            </w:pPr>
            <w:r>
              <w:rPr>
                <w:szCs w:val="22"/>
              </w:rPr>
              <w:t>A</w:t>
            </w:r>
          </w:p>
        </w:tc>
        <w:tc>
          <w:tcPr>
            <w:tcW w:w="166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tcPr>
          <w:p>
            <w:pPr>
              <w:pStyle w:val="Normal"/>
              <w:spacing w:lineRule="auto" w:line="240" w:before="0" w:after="0"/>
              <w:jc w:val="center"/>
              <w:rPr>
                <w:szCs w:val="22"/>
              </w:rPr>
            </w:pPr>
            <w:r>
              <w:rPr>
                <w:szCs w:val="22"/>
              </w:rPr>
              <w:t>b</w:t>
            </w:r>
          </w:p>
        </w:tc>
        <w:tc>
          <w:tcPr>
            <w:tcW w:w="211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tcPr>
          <w:p>
            <w:pPr>
              <w:pStyle w:val="Normal"/>
              <w:spacing w:lineRule="auto" w:line="240" w:before="0" w:after="0"/>
              <w:jc w:val="center"/>
              <w:rPr>
                <w:szCs w:val="22"/>
              </w:rPr>
            </w:pPr>
            <w:r>
              <w:rPr>
                <w:szCs w:val="22"/>
              </w:rPr>
              <w:t>c</w:t>
            </w:r>
          </w:p>
        </w:tc>
        <w:tc>
          <w:tcPr>
            <w:tcW w:w="214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tcPr>
          <w:p>
            <w:pPr>
              <w:pStyle w:val="Normal"/>
              <w:spacing w:lineRule="auto" w:line="240" w:before="0" w:after="0"/>
              <w:jc w:val="center"/>
              <w:rPr>
                <w:szCs w:val="22"/>
              </w:rPr>
            </w:pPr>
            <w:r>
              <w:rPr>
                <w:szCs w:val="22"/>
              </w:rPr>
              <w:t>D</w:t>
            </w:r>
          </w:p>
        </w:tc>
      </w:tr>
      <w:tr>
        <w:trPr>
          <w:trHeight w:val="397" w:hRule="atLeast"/>
        </w:trPr>
        <w:tc>
          <w:tcPr>
            <w:tcW w:w="3151"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t>Výnosy zo zákazkovej výroby</w:t>
            </w:r>
          </w:p>
        </w:tc>
        <w:tc>
          <w:tcPr>
            <w:tcW w:w="1661"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c>
          <w:tcPr>
            <w:tcW w:w="2110"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c>
          <w:tcPr>
            <w:tcW w:w="214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r>
      <w:tr>
        <w:trPr>
          <w:trHeight w:val="397" w:hRule="atLeast"/>
        </w:trPr>
        <w:tc>
          <w:tcPr>
            <w:tcW w:w="315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t>Náklady na zákazkovú výrobu</w:t>
            </w:r>
          </w:p>
        </w:tc>
        <w:tc>
          <w:tcPr>
            <w:tcW w:w="166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c>
          <w:tcPr>
            <w:tcW w:w="211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c>
          <w:tcPr>
            <w:tcW w:w="21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r>
      <w:tr>
        <w:trPr>
          <w:trHeight w:val="397" w:hRule="atLeast"/>
        </w:trPr>
        <w:tc>
          <w:tcPr>
            <w:tcW w:w="315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t>Hrubý zisk / hrubá strata</w:t>
            </w:r>
          </w:p>
        </w:tc>
        <w:tc>
          <w:tcPr>
            <w:tcW w:w="166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c>
          <w:tcPr>
            <w:tcW w:w="2110"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c>
          <w:tcPr>
            <w:tcW w:w="214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r>
    </w:tbl>
    <w:p>
      <w:pPr>
        <w:pStyle w:val="Normal"/>
        <w:spacing w:lineRule="auto" w:line="240" w:before="0" w:after="0"/>
        <w:rPr>
          <w:szCs w:val="22"/>
        </w:rPr>
      </w:pPr>
      <w:r>
        <w:rPr>
          <w:szCs w:val="22"/>
        </w:rPr>
      </w:r>
    </w:p>
    <w:p>
      <w:pPr>
        <w:pStyle w:val="Normal"/>
        <w:spacing w:lineRule="auto" w:line="240" w:before="0" w:after="0"/>
        <w:rPr>
          <w:szCs w:val="22"/>
        </w:rPr>
      </w:pPr>
      <w:r>
        <w:rPr>
          <w:szCs w:val="22"/>
        </w:rPr>
        <w:t>Tabuľka č. 2</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23" w:type="dxa"/>
          <w:bottom w:w="0" w:type="dxa"/>
          <w:right w:w="108" w:type="dxa"/>
        </w:tblCellMar>
        <w:tblLook w:val="00a0"/>
      </w:tblPr>
      <w:tblGrid>
        <w:gridCol w:w="3978"/>
        <w:gridCol w:w="2355"/>
        <w:gridCol w:w="2739"/>
      </w:tblGrid>
      <w:tr>
        <w:trPr/>
        <w:tc>
          <w:tcPr>
            <w:tcW w:w="3978" w:type="dxa"/>
            <w:tcBorders>
              <w:top w:val="single" w:sz="12" w:space="0" w:color="00000A"/>
              <w:left w:val="single" w:sz="12" w:space="0" w:color="00000A"/>
              <w:right w:val="single" w:sz="12" w:space="0" w:color="00000A"/>
              <w:insideV w:val="single" w:sz="12" w:space="0" w:color="00000A"/>
            </w:tcBorders>
            <w:shd w:fill="auto" w:val="clear"/>
            <w:tcMar>
              <w:left w:w="23" w:type="dxa"/>
            </w:tcMar>
            <w:vAlign w:val="center"/>
          </w:tcPr>
          <w:p>
            <w:pPr>
              <w:pStyle w:val="Normal"/>
              <w:spacing w:lineRule="auto" w:line="240" w:before="0" w:after="0"/>
              <w:jc w:val="center"/>
              <w:rPr>
                <w:b/>
                <w:b/>
                <w:szCs w:val="22"/>
              </w:rPr>
            </w:pPr>
            <w:r>
              <w:rPr>
                <w:b/>
                <w:szCs w:val="22"/>
              </w:rPr>
              <w:t>Hodnota zákazkovej výroby</w:t>
            </w:r>
          </w:p>
          <w:p>
            <w:pPr>
              <w:pStyle w:val="Normal"/>
              <w:spacing w:lineRule="auto" w:line="240" w:before="0" w:after="0"/>
              <w:jc w:val="center"/>
              <w:rPr>
                <w:b/>
                <w:b/>
                <w:szCs w:val="22"/>
              </w:rPr>
            </w:pPr>
            <w:r>
              <w:rPr>
                <w:b/>
                <w:szCs w:val="22"/>
              </w:rPr>
            </w:r>
          </w:p>
        </w:tc>
        <w:tc>
          <w:tcPr>
            <w:tcW w:w="2355" w:type="dxa"/>
            <w:tcBorders>
              <w:top w:val="single" w:sz="12" w:space="0" w:color="00000A"/>
              <w:left w:val="single" w:sz="12" w:space="0" w:color="00000A"/>
              <w:right w:val="single" w:sz="12" w:space="0" w:color="00000A"/>
              <w:insideV w:val="single" w:sz="12" w:space="0" w:color="00000A"/>
            </w:tcBorders>
            <w:shd w:fill="auto" w:val="clear"/>
            <w:tcMar>
              <w:left w:w="23" w:type="dxa"/>
            </w:tcMar>
            <w:vAlign w:val="center"/>
          </w:tcPr>
          <w:p>
            <w:pPr>
              <w:pStyle w:val="Normal"/>
              <w:spacing w:lineRule="auto" w:line="240" w:before="0" w:after="0"/>
              <w:jc w:val="center"/>
              <w:rPr>
                <w:b/>
                <w:b/>
                <w:szCs w:val="22"/>
              </w:rPr>
            </w:pPr>
            <w:r>
              <w:rPr>
                <w:b/>
                <w:szCs w:val="22"/>
              </w:rPr>
              <w:t>Za bežné účtovné obdobie</w:t>
            </w:r>
          </w:p>
        </w:tc>
        <w:tc>
          <w:tcPr>
            <w:tcW w:w="2739" w:type="dxa"/>
            <w:tcBorders>
              <w:top w:val="single" w:sz="12" w:space="0" w:color="00000A"/>
              <w:left w:val="single" w:sz="12" w:space="0" w:color="00000A"/>
              <w:right w:val="single" w:sz="12" w:space="0" w:color="00000A"/>
              <w:insideV w:val="single" w:sz="12" w:space="0" w:color="00000A"/>
            </w:tcBorders>
            <w:shd w:fill="auto" w:val="clear"/>
            <w:tcMar>
              <w:left w:w="23" w:type="dxa"/>
            </w:tcMar>
            <w:vAlign w:val="center"/>
          </w:tcPr>
          <w:p>
            <w:pPr>
              <w:pStyle w:val="Normal"/>
              <w:spacing w:lineRule="auto" w:line="240" w:before="0" w:after="0"/>
              <w:jc w:val="center"/>
              <w:rPr>
                <w:b/>
                <w:b/>
                <w:szCs w:val="22"/>
              </w:rPr>
            </w:pPr>
            <w:r>
              <w:rPr>
                <w:b/>
                <w:szCs w:val="22"/>
              </w:rPr>
              <w:t>Sumár od začiatku zákazkovej výroby až do konca bežného účtovného obdobia</w:t>
            </w:r>
          </w:p>
        </w:tc>
      </w:tr>
      <w:tr>
        <w:trPr/>
        <w:tc>
          <w:tcPr>
            <w:tcW w:w="397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tcPr>
          <w:p>
            <w:pPr>
              <w:pStyle w:val="Normal"/>
              <w:spacing w:lineRule="auto" w:line="240" w:before="0" w:after="0"/>
              <w:jc w:val="center"/>
              <w:rPr>
                <w:szCs w:val="22"/>
              </w:rPr>
            </w:pPr>
            <w:r>
              <w:rPr>
                <w:szCs w:val="22"/>
              </w:rPr>
              <w:t>A</w:t>
            </w:r>
          </w:p>
        </w:tc>
        <w:tc>
          <w:tcPr>
            <w:tcW w:w="235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tcPr>
          <w:p>
            <w:pPr>
              <w:pStyle w:val="Normal"/>
              <w:spacing w:lineRule="auto" w:line="240" w:before="0" w:after="0"/>
              <w:jc w:val="center"/>
              <w:rPr>
                <w:szCs w:val="22"/>
              </w:rPr>
            </w:pPr>
            <w:r>
              <w:rPr>
                <w:szCs w:val="22"/>
              </w:rPr>
              <w:t>b</w:t>
            </w:r>
          </w:p>
        </w:tc>
        <w:tc>
          <w:tcPr>
            <w:tcW w:w="273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tcPr>
          <w:p>
            <w:pPr>
              <w:pStyle w:val="Normal"/>
              <w:spacing w:lineRule="auto" w:line="240" w:before="0" w:after="0"/>
              <w:jc w:val="center"/>
              <w:rPr>
                <w:szCs w:val="22"/>
              </w:rPr>
            </w:pPr>
            <w:r>
              <w:rPr>
                <w:szCs w:val="22"/>
              </w:rPr>
              <w:t>C</w:t>
            </w:r>
          </w:p>
        </w:tc>
      </w:tr>
      <w:tr>
        <w:trPr>
          <w:trHeight w:val="397" w:hRule="atLeast"/>
        </w:trPr>
        <w:tc>
          <w:tcPr>
            <w:tcW w:w="3978"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tcPr>
          <w:p>
            <w:pPr>
              <w:pStyle w:val="Normal"/>
              <w:spacing w:lineRule="auto" w:line="240" w:before="0" w:after="0"/>
              <w:rPr>
                <w:szCs w:val="22"/>
              </w:rPr>
            </w:pPr>
            <w:r>
              <w:rPr>
                <w:szCs w:val="22"/>
              </w:rPr>
              <w:t>Vyfakturované nároky za vykonanú prácu na zákazkovej výrobe</w:t>
            </w:r>
          </w:p>
        </w:tc>
        <w:tc>
          <w:tcPr>
            <w:tcW w:w="2355"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c>
          <w:tcPr>
            <w:tcW w:w="273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r>
      <w:tr>
        <w:trPr>
          <w:trHeight w:val="397" w:hRule="atLeast"/>
        </w:trPr>
        <w:tc>
          <w:tcPr>
            <w:tcW w:w="397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tcPr>
          <w:p>
            <w:pPr>
              <w:pStyle w:val="Normal"/>
              <w:spacing w:lineRule="auto" w:line="240" w:before="0" w:after="0"/>
              <w:rPr>
                <w:szCs w:val="22"/>
              </w:rPr>
            </w:pPr>
            <w:r>
              <w:rPr>
                <w:szCs w:val="22"/>
              </w:rPr>
              <w:t>Úprava nárokov podľa stupňa dokončenia alebo metódou nulového zisku</w:t>
            </w:r>
          </w:p>
        </w:tc>
        <w:tc>
          <w:tcPr>
            <w:tcW w:w="235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c>
          <w:tcPr>
            <w:tcW w:w="273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r>
      <w:tr>
        <w:trPr>
          <w:trHeight w:val="397" w:hRule="atLeast"/>
        </w:trPr>
        <w:tc>
          <w:tcPr>
            <w:tcW w:w="397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t xml:space="preserve">Suma prijatých preddavkov </w:t>
            </w:r>
          </w:p>
        </w:tc>
        <w:tc>
          <w:tcPr>
            <w:tcW w:w="235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c>
          <w:tcPr>
            <w:tcW w:w="273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r>
      <w:tr>
        <w:trPr>
          <w:trHeight w:val="397" w:hRule="atLeast"/>
        </w:trPr>
        <w:tc>
          <w:tcPr>
            <w:tcW w:w="3978"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t>Suma zadržanej platby</w:t>
            </w:r>
          </w:p>
        </w:tc>
        <w:tc>
          <w:tcPr>
            <w:tcW w:w="2355"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c>
          <w:tcPr>
            <w:tcW w:w="273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r>
    </w:tbl>
    <w:p>
      <w:pPr>
        <w:pStyle w:val="Normal"/>
        <w:spacing w:lineRule="auto" w:line="240" w:before="0" w:after="0"/>
        <w:rPr>
          <w:szCs w:val="22"/>
        </w:rPr>
      </w:pPr>
      <w:r>
        <w:rPr>
          <w:szCs w:val="22"/>
        </w:rPr>
      </w:r>
    </w:p>
    <w:p>
      <w:pPr>
        <w:pStyle w:val="Normal"/>
        <w:spacing w:lineRule="auto" w:line="240" w:before="0" w:after="0"/>
        <w:rPr>
          <w:szCs w:val="22"/>
        </w:rPr>
      </w:pPr>
      <w:r>
        <w:rPr>
          <w:szCs w:val="22"/>
        </w:rPr>
        <w:t>Tabuľka č. 3</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23" w:type="dxa"/>
          <w:bottom w:w="0" w:type="dxa"/>
          <w:right w:w="108" w:type="dxa"/>
        </w:tblCellMar>
        <w:tblLook w:val="00a0"/>
      </w:tblPr>
      <w:tblGrid>
        <w:gridCol w:w="2736"/>
        <w:gridCol w:w="1936"/>
        <w:gridCol w:w="1799"/>
        <w:gridCol w:w="2600"/>
      </w:tblGrid>
      <w:tr>
        <w:trPr/>
        <w:tc>
          <w:tcPr>
            <w:tcW w:w="2736" w:type="dxa"/>
            <w:tcBorders>
              <w:top w:val="single" w:sz="12" w:space="0" w:color="00000A"/>
              <w:left w:val="single" w:sz="12" w:space="0" w:color="00000A"/>
              <w:right w:val="single" w:sz="12" w:space="0" w:color="00000A"/>
              <w:insideV w:val="single" w:sz="12" w:space="0" w:color="00000A"/>
            </w:tcBorders>
            <w:shd w:fill="auto" w:val="clear"/>
            <w:tcMar>
              <w:left w:w="23" w:type="dxa"/>
            </w:tcMar>
            <w:vAlign w:val="center"/>
          </w:tcPr>
          <w:p>
            <w:pPr>
              <w:pStyle w:val="Normal"/>
              <w:spacing w:lineRule="auto" w:line="240" w:before="0" w:after="0"/>
              <w:jc w:val="center"/>
              <w:rPr>
                <w:b/>
                <w:b/>
                <w:szCs w:val="22"/>
              </w:rPr>
            </w:pPr>
            <w:r>
              <w:rPr>
                <w:b/>
                <w:szCs w:val="22"/>
              </w:rPr>
              <w:t>Názov položky</w:t>
            </w:r>
          </w:p>
        </w:tc>
        <w:tc>
          <w:tcPr>
            <w:tcW w:w="1936" w:type="dxa"/>
            <w:tcBorders>
              <w:top w:val="single" w:sz="12" w:space="0" w:color="00000A"/>
              <w:left w:val="single" w:sz="12" w:space="0" w:color="00000A"/>
              <w:right w:val="single" w:sz="12" w:space="0" w:color="00000A"/>
              <w:insideV w:val="single" w:sz="12" w:space="0" w:color="00000A"/>
            </w:tcBorders>
            <w:shd w:fill="auto" w:val="clear"/>
            <w:tcMar>
              <w:left w:w="23" w:type="dxa"/>
            </w:tcMar>
            <w:vAlign w:val="center"/>
          </w:tcPr>
          <w:p>
            <w:pPr>
              <w:pStyle w:val="Normal"/>
              <w:spacing w:lineRule="auto" w:line="240" w:before="0" w:after="0"/>
              <w:jc w:val="center"/>
              <w:rPr>
                <w:b/>
                <w:b/>
                <w:szCs w:val="22"/>
              </w:rPr>
            </w:pPr>
            <w:r>
              <w:rPr>
                <w:b/>
                <w:szCs w:val="22"/>
              </w:rPr>
              <w:t>Za bežné účtovné obdobie</w:t>
            </w:r>
          </w:p>
        </w:tc>
        <w:tc>
          <w:tcPr>
            <w:tcW w:w="1799" w:type="dxa"/>
            <w:tcBorders>
              <w:top w:val="single" w:sz="12" w:space="0" w:color="00000A"/>
              <w:left w:val="single" w:sz="12" w:space="0" w:color="00000A"/>
              <w:right w:val="single" w:sz="12" w:space="0" w:color="00000A"/>
              <w:insideV w:val="single" w:sz="12" w:space="0" w:color="00000A"/>
            </w:tcBorders>
            <w:shd w:fill="auto" w:val="clear"/>
            <w:tcMar>
              <w:left w:w="23" w:type="dxa"/>
            </w:tcMar>
            <w:vAlign w:val="center"/>
          </w:tcPr>
          <w:p>
            <w:pPr>
              <w:pStyle w:val="Normal"/>
              <w:spacing w:lineRule="auto" w:line="240" w:before="0" w:after="0"/>
              <w:jc w:val="center"/>
              <w:rPr>
                <w:b/>
                <w:b/>
                <w:szCs w:val="22"/>
              </w:rPr>
            </w:pPr>
            <w:r>
              <w:rPr>
                <w:b/>
                <w:szCs w:val="22"/>
              </w:rPr>
              <w:t>Za bezprostredne predchádzajúce účtovné obdobie</w:t>
            </w:r>
          </w:p>
        </w:tc>
        <w:tc>
          <w:tcPr>
            <w:tcW w:w="2600" w:type="dxa"/>
            <w:tcBorders>
              <w:top w:val="single" w:sz="12" w:space="0" w:color="00000A"/>
              <w:left w:val="single" w:sz="12" w:space="0" w:color="00000A"/>
              <w:right w:val="single" w:sz="12" w:space="0" w:color="00000A"/>
              <w:insideV w:val="single" w:sz="12" w:space="0" w:color="00000A"/>
            </w:tcBorders>
            <w:shd w:fill="auto" w:val="clear"/>
            <w:tcMar>
              <w:left w:w="23" w:type="dxa"/>
            </w:tcMar>
            <w:vAlign w:val="center"/>
          </w:tcPr>
          <w:p>
            <w:pPr>
              <w:pStyle w:val="Normal"/>
              <w:spacing w:lineRule="auto" w:line="240" w:before="0" w:after="0"/>
              <w:jc w:val="center"/>
              <w:rPr>
                <w:b/>
                <w:b/>
                <w:szCs w:val="22"/>
              </w:rPr>
            </w:pPr>
            <w:r>
              <w:rPr>
                <w:b/>
                <w:szCs w:val="22"/>
              </w:rPr>
              <w:t>Sumár od začiatku zákazkovej výstavby nehnuteľnosti určenej na predaj až do konca bežného účtovného obdobia</w:t>
            </w:r>
          </w:p>
        </w:tc>
      </w:tr>
      <w:tr>
        <w:trPr>
          <w:trHeight w:val="98" w:hRule="atLeast"/>
        </w:trPr>
        <w:tc>
          <w:tcPr>
            <w:tcW w:w="273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tcPr>
          <w:p>
            <w:pPr>
              <w:pStyle w:val="Normal"/>
              <w:spacing w:lineRule="auto" w:line="240" w:before="0" w:after="0"/>
              <w:jc w:val="center"/>
              <w:rPr>
                <w:szCs w:val="22"/>
              </w:rPr>
            </w:pPr>
            <w:r>
              <w:rPr>
                <w:szCs w:val="22"/>
              </w:rPr>
              <w:t>a</w:t>
            </w:r>
          </w:p>
        </w:tc>
        <w:tc>
          <w:tcPr>
            <w:tcW w:w="193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tcPr>
          <w:p>
            <w:pPr>
              <w:pStyle w:val="Normal"/>
              <w:spacing w:lineRule="auto" w:line="240" w:before="0" w:after="0"/>
              <w:jc w:val="center"/>
              <w:rPr>
                <w:szCs w:val="22"/>
              </w:rPr>
            </w:pPr>
            <w:r>
              <w:rPr>
                <w:szCs w:val="22"/>
              </w:rPr>
              <w:t>b</w:t>
            </w:r>
          </w:p>
        </w:tc>
        <w:tc>
          <w:tcPr>
            <w:tcW w:w="179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tcPr>
          <w:p>
            <w:pPr>
              <w:pStyle w:val="Normal"/>
              <w:spacing w:lineRule="auto" w:line="240" w:before="0" w:after="0"/>
              <w:jc w:val="center"/>
              <w:rPr>
                <w:szCs w:val="22"/>
              </w:rPr>
            </w:pPr>
            <w:r>
              <w:rPr>
                <w:szCs w:val="22"/>
              </w:rPr>
              <w:t>c</w:t>
            </w:r>
          </w:p>
        </w:tc>
        <w:tc>
          <w:tcPr>
            <w:tcW w:w="260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tcPr>
          <w:p>
            <w:pPr>
              <w:pStyle w:val="Normal"/>
              <w:spacing w:lineRule="auto" w:line="240" w:before="0" w:after="0"/>
              <w:jc w:val="center"/>
              <w:rPr>
                <w:szCs w:val="22"/>
              </w:rPr>
            </w:pPr>
            <w:r>
              <w:rPr>
                <w:szCs w:val="22"/>
              </w:rPr>
              <w:t>D</w:t>
            </w:r>
          </w:p>
        </w:tc>
      </w:tr>
      <w:tr>
        <w:trPr/>
        <w:tc>
          <w:tcPr>
            <w:tcW w:w="2736"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tcPr>
          <w:p>
            <w:pPr>
              <w:pStyle w:val="Normal"/>
              <w:spacing w:lineRule="auto" w:line="240" w:before="0" w:after="0"/>
              <w:rPr>
                <w:szCs w:val="22"/>
              </w:rPr>
            </w:pPr>
            <w:r>
              <w:rPr>
                <w:szCs w:val="22"/>
              </w:rPr>
              <w:t xml:space="preserve">Výnosy zo zákazkovej výstavby nehnuteľnosti určenej na predaj </w:t>
            </w:r>
          </w:p>
        </w:tc>
        <w:tc>
          <w:tcPr>
            <w:tcW w:w="1936"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c>
          <w:tcPr>
            <w:tcW w:w="179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c>
          <w:tcPr>
            <w:tcW w:w="2600"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r>
      <w:tr>
        <w:trPr/>
        <w:tc>
          <w:tcPr>
            <w:tcW w:w="273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tcPr>
          <w:p>
            <w:pPr>
              <w:pStyle w:val="Normal"/>
              <w:spacing w:lineRule="auto" w:line="240" w:before="0" w:after="0"/>
              <w:rPr>
                <w:szCs w:val="22"/>
              </w:rPr>
            </w:pPr>
            <w:r>
              <w:rPr>
                <w:szCs w:val="22"/>
              </w:rPr>
              <w:t>Náklady na zákazkovú výstavbu nehnuteľnosti určenej na predaj</w:t>
            </w:r>
          </w:p>
        </w:tc>
        <w:tc>
          <w:tcPr>
            <w:tcW w:w="193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c>
          <w:tcPr>
            <w:tcW w:w="179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c>
          <w:tcPr>
            <w:tcW w:w="260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t>Hrubý zisk / hrubá strata</w:t>
            </w:r>
          </w:p>
        </w:tc>
        <w:tc>
          <w:tcPr>
            <w:tcW w:w="1936"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c>
          <w:tcPr>
            <w:tcW w:w="179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c>
          <w:tcPr>
            <w:tcW w:w="2600"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r>
    </w:tbl>
    <w:p>
      <w:pPr>
        <w:pStyle w:val="Nzov"/>
        <w:spacing w:beforeAutospacing="0" w:before="0" w:after="0"/>
        <w:jc w:val="left"/>
        <w:rPr>
          <w:b w:val="false"/>
          <w:b w:val="false"/>
          <w:szCs w:val="22"/>
        </w:rPr>
      </w:pPr>
      <w:r>
        <w:rPr>
          <w:b w:val="false"/>
          <w:szCs w:val="22"/>
        </w:rPr>
      </w:r>
    </w:p>
    <w:p>
      <w:pPr>
        <w:pStyle w:val="Nzov"/>
        <w:spacing w:beforeAutospacing="0" w:before="0" w:after="0"/>
        <w:jc w:val="left"/>
        <w:rPr>
          <w:b w:val="false"/>
          <w:b w:val="false"/>
          <w:szCs w:val="22"/>
        </w:rPr>
      </w:pPr>
      <w:r>
        <w:rPr>
          <w:b w:val="false"/>
          <w:szCs w:val="22"/>
        </w:rPr>
        <w:t>Tabuľka č. 4</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23" w:type="dxa"/>
          <w:bottom w:w="0" w:type="dxa"/>
          <w:right w:w="108" w:type="dxa"/>
        </w:tblCellMar>
        <w:tblLook w:val="00a0"/>
      </w:tblPr>
      <w:tblGrid>
        <w:gridCol w:w="4259"/>
        <w:gridCol w:w="2354"/>
        <w:gridCol w:w="2459"/>
      </w:tblGrid>
      <w:tr>
        <w:trPr/>
        <w:tc>
          <w:tcPr>
            <w:tcW w:w="4259" w:type="dxa"/>
            <w:tcBorders>
              <w:top w:val="single" w:sz="12" w:space="0" w:color="00000A"/>
              <w:left w:val="single" w:sz="12" w:space="0" w:color="00000A"/>
              <w:right w:val="single" w:sz="12" w:space="0" w:color="00000A"/>
              <w:insideV w:val="single" w:sz="12" w:space="0" w:color="00000A"/>
            </w:tcBorders>
            <w:shd w:fill="auto" w:val="clear"/>
            <w:tcMar>
              <w:left w:w="23" w:type="dxa"/>
            </w:tcMar>
            <w:vAlign w:val="center"/>
          </w:tcPr>
          <w:p>
            <w:pPr>
              <w:pStyle w:val="Normal"/>
              <w:spacing w:lineRule="auto" w:line="240" w:before="0" w:after="0"/>
              <w:jc w:val="center"/>
              <w:rPr>
                <w:b/>
                <w:b/>
                <w:szCs w:val="22"/>
              </w:rPr>
            </w:pPr>
            <w:r>
              <w:rPr>
                <w:b/>
                <w:szCs w:val="22"/>
              </w:rPr>
              <w:t>Hodnota zákazkovej výstavby nehnuteľnosti určenej na predaj</w:t>
            </w:r>
          </w:p>
        </w:tc>
        <w:tc>
          <w:tcPr>
            <w:tcW w:w="2354" w:type="dxa"/>
            <w:tcBorders>
              <w:top w:val="single" w:sz="12" w:space="0" w:color="00000A"/>
              <w:left w:val="single" w:sz="12" w:space="0" w:color="00000A"/>
              <w:right w:val="single" w:sz="12" w:space="0" w:color="00000A"/>
              <w:insideV w:val="single" w:sz="12" w:space="0" w:color="00000A"/>
            </w:tcBorders>
            <w:shd w:fill="auto" w:val="clear"/>
            <w:tcMar>
              <w:left w:w="23" w:type="dxa"/>
            </w:tcMar>
            <w:vAlign w:val="center"/>
          </w:tcPr>
          <w:p>
            <w:pPr>
              <w:pStyle w:val="Normal"/>
              <w:spacing w:lineRule="auto" w:line="240" w:before="0" w:after="0"/>
              <w:jc w:val="center"/>
              <w:rPr>
                <w:b/>
                <w:b/>
                <w:szCs w:val="22"/>
              </w:rPr>
            </w:pPr>
            <w:r>
              <w:rPr>
                <w:b/>
                <w:szCs w:val="22"/>
              </w:rPr>
              <w:t>Za bežné účtovné obdobie</w:t>
            </w:r>
          </w:p>
        </w:tc>
        <w:tc>
          <w:tcPr>
            <w:tcW w:w="2459" w:type="dxa"/>
            <w:tcBorders>
              <w:top w:val="single" w:sz="12" w:space="0" w:color="00000A"/>
              <w:left w:val="single" w:sz="12" w:space="0" w:color="00000A"/>
              <w:right w:val="single" w:sz="12" w:space="0" w:color="00000A"/>
              <w:insideV w:val="single" w:sz="12" w:space="0" w:color="00000A"/>
            </w:tcBorders>
            <w:shd w:fill="auto" w:val="clear"/>
            <w:tcMar>
              <w:left w:w="23" w:type="dxa"/>
            </w:tcMar>
            <w:vAlign w:val="center"/>
          </w:tcPr>
          <w:p>
            <w:pPr>
              <w:pStyle w:val="Normal"/>
              <w:spacing w:lineRule="auto" w:line="240" w:before="0" w:after="0"/>
              <w:jc w:val="center"/>
              <w:rPr>
                <w:b/>
                <w:b/>
                <w:szCs w:val="22"/>
              </w:rPr>
            </w:pPr>
            <w:r>
              <w:rPr>
                <w:b/>
                <w:szCs w:val="22"/>
              </w:rPr>
              <w:t>Sumár od začiatku zákazkovej výstavby nehnuteľnosti určenej na predaj až do konca bežného účtovného obdobia</w:t>
            </w:r>
          </w:p>
        </w:tc>
      </w:tr>
      <w:tr>
        <w:trPr/>
        <w:tc>
          <w:tcPr>
            <w:tcW w:w="425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tcPr>
          <w:p>
            <w:pPr>
              <w:pStyle w:val="Normal"/>
              <w:spacing w:lineRule="auto" w:line="240" w:before="0" w:after="0"/>
              <w:jc w:val="center"/>
              <w:rPr>
                <w:szCs w:val="22"/>
              </w:rPr>
            </w:pPr>
            <w:r>
              <w:rPr>
                <w:szCs w:val="22"/>
              </w:rPr>
              <w:t>A</w:t>
            </w:r>
          </w:p>
        </w:tc>
        <w:tc>
          <w:tcPr>
            <w:tcW w:w="235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tcPr>
          <w:p>
            <w:pPr>
              <w:pStyle w:val="Normal"/>
              <w:spacing w:lineRule="auto" w:line="240" w:before="0" w:after="0"/>
              <w:jc w:val="center"/>
              <w:rPr>
                <w:szCs w:val="22"/>
              </w:rPr>
            </w:pPr>
            <w:r>
              <w:rPr>
                <w:szCs w:val="22"/>
              </w:rPr>
              <w:t>b</w:t>
            </w:r>
          </w:p>
        </w:tc>
        <w:tc>
          <w:tcPr>
            <w:tcW w:w="245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tcPr>
          <w:p>
            <w:pPr>
              <w:pStyle w:val="Normal"/>
              <w:spacing w:lineRule="auto" w:line="240" w:before="0" w:after="0"/>
              <w:jc w:val="center"/>
              <w:rPr>
                <w:szCs w:val="22"/>
              </w:rPr>
            </w:pPr>
            <w:r>
              <w:rPr>
                <w:szCs w:val="22"/>
              </w:rPr>
              <w:t>C</w:t>
            </w:r>
          </w:p>
        </w:tc>
      </w:tr>
      <w:tr>
        <w:trPr/>
        <w:tc>
          <w:tcPr>
            <w:tcW w:w="425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tcPr>
          <w:p>
            <w:pPr>
              <w:pStyle w:val="Normal"/>
              <w:spacing w:lineRule="auto" w:line="240" w:before="0" w:after="0"/>
              <w:rPr>
                <w:szCs w:val="22"/>
              </w:rPr>
            </w:pPr>
            <w:r>
              <w:rPr>
                <w:szCs w:val="22"/>
              </w:rPr>
              <w:t>Vyfakturované nároky za vykonanú prácu na zákazkovej výstavbe nehnuteľnosti určenej na predaj</w:t>
            </w:r>
          </w:p>
        </w:tc>
        <w:tc>
          <w:tcPr>
            <w:tcW w:w="2354"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c>
          <w:tcPr>
            <w:tcW w:w="245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r>
      <w:tr>
        <w:trPr/>
        <w:tc>
          <w:tcPr>
            <w:tcW w:w="425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tcPr>
          <w:p>
            <w:pPr>
              <w:pStyle w:val="Normal"/>
              <w:spacing w:lineRule="auto" w:line="240" w:before="0" w:after="0"/>
              <w:rPr>
                <w:szCs w:val="22"/>
              </w:rPr>
            </w:pPr>
            <w:r>
              <w:rPr>
                <w:szCs w:val="22"/>
              </w:rPr>
              <w:t>Úprava nárokov podľa stupňa dokončenia alebo metódou nulového zisku</w:t>
            </w:r>
          </w:p>
        </w:tc>
        <w:tc>
          <w:tcPr>
            <w:tcW w:w="2354"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c>
          <w:tcPr>
            <w:tcW w:w="245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r>
      <w:tr>
        <w:trPr>
          <w:trHeight w:val="397" w:hRule="atLeast"/>
        </w:trPr>
        <w:tc>
          <w:tcPr>
            <w:tcW w:w="425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t>Suma prijatých preddavkov</w:t>
            </w:r>
          </w:p>
        </w:tc>
        <w:tc>
          <w:tcPr>
            <w:tcW w:w="2354"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c>
          <w:tcPr>
            <w:tcW w:w="245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r>
      <w:tr>
        <w:trPr>
          <w:trHeight w:val="397" w:hRule="atLeast"/>
        </w:trPr>
        <w:tc>
          <w:tcPr>
            <w:tcW w:w="425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t>Suma zadržanej platby</w:t>
            </w:r>
          </w:p>
        </w:tc>
        <w:tc>
          <w:tcPr>
            <w:tcW w:w="2354"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c>
          <w:tcPr>
            <w:tcW w:w="245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23" w:type="dxa"/>
            </w:tcMar>
            <w:vAlign w:val="center"/>
          </w:tcPr>
          <w:p>
            <w:pPr>
              <w:pStyle w:val="Normal"/>
              <w:spacing w:lineRule="auto" w:line="240" w:before="0" w:after="0"/>
              <w:rPr>
                <w:szCs w:val="22"/>
              </w:rPr>
            </w:pPr>
            <w:r>
              <w:rPr>
                <w:szCs w:val="22"/>
              </w:rPr>
            </w:r>
          </w:p>
        </w:tc>
      </w:tr>
    </w:tbl>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 xml:space="preserve">Tvorba, zníženie a zrušenie opravných položiek k pohľadávkam </w:t>
      </w:r>
    </w:p>
    <w:p>
      <w:pPr>
        <w:pStyle w:val="Nzov"/>
        <w:numPr>
          <w:ilvl w:val="0"/>
          <w:numId w:val="2"/>
        </w:numPr>
        <w:spacing w:beforeAutospacing="0" w:before="0" w:after="0"/>
        <w:jc w:val="left"/>
        <w:rPr>
          <w:szCs w:val="22"/>
        </w:rPr>
      </w:pPr>
      <w:r>
        <w:rPr>
          <w:szCs w:val="22"/>
        </w:rPr>
        <w:t xml:space="preserve">Informácie k prílohe č. 3 časti F. písm. r) o vývoji opravnej položky k pohľadávkam </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6" w:type="dxa"/>
          <w:bottom w:w="0" w:type="dxa"/>
          <w:right w:w="70" w:type="dxa"/>
        </w:tblCellMar>
        <w:tblLook w:val="00a0"/>
      </w:tblPr>
      <w:tblGrid>
        <w:gridCol w:w="2023"/>
        <w:gridCol w:w="1257"/>
        <w:gridCol w:w="1200"/>
        <w:gridCol w:w="1668"/>
        <w:gridCol w:w="1637"/>
        <w:gridCol w:w="1286"/>
      </w:tblGrid>
      <w:tr>
        <w:trPr/>
        <w:tc>
          <w:tcPr>
            <w:tcW w:w="2023" w:type="dxa"/>
            <w:vMerge w:val="restart"/>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Pohľadávky</w:t>
            </w:r>
          </w:p>
        </w:tc>
        <w:tc>
          <w:tcPr>
            <w:tcW w:w="7048" w:type="dxa"/>
            <w:gridSpan w:val="5"/>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Bežné účtovné obdobie</w:t>
            </w:r>
          </w:p>
        </w:tc>
      </w:tr>
      <w:tr>
        <w:trPr/>
        <w:tc>
          <w:tcPr>
            <w:tcW w:w="2023" w:type="dxa"/>
            <w:vMerge w:val="continue"/>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Normal"/>
              <w:spacing w:lineRule="auto" w:line="240" w:before="0" w:after="0"/>
              <w:rPr>
                <w:b/>
                <w:b/>
                <w:bCs/>
                <w:szCs w:val="22"/>
              </w:rPr>
            </w:pPr>
            <w:r>
              <w:rPr>
                <w:b/>
                <w:bCs/>
                <w:szCs w:val="22"/>
              </w:rPr>
            </w:r>
          </w:p>
        </w:tc>
        <w:tc>
          <w:tcPr>
            <w:tcW w:w="1257"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Stav OP na začiatku účtovného obdobia</w:t>
            </w:r>
          </w:p>
        </w:tc>
        <w:tc>
          <w:tcPr>
            <w:tcW w:w="1200"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Tvorba</w:t>
            </w:r>
          </w:p>
          <w:p>
            <w:pPr>
              <w:pStyle w:val="TopHeader"/>
              <w:rPr/>
            </w:pPr>
            <w:r>
              <w:rPr/>
              <w:t>OP</w:t>
            </w:r>
          </w:p>
        </w:tc>
        <w:tc>
          <w:tcPr>
            <w:tcW w:w="1668"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Zúčtovanie</w:t>
              <w:br/>
              <w:t xml:space="preserve"> OP z dôvodu zániku opodstatnenosti</w:t>
            </w:r>
          </w:p>
        </w:tc>
        <w:tc>
          <w:tcPr>
            <w:tcW w:w="1637"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 xml:space="preserve">Zúčtovanie </w:t>
              <w:br/>
              <w:t xml:space="preserve">OP z dôvodu vyradenia majetku </w:t>
              <w:br/>
              <w:t>z účtovníctva</w:t>
            </w:r>
          </w:p>
        </w:tc>
        <w:tc>
          <w:tcPr>
            <w:tcW w:w="1286"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Stav OP na konci účtovného obdobia</w:t>
            </w:r>
          </w:p>
        </w:tc>
      </w:tr>
      <w:tr>
        <w:trPr/>
        <w:tc>
          <w:tcPr>
            <w:tcW w:w="202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A</w:t>
            </w:r>
          </w:p>
        </w:tc>
        <w:tc>
          <w:tcPr>
            <w:tcW w:w="125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B</w:t>
            </w:r>
          </w:p>
        </w:tc>
        <w:tc>
          <w:tcPr>
            <w:tcW w:w="120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c</w:t>
            </w:r>
          </w:p>
        </w:tc>
        <w:tc>
          <w:tcPr>
            <w:tcW w:w="166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d</w:t>
            </w:r>
          </w:p>
        </w:tc>
        <w:tc>
          <w:tcPr>
            <w:tcW w:w="163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E</w:t>
            </w:r>
          </w:p>
        </w:tc>
        <w:tc>
          <w:tcPr>
            <w:tcW w:w="128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f</w:t>
            </w:r>
          </w:p>
        </w:tc>
      </w:tr>
      <w:tr>
        <w:trPr>
          <w:trHeight w:val="397" w:hRule="atLeast"/>
        </w:trPr>
        <w:tc>
          <w:tcPr>
            <w:tcW w:w="2023"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 xml:space="preserve">Pohľadávky z obchodného styku </w:t>
            </w:r>
          </w:p>
        </w:tc>
        <w:tc>
          <w:tcPr>
            <w:tcW w:w="1257" w:type="dxa"/>
            <w:tcBorders>
              <w:top w:val="single" w:sz="12"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1200"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pPr>
            <w:r>
              <w:rPr>
                <w:szCs w:val="22"/>
              </w:rPr>
              <w:t xml:space="preserve"> </w:t>
            </w:r>
          </w:p>
        </w:tc>
        <w:tc>
          <w:tcPr>
            <w:tcW w:w="1668"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637"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286" w:type="dxa"/>
            <w:tcBorders>
              <w:top w:val="single" w:sz="12"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c>
          <w:tcPr>
            <w:tcW w:w="2023"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pPr>
            <w:r>
              <w:rPr>
                <w:szCs w:val="22"/>
              </w:rPr>
              <w:t>Pohľadávky voči DÚJ a MÚJ</w:t>
            </w:r>
          </w:p>
        </w:tc>
        <w:tc>
          <w:tcPr>
            <w:tcW w:w="1257"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1200"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668"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63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286" w:type="dxa"/>
            <w:tcBorders>
              <w:top w:val="single" w:sz="6"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c>
          <w:tcPr>
            <w:tcW w:w="2023"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Ostatné pohľadávky v rámci kons. celku</w:t>
            </w:r>
          </w:p>
        </w:tc>
        <w:tc>
          <w:tcPr>
            <w:tcW w:w="1257"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1200"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668"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637"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286" w:type="dxa"/>
            <w:tcBorders>
              <w:top w:val="single" w:sz="4"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c>
          <w:tcPr>
            <w:tcW w:w="2023"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Pohľadávky voči spoločníkom, členom a združeniu</w:t>
            </w:r>
          </w:p>
        </w:tc>
        <w:tc>
          <w:tcPr>
            <w:tcW w:w="1257"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1200"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668"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637"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286" w:type="dxa"/>
            <w:tcBorders>
              <w:top w:val="single" w:sz="6"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rHeight w:val="454" w:hRule="atLeast"/>
        </w:trPr>
        <w:tc>
          <w:tcPr>
            <w:tcW w:w="2023"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Iné pohľadávky</w:t>
            </w:r>
          </w:p>
        </w:tc>
        <w:tc>
          <w:tcPr>
            <w:tcW w:w="1257"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1200"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668"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63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286" w:type="dxa"/>
            <w:tcBorders>
              <w:top w:val="single" w:sz="6"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rHeight w:val="340" w:hRule="atLeast"/>
        </w:trPr>
        <w:tc>
          <w:tcPr>
            <w:tcW w:w="2023"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b/>
                <w:b/>
                <w:szCs w:val="22"/>
              </w:rPr>
            </w:pPr>
            <w:r>
              <w:rPr>
                <w:b/>
                <w:szCs w:val="22"/>
              </w:rPr>
              <w:t>Pohľadávky spolu</w:t>
            </w:r>
          </w:p>
        </w:tc>
        <w:tc>
          <w:tcPr>
            <w:tcW w:w="1257"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6" w:type="dxa"/>
            </w:tcMar>
            <w:vAlign w:val="center"/>
          </w:tcPr>
          <w:p>
            <w:pPr>
              <w:pStyle w:val="Normal"/>
              <w:spacing w:lineRule="auto" w:line="240" w:before="0" w:after="0"/>
              <w:rPr>
                <w:b/>
                <w:b/>
                <w:szCs w:val="22"/>
              </w:rPr>
            </w:pPr>
            <w:r>
              <w:rPr>
                <w:b/>
                <w:szCs w:val="22"/>
              </w:rPr>
            </w:r>
          </w:p>
        </w:tc>
        <w:tc>
          <w:tcPr>
            <w:tcW w:w="1200"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4" w:type="dxa"/>
            </w:tcMar>
            <w:vAlign w:val="center"/>
          </w:tcPr>
          <w:p>
            <w:pPr>
              <w:pStyle w:val="Normal"/>
              <w:spacing w:lineRule="auto" w:line="240" w:before="0" w:after="0"/>
              <w:rPr>
                <w:b/>
                <w:b/>
                <w:szCs w:val="22"/>
              </w:rPr>
            </w:pPr>
            <w:r>
              <w:rPr>
                <w:b/>
                <w:szCs w:val="22"/>
              </w:rPr>
            </w:r>
          </w:p>
        </w:tc>
        <w:tc>
          <w:tcPr>
            <w:tcW w:w="1668"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4" w:type="dxa"/>
            </w:tcMar>
            <w:vAlign w:val="center"/>
          </w:tcPr>
          <w:p>
            <w:pPr>
              <w:pStyle w:val="Normal"/>
              <w:spacing w:lineRule="auto" w:line="240" w:before="0" w:after="0"/>
              <w:rPr>
                <w:b/>
                <w:b/>
                <w:szCs w:val="22"/>
              </w:rPr>
            </w:pPr>
            <w:r>
              <w:rPr>
                <w:b/>
                <w:szCs w:val="22"/>
              </w:rPr>
            </w:r>
          </w:p>
        </w:tc>
        <w:tc>
          <w:tcPr>
            <w:tcW w:w="1637"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4" w:type="dxa"/>
            </w:tcMar>
            <w:vAlign w:val="center"/>
          </w:tcPr>
          <w:p>
            <w:pPr>
              <w:pStyle w:val="Normal"/>
              <w:spacing w:lineRule="auto" w:line="240" w:before="0" w:after="0"/>
              <w:rPr>
                <w:b/>
                <w:b/>
                <w:szCs w:val="22"/>
              </w:rPr>
            </w:pPr>
            <w:r>
              <w:rPr>
                <w:b/>
                <w:szCs w:val="22"/>
              </w:rPr>
            </w:r>
          </w:p>
        </w:tc>
        <w:tc>
          <w:tcPr>
            <w:tcW w:w="1286"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54" w:type="dxa"/>
            </w:tcMar>
            <w:vAlign w:val="center"/>
          </w:tcPr>
          <w:p>
            <w:pPr>
              <w:pStyle w:val="Normal"/>
              <w:spacing w:lineRule="auto" w:line="240" w:before="0" w:after="0"/>
              <w:rPr>
                <w:b/>
                <w:b/>
                <w:szCs w:val="22"/>
              </w:rPr>
            </w:pPr>
            <w:r>
              <w:rPr>
                <w:b/>
                <w:szCs w:val="22"/>
              </w:rPr>
            </w:r>
          </w:p>
        </w:tc>
      </w:tr>
    </w:tbl>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 xml:space="preserve">Veková štruktúra pohľadávok                                                                  . </w:t>
      </w:r>
    </w:p>
    <w:p>
      <w:pPr>
        <w:pStyle w:val="Nzov"/>
        <w:keepNext/>
        <w:widowControl w:val="false"/>
        <w:numPr>
          <w:ilvl w:val="0"/>
          <w:numId w:val="2"/>
        </w:numPr>
        <w:spacing w:beforeAutospacing="0" w:before="0" w:after="0"/>
        <w:jc w:val="left"/>
        <w:rPr>
          <w:szCs w:val="22"/>
        </w:rPr>
      </w:pPr>
      <w:r>
        <w:rPr>
          <w:szCs w:val="22"/>
        </w:rPr>
        <w:t xml:space="preserve">Informácie k prílohe č. 3 časti F. písm. s) o vekovej štruktúre pohľadávok </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32" w:type="dxa"/>
          <w:bottom w:w="0" w:type="dxa"/>
          <w:right w:w="108" w:type="dxa"/>
        </w:tblCellMar>
        <w:tblLook w:val="00a0"/>
      </w:tblPr>
      <w:tblGrid>
        <w:gridCol w:w="3428"/>
        <w:gridCol w:w="1937"/>
        <w:gridCol w:w="1799"/>
        <w:gridCol w:w="1907"/>
      </w:tblGrid>
      <w:tr>
        <w:trPr/>
        <w:tc>
          <w:tcPr>
            <w:tcW w:w="3428"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Názov položky</w:t>
            </w:r>
          </w:p>
        </w:tc>
        <w:tc>
          <w:tcPr>
            <w:tcW w:w="1937"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V lehote splatnosti</w:t>
            </w:r>
          </w:p>
        </w:tc>
        <w:tc>
          <w:tcPr>
            <w:tcW w:w="1799"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Po lehote splatnosti</w:t>
            </w:r>
          </w:p>
        </w:tc>
        <w:tc>
          <w:tcPr>
            <w:tcW w:w="1907"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Pohľadávky spolu</w:t>
            </w:r>
          </w:p>
        </w:tc>
      </w:tr>
      <w:tr>
        <w:trPr>
          <w:trHeight w:val="227" w:hRule="exact"/>
        </w:trPr>
        <w:tc>
          <w:tcPr>
            <w:tcW w:w="342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TopHeader"/>
              <w:rPr>
                <w:b w:val="false"/>
                <w:b w:val="false"/>
              </w:rPr>
            </w:pPr>
            <w:r>
              <w:rPr>
                <w:b w:val="false"/>
              </w:rPr>
              <w:t>A</w:t>
            </w:r>
          </w:p>
        </w:tc>
        <w:tc>
          <w:tcPr>
            <w:tcW w:w="193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TopHeader"/>
              <w:rPr>
                <w:b w:val="false"/>
                <w:b w:val="false"/>
              </w:rPr>
            </w:pPr>
            <w:r>
              <w:rPr>
                <w:b w:val="false"/>
              </w:rPr>
              <w:t>B</w:t>
            </w:r>
          </w:p>
        </w:tc>
        <w:tc>
          <w:tcPr>
            <w:tcW w:w="179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TopHeader"/>
              <w:rPr>
                <w:b w:val="false"/>
                <w:b w:val="false"/>
              </w:rPr>
            </w:pPr>
            <w:r>
              <w:rPr>
                <w:b w:val="false"/>
              </w:rPr>
              <w:t>C</w:t>
            </w:r>
          </w:p>
        </w:tc>
        <w:tc>
          <w:tcPr>
            <w:tcW w:w="190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TopHeader"/>
              <w:rPr>
                <w:b w:val="false"/>
                <w:b w:val="false"/>
              </w:rPr>
            </w:pPr>
            <w:r>
              <w:rPr>
                <w:b w:val="false"/>
              </w:rPr>
              <w:t>D</w:t>
            </w:r>
          </w:p>
        </w:tc>
      </w:tr>
      <w:tr>
        <w:trPr>
          <w:trHeight w:val="397" w:hRule="atLeast"/>
        </w:trPr>
        <w:tc>
          <w:tcPr>
            <w:tcW w:w="9071" w:type="dxa"/>
            <w:gridSpan w:val="4"/>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32" w:type="dxa"/>
            </w:tcMar>
            <w:vAlign w:val="center"/>
          </w:tcPr>
          <w:p>
            <w:pPr>
              <w:pStyle w:val="Normal"/>
              <w:spacing w:lineRule="auto" w:line="240" w:before="0" w:after="0"/>
              <w:rPr>
                <w:b/>
                <w:b/>
                <w:szCs w:val="22"/>
              </w:rPr>
            </w:pPr>
            <w:r>
              <w:rPr>
                <w:b/>
                <w:szCs w:val="22"/>
              </w:rPr>
              <w:t>Dlhodobé pohľadávky</w:t>
            </w:r>
          </w:p>
        </w:tc>
      </w:tr>
      <w:tr>
        <w:trPr>
          <w:trHeight w:val="425" w:hRule="atLeast"/>
        </w:trPr>
        <w:tc>
          <w:tcPr>
            <w:tcW w:w="3428"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Pohľadávky z obchodného styku</w:t>
            </w:r>
          </w:p>
        </w:tc>
        <w:tc>
          <w:tcPr>
            <w:tcW w:w="1937"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r>
          </w:p>
        </w:tc>
        <w:tc>
          <w:tcPr>
            <w:tcW w:w="1799"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907"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 xml:space="preserve">Pohľadávky voči DÚJ a MÚJ </w:t>
            </w:r>
          </w:p>
        </w:tc>
        <w:tc>
          <w:tcPr>
            <w:tcW w:w="193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r>
          </w:p>
        </w:tc>
        <w:tc>
          <w:tcPr>
            <w:tcW w:w="179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Ostatné pohľadávky v rámci konsolidovaného celku</w:t>
            </w:r>
          </w:p>
        </w:tc>
        <w:tc>
          <w:tcPr>
            <w:tcW w:w="193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r>
          </w:p>
        </w:tc>
        <w:tc>
          <w:tcPr>
            <w:tcW w:w="179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Pohľadávky voči spoločníkom, členom a združeniu</w:t>
            </w:r>
          </w:p>
        </w:tc>
        <w:tc>
          <w:tcPr>
            <w:tcW w:w="1937"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r>
          </w:p>
        </w:tc>
        <w:tc>
          <w:tcPr>
            <w:tcW w:w="1799"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Iné pohľadávky</w:t>
            </w:r>
          </w:p>
        </w:tc>
        <w:tc>
          <w:tcPr>
            <w:tcW w:w="1937"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r>
          </w:p>
        </w:tc>
        <w:tc>
          <w:tcPr>
            <w:tcW w:w="1799"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907" w:type="dxa"/>
            <w:tcBorders>
              <w:top w:val="single" w:sz="6"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Normal"/>
              <w:spacing w:lineRule="auto" w:line="240" w:before="0" w:after="0"/>
              <w:rPr>
                <w:b/>
                <w:b/>
                <w:szCs w:val="22"/>
              </w:rPr>
            </w:pPr>
            <w:r>
              <w:rPr>
                <w:b/>
                <w:szCs w:val="22"/>
              </w:rPr>
              <w:t>Dlhodobé pohľadávky spolu</w:t>
            </w:r>
          </w:p>
        </w:tc>
        <w:tc>
          <w:tcPr>
            <w:tcW w:w="1937"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32" w:type="dxa"/>
            </w:tcMar>
            <w:vAlign w:val="center"/>
          </w:tcPr>
          <w:p>
            <w:pPr>
              <w:pStyle w:val="Normal"/>
              <w:spacing w:lineRule="auto" w:line="240" w:before="0" w:after="0"/>
              <w:rPr>
                <w:b/>
                <w:b/>
                <w:szCs w:val="22"/>
              </w:rPr>
            </w:pPr>
            <w:r>
              <w:rPr>
                <w:b/>
                <w:szCs w:val="22"/>
              </w:rPr>
            </w:r>
          </w:p>
        </w:tc>
        <w:tc>
          <w:tcPr>
            <w:tcW w:w="1799"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92" w:type="dxa"/>
            </w:tcMar>
            <w:vAlign w:val="center"/>
          </w:tcPr>
          <w:p>
            <w:pPr>
              <w:pStyle w:val="Normal"/>
              <w:spacing w:lineRule="auto" w:line="240" w:before="0" w:after="0"/>
              <w:rPr>
                <w:b/>
                <w:b/>
                <w:szCs w:val="22"/>
              </w:rPr>
            </w:pPr>
            <w:r>
              <w:rPr>
                <w:b/>
                <w:szCs w:val="22"/>
              </w:rPr>
            </w:r>
          </w:p>
        </w:tc>
        <w:tc>
          <w:tcPr>
            <w:tcW w:w="1907"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92" w:type="dxa"/>
            </w:tcMar>
            <w:vAlign w:val="center"/>
          </w:tcPr>
          <w:p>
            <w:pPr>
              <w:pStyle w:val="Normal"/>
              <w:spacing w:lineRule="auto" w:line="240" w:before="0" w:after="0"/>
              <w:rPr>
                <w:b/>
                <w:b/>
                <w:szCs w:val="22"/>
              </w:rPr>
            </w:pPr>
            <w:r>
              <w:rPr>
                <w:b/>
                <w:szCs w:val="22"/>
              </w:rPr>
            </w:r>
          </w:p>
        </w:tc>
      </w:tr>
      <w:tr>
        <w:trPr>
          <w:trHeight w:val="397" w:hRule="atLeast"/>
        </w:trPr>
        <w:tc>
          <w:tcPr>
            <w:tcW w:w="9071" w:type="dxa"/>
            <w:gridSpan w:val="4"/>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32" w:type="dxa"/>
            </w:tcMar>
            <w:vAlign w:val="center"/>
          </w:tcPr>
          <w:p>
            <w:pPr>
              <w:pStyle w:val="Normal"/>
              <w:spacing w:lineRule="auto" w:line="240" w:before="0" w:after="0"/>
              <w:rPr>
                <w:b/>
                <w:b/>
                <w:szCs w:val="22"/>
              </w:rPr>
            </w:pPr>
            <w:r>
              <w:rPr>
                <w:b/>
                <w:szCs w:val="22"/>
              </w:rPr>
              <w:t>Krátkodobé pohľadávky</w:t>
            </w:r>
          </w:p>
        </w:tc>
      </w:tr>
      <w:tr>
        <w:trPr>
          <w:trHeight w:val="425" w:hRule="atLeast"/>
        </w:trPr>
        <w:tc>
          <w:tcPr>
            <w:tcW w:w="3428"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Pohľadávky z obchodného styku</w:t>
            </w:r>
          </w:p>
        </w:tc>
        <w:tc>
          <w:tcPr>
            <w:tcW w:w="1937"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t xml:space="preserve">   </w:t>
            </w:r>
            <w:r>
              <w:rPr>
                <w:szCs w:val="22"/>
              </w:rPr>
              <w:t>7 748</w:t>
            </w:r>
          </w:p>
        </w:tc>
        <w:tc>
          <w:tcPr>
            <w:tcW w:w="1799"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pPr>
            <w:r>
              <w:rPr>
                <w:szCs w:val="22"/>
              </w:rPr>
              <w:t xml:space="preserve">51948   </w:t>
            </w:r>
          </w:p>
        </w:tc>
        <w:tc>
          <w:tcPr>
            <w:tcW w:w="1907"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pPr>
            <w:r>
              <w:rPr>
                <w:szCs w:val="22"/>
              </w:rPr>
              <w:t xml:space="preserve">   </w:t>
            </w:r>
            <w:r>
              <w:rPr>
                <w:szCs w:val="22"/>
              </w:rPr>
              <w:t xml:space="preserve">59696     </w:t>
            </w:r>
          </w:p>
        </w:tc>
      </w:tr>
      <w:tr>
        <w:trPr>
          <w:trHeight w:val="425" w:hRule="atLeast"/>
        </w:trPr>
        <w:tc>
          <w:tcPr>
            <w:tcW w:w="342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 xml:space="preserve">Pohľadávky voči DÚJ a MÚJ </w:t>
            </w:r>
          </w:p>
        </w:tc>
        <w:tc>
          <w:tcPr>
            <w:tcW w:w="193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t xml:space="preserve">     </w:t>
            </w:r>
          </w:p>
        </w:tc>
        <w:tc>
          <w:tcPr>
            <w:tcW w:w="179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Ostatné pohľadávky v rámci konsolidovaného celku</w:t>
            </w:r>
          </w:p>
        </w:tc>
        <w:tc>
          <w:tcPr>
            <w:tcW w:w="193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r>
          </w:p>
        </w:tc>
        <w:tc>
          <w:tcPr>
            <w:tcW w:w="179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Pohľadávky voči spoločníkom, členom a združeniu</w:t>
            </w:r>
          </w:p>
        </w:tc>
        <w:tc>
          <w:tcPr>
            <w:tcW w:w="193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r>
          </w:p>
        </w:tc>
        <w:tc>
          <w:tcPr>
            <w:tcW w:w="179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Sociálne poistenie</w:t>
            </w:r>
          </w:p>
        </w:tc>
        <w:tc>
          <w:tcPr>
            <w:tcW w:w="1937"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r>
          </w:p>
        </w:tc>
        <w:tc>
          <w:tcPr>
            <w:tcW w:w="1799"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Daňové pohľadávky a dotácie</w:t>
            </w:r>
          </w:p>
        </w:tc>
        <w:tc>
          <w:tcPr>
            <w:tcW w:w="1937"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r>
          </w:p>
        </w:tc>
        <w:tc>
          <w:tcPr>
            <w:tcW w:w="1799"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907" w:type="dxa"/>
            <w:tcBorders>
              <w:top w:val="single" w:sz="6"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Iné pohľadávky</w:t>
            </w:r>
          </w:p>
        </w:tc>
        <w:tc>
          <w:tcPr>
            <w:tcW w:w="193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r>
          </w:p>
        </w:tc>
        <w:tc>
          <w:tcPr>
            <w:tcW w:w="179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Normal"/>
              <w:spacing w:lineRule="auto" w:line="240" w:before="0" w:after="0"/>
              <w:rPr>
                <w:b/>
                <w:b/>
                <w:szCs w:val="22"/>
              </w:rPr>
            </w:pPr>
            <w:r>
              <w:rPr>
                <w:b/>
                <w:szCs w:val="22"/>
              </w:rPr>
              <w:t>Krátkodobé pohľadávky spolu</w:t>
            </w:r>
          </w:p>
        </w:tc>
        <w:tc>
          <w:tcPr>
            <w:tcW w:w="1937"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32" w:type="dxa"/>
            </w:tcMar>
            <w:vAlign w:val="center"/>
          </w:tcPr>
          <w:p>
            <w:pPr>
              <w:pStyle w:val="Normal"/>
              <w:spacing w:lineRule="auto" w:line="240" w:before="0" w:after="0"/>
              <w:rPr>
                <w:b/>
                <w:b/>
                <w:szCs w:val="22"/>
              </w:rPr>
            </w:pPr>
            <w:r>
              <w:rPr>
                <w:b/>
                <w:szCs w:val="22"/>
              </w:rPr>
              <w:t xml:space="preserve">  </w:t>
            </w:r>
            <w:r>
              <w:rPr>
                <w:b/>
                <w:szCs w:val="22"/>
              </w:rPr>
              <w:t>7748</w:t>
            </w:r>
          </w:p>
        </w:tc>
        <w:tc>
          <w:tcPr>
            <w:tcW w:w="1799"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92" w:type="dxa"/>
            </w:tcMar>
            <w:vAlign w:val="center"/>
          </w:tcPr>
          <w:p>
            <w:pPr>
              <w:pStyle w:val="Normal"/>
              <w:spacing w:lineRule="auto" w:line="240" w:before="0" w:after="0"/>
              <w:rPr/>
            </w:pPr>
            <w:r>
              <w:rPr>
                <w:b/>
                <w:szCs w:val="22"/>
              </w:rPr>
              <w:t xml:space="preserve">   </w:t>
            </w:r>
            <w:r>
              <w:rPr>
                <w:b/>
                <w:szCs w:val="22"/>
              </w:rPr>
              <w:t>51948</w:t>
            </w:r>
          </w:p>
        </w:tc>
        <w:tc>
          <w:tcPr>
            <w:tcW w:w="1907"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92" w:type="dxa"/>
            </w:tcMar>
            <w:vAlign w:val="center"/>
          </w:tcPr>
          <w:p>
            <w:pPr>
              <w:pStyle w:val="Normal"/>
              <w:spacing w:lineRule="auto" w:line="240" w:before="0" w:after="0"/>
              <w:rPr/>
            </w:pPr>
            <w:r>
              <w:rPr>
                <w:b/>
                <w:szCs w:val="22"/>
              </w:rPr>
              <w:t xml:space="preserve">  </w:t>
            </w:r>
            <w:r>
              <w:rPr>
                <w:b/>
                <w:szCs w:val="22"/>
              </w:rPr>
              <w:t xml:space="preserve">59696  </w:t>
            </w:r>
          </w:p>
        </w:tc>
      </w:tr>
    </w:tbl>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Hodnota pohľadávok zabezpečených záložným právom alebo ináč zabezpečená s uvedením formy záložného práva a zabezpečenia : spoločnosť nemá pohľadávky, ktoré by boli zabezpečené záložným právom alebo inou formou zabezpečenia</w:t>
      </w:r>
    </w:p>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 xml:space="preserve">Hodnota pohľadávok, na ktoré sa zriadilo záložné právo :                                .  </w:t>
        <w:br/>
        <w:t>Hodnota pohľadávok, pri ktorých má účtovná jednotka obmedzené právo s nimi nakladať                                                                                              .</w:t>
      </w:r>
    </w:p>
    <w:p>
      <w:pPr>
        <w:pStyle w:val="Nzov"/>
        <w:keepNext/>
        <w:widowControl w:val="false"/>
        <w:spacing w:beforeAutospacing="0" w:before="0" w:after="0"/>
        <w:ind w:left="720" w:hanging="0"/>
        <w:jc w:val="left"/>
        <w:rPr>
          <w:szCs w:val="22"/>
        </w:rPr>
      </w:pPr>
      <w:r>
        <w:rPr>
          <w:szCs w:val="22"/>
        </w:rPr>
        <w:t>Spoločnosť nemá pohľadávky, ktoré by boli zabezpečené záložným právom alebo inou formou</w:t>
      </w:r>
    </w:p>
    <w:p>
      <w:pPr>
        <w:pStyle w:val="Nzov"/>
        <w:keepNext/>
        <w:numPr>
          <w:ilvl w:val="0"/>
          <w:numId w:val="2"/>
        </w:numPr>
        <w:spacing w:beforeAutospacing="0" w:before="0" w:after="0"/>
        <w:jc w:val="both"/>
        <w:rPr>
          <w:szCs w:val="22"/>
        </w:rPr>
      </w:pPr>
      <w:r>
        <w:rPr>
          <w:szCs w:val="22"/>
        </w:rPr>
        <w:t xml:space="preserve">Informácie k prílohe č. 3 časti F. písm. t) a u) o pohľadávkach zabezpečených záložným právom alebo inou formou zabezpečenia  </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6" w:type="dxa"/>
          <w:bottom w:w="0" w:type="dxa"/>
          <w:right w:w="70" w:type="dxa"/>
        </w:tblCellMar>
        <w:tblLook w:val="00a0"/>
      </w:tblPr>
      <w:tblGrid>
        <w:gridCol w:w="4672"/>
        <w:gridCol w:w="2237"/>
        <w:gridCol w:w="2163"/>
      </w:tblGrid>
      <w:tr>
        <w:trPr/>
        <w:tc>
          <w:tcPr>
            <w:tcW w:w="4672" w:type="dxa"/>
            <w:vMerge w:val="restart"/>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Opis predmetu záložného práva</w:t>
            </w:r>
          </w:p>
        </w:tc>
        <w:tc>
          <w:tcPr>
            <w:tcW w:w="4400" w:type="dxa"/>
            <w:gridSpan w:val="2"/>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Bežné účtovné obdobie</w:t>
            </w:r>
          </w:p>
        </w:tc>
      </w:tr>
      <w:tr>
        <w:trPr/>
        <w:tc>
          <w:tcPr>
            <w:tcW w:w="4672" w:type="dxa"/>
            <w:vMerge w:val="continue"/>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Normal"/>
              <w:spacing w:lineRule="auto" w:line="240" w:before="0" w:after="0"/>
              <w:rPr>
                <w:b/>
                <w:b/>
                <w:bCs/>
                <w:szCs w:val="22"/>
              </w:rPr>
            </w:pPr>
            <w:r>
              <w:rPr>
                <w:b/>
                <w:bCs/>
                <w:szCs w:val="22"/>
              </w:rPr>
            </w:r>
          </w:p>
        </w:tc>
        <w:tc>
          <w:tcPr>
            <w:tcW w:w="2237"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Hodnota predmetu záložného práva</w:t>
            </w:r>
          </w:p>
        </w:tc>
        <w:tc>
          <w:tcPr>
            <w:tcW w:w="2163"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Hodnota</w:t>
              <w:br/>
              <w:t> pohľadávky</w:t>
            </w:r>
          </w:p>
        </w:tc>
      </w:tr>
      <w:tr>
        <w:trPr>
          <w:trHeight w:val="510" w:hRule="atLeast"/>
        </w:trPr>
        <w:tc>
          <w:tcPr>
            <w:tcW w:w="4672"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Pohľadávky kryté záložným právom alebo inou formou zabezpečenia</w:t>
            </w:r>
          </w:p>
        </w:tc>
        <w:tc>
          <w:tcPr>
            <w:tcW w:w="2237"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2163"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rHeight w:val="340" w:hRule="atLeast"/>
        </w:trPr>
        <w:tc>
          <w:tcPr>
            <w:tcW w:w="4672"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Hodnota pohľadávok, na ktoré sa zriadilo záložné právo</w:t>
            </w:r>
          </w:p>
        </w:tc>
        <w:tc>
          <w:tcPr>
            <w:tcW w:w="2237"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6" w:type="dxa"/>
            </w:tcMar>
            <w:vAlign w:val="center"/>
          </w:tcPr>
          <w:p>
            <w:pPr>
              <w:pStyle w:val="Normal"/>
              <w:spacing w:lineRule="auto" w:line="240" w:before="0" w:after="0"/>
              <w:jc w:val="center"/>
              <w:rPr>
                <w:szCs w:val="22"/>
              </w:rPr>
            </w:pPr>
            <w:r>
              <w:rPr>
                <w:szCs w:val="22"/>
              </w:rPr>
              <w:t>x</w:t>
            </w:r>
          </w:p>
        </w:tc>
        <w:tc>
          <w:tcPr>
            <w:tcW w:w="2163"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bl>
    <w:p>
      <w:pPr>
        <w:pStyle w:val="ListParagraph"/>
        <w:numPr>
          <w:ilvl w:val="0"/>
          <w:numId w:val="9"/>
        </w:numPr>
        <w:spacing w:lineRule="auto" w:line="240" w:before="0" w:after="0"/>
        <w:contextualSpacing/>
        <w:jc w:val="both"/>
        <w:rPr>
          <w:rFonts w:ascii="Arial" w:hAnsi="Arial"/>
          <w:sz w:val="24"/>
          <w:szCs w:val="24"/>
          <w:lang w:eastAsia="sk-SK"/>
        </w:rPr>
      </w:pPr>
      <w:r>
        <w:rPr>
          <w:rFonts w:ascii="Arial" w:hAnsi="Arial"/>
          <w:sz w:val="24"/>
          <w:szCs w:val="24"/>
          <w:lang w:eastAsia="sk-SK"/>
        </w:rPr>
        <w:t>Popis odloženej daňovej pohľadávky :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 xml:space="preserve">Významné zložky krátkodobého finančného majetku : </w:t>
      </w:r>
    </w:p>
    <w:p>
      <w:pPr>
        <w:pStyle w:val="Nzov"/>
        <w:numPr>
          <w:ilvl w:val="0"/>
          <w:numId w:val="2"/>
        </w:numPr>
        <w:spacing w:beforeAutospacing="0" w:before="0" w:after="0"/>
        <w:jc w:val="left"/>
        <w:rPr>
          <w:szCs w:val="22"/>
        </w:rPr>
      </w:pPr>
      <w:r>
        <w:rPr>
          <w:szCs w:val="22"/>
        </w:rPr>
        <w:t xml:space="preserve">Informácie k prílohe č. 3 časti F. písm. w) o krátkodobom finančnom majetku </w:t>
      </w:r>
    </w:p>
    <w:p>
      <w:pPr>
        <w:pStyle w:val="Nzov"/>
        <w:keepNext/>
        <w:spacing w:beforeAutospacing="0" w:before="0" w:after="0"/>
        <w:jc w:val="left"/>
        <w:rPr>
          <w:b w:val="false"/>
          <w:b w:val="false"/>
          <w:szCs w:val="22"/>
        </w:rPr>
      </w:pPr>
      <w:r>
        <w:rPr>
          <w:b w:val="false"/>
          <w:szCs w:val="22"/>
        </w:rPr>
        <w:t xml:space="preserve">Tabuľka č. 1 </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32" w:type="dxa"/>
          <w:bottom w:w="0" w:type="dxa"/>
          <w:right w:w="108" w:type="dxa"/>
        </w:tblCellMar>
        <w:tblLook w:val="00a0"/>
      </w:tblPr>
      <w:tblGrid>
        <w:gridCol w:w="4141"/>
        <w:gridCol w:w="2582"/>
        <w:gridCol w:w="2349"/>
      </w:tblGrid>
      <w:tr>
        <w:trPr/>
        <w:tc>
          <w:tcPr>
            <w:tcW w:w="4141"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Názov položky</w:t>
            </w:r>
          </w:p>
        </w:tc>
        <w:tc>
          <w:tcPr>
            <w:tcW w:w="2582"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Bežné účtovné obdobie</w:t>
            </w:r>
          </w:p>
        </w:tc>
        <w:tc>
          <w:tcPr>
            <w:tcW w:w="2349"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Bezprostredne predchádzajúce účtovné obdobie</w:t>
            </w:r>
          </w:p>
        </w:tc>
      </w:tr>
      <w:tr>
        <w:trPr>
          <w:trHeight w:val="397" w:hRule="exact"/>
        </w:trPr>
        <w:tc>
          <w:tcPr>
            <w:tcW w:w="4141"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Pokladnica, ceniny</w:t>
            </w:r>
          </w:p>
        </w:tc>
        <w:tc>
          <w:tcPr>
            <w:tcW w:w="2582"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bCs/>
                <w:szCs w:val="22"/>
              </w:rPr>
            </w:pPr>
            <w:r>
              <w:rPr>
                <w:bCs/>
                <w:szCs w:val="22"/>
              </w:rPr>
              <w:t xml:space="preserve">          </w:t>
            </w:r>
            <w:r>
              <w:rPr>
                <w:bCs/>
                <w:szCs w:val="22"/>
              </w:rPr>
              <w:t>2522</w:t>
            </w:r>
          </w:p>
        </w:tc>
        <w:tc>
          <w:tcPr>
            <w:tcW w:w="2349"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bCs/>
                <w:szCs w:val="22"/>
              </w:rPr>
            </w:pPr>
            <w:r>
              <w:rPr>
                <w:bCs/>
                <w:szCs w:val="22"/>
              </w:rPr>
              <w:t xml:space="preserve">        </w:t>
            </w:r>
            <w:r>
              <w:rPr>
                <w:bCs/>
                <w:szCs w:val="22"/>
              </w:rPr>
              <w:t>325</w:t>
            </w:r>
          </w:p>
        </w:tc>
      </w:tr>
      <w:tr>
        <w:trPr>
          <w:trHeight w:val="526" w:hRule="exact"/>
        </w:trPr>
        <w:tc>
          <w:tcPr>
            <w:tcW w:w="414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bCs/>
                <w:szCs w:val="22"/>
              </w:rPr>
            </w:pPr>
            <w:r>
              <w:rPr>
                <w:bCs/>
                <w:szCs w:val="22"/>
              </w:rPr>
              <w:t>Bežné účty v banke alebo v pobočke zahraničnej banky</w:t>
            </w:r>
          </w:p>
        </w:tc>
        <w:tc>
          <w:tcPr>
            <w:tcW w:w="2582"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bCs/>
                <w:szCs w:val="22"/>
              </w:rPr>
            </w:pPr>
            <w:r>
              <w:rPr>
                <w:bCs/>
                <w:szCs w:val="22"/>
              </w:rPr>
              <w:t xml:space="preserve">      </w:t>
            </w:r>
            <w:r>
              <w:rPr>
                <w:bCs/>
                <w:szCs w:val="22"/>
              </w:rPr>
              <w:t>92775</w:t>
            </w:r>
          </w:p>
        </w:tc>
        <w:tc>
          <w:tcPr>
            <w:tcW w:w="2349"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bCs/>
                <w:szCs w:val="22"/>
              </w:rPr>
            </w:pPr>
            <w:r>
              <w:rPr>
                <w:bCs/>
                <w:szCs w:val="22"/>
              </w:rPr>
              <w:t xml:space="preserve">     </w:t>
            </w:r>
            <w:r>
              <w:rPr>
                <w:bCs/>
                <w:szCs w:val="22"/>
              </w:rPr>
              <w:t>40865</w:t>
            </w:r>
          </w:p>
        </w:tc>
      </w:tr>
      <w:tr>
        <w:trPr>
          <w:trHeight w:val="576" w:hRule="exact"/>
        </w:trPr>
        <w:tc>
          <w:tcPr>
            <w:tcW w:w="414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bCs/>
                <w:szCs w:val="22"/>
              </w:rPr>
            </w:pPr>
            <w:r>
              <w:rPr>
                <w:bCs/>
                <w:szCs w:val="22"/>
              </w:rPr>
              <w:t>Vkladové účty v banke alebo v pobočke zahraničnej banky termínované</w:t>
            </w:r>
          </w:p>
        </w:tc>
        <w:tc>
          <w:tcPr>
            <w:tcW w:w="2582"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bCs/>
                <w:szCs w:val="22"/>
              </w:rPr>
            </w:pPr>
            <w:r>
              <w:rPr>
                <w:bCs/>
                <w:szCs w:val="22"/>
              </w:rPr>
            </w:r>
          </w:p>
        </w:tc>
        <w:tc>
          <w:tcPr>
            <w:tcW w:w="2349"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bCs/>
                <w:szCs w:val="22"/>
              </w:rPr>
            </w:pPr>
            <w:r>
              <w:rPr>
                <w:bCs/>
                <w:szCs w:val="22"/>
              </w:rPr>
            </w:r>
          </w:p>
        </w:tc>
      </w:tr>
      <w:tr>
        <w:trPr>
          <w:trHeight w:val="397" w:hRule="exact"/>
        </w:trPr>
        <w:tc>
          <w:tcPr>
            <w:tcW w:w="414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bCs/>
                <w:szCs w:val="22"/>
              </w:rPr>
            </w:pPr>
            <w:r>
              <w:rPr>
                <w:bCs/>
                <w:szCs w:val="22"/>
              </w:rPr>
              <w:t>Peniaze na ceste</w:t>
            </w:r>
          </w:p>
        </w:tc>
        <w:tc>
          <w:tcPr>
            <w:tcW w:w="2582"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bCs/>
                <w:szCs w:val="22"/>
              </w:rPr>
            </w:pPr>
            <w:r>
              <w:rPr>
                <w:bCs/>
                <w:szCs w:val="22"/>
              </w:rPr>
            </w:r>
          </w:p>
        </w:tc>
        <w:tc>
          <w:tcPr>
            <w:tcW w:w="2349"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bCs/>
                <w:szCs w:val="22"/>
              </w:rPr>
            </w:pPr>
            <w:r>
              <w:rPr>
                <w:bCs/>
                <w:szCs w:val="22"/>
              </w:rPr>
            </w:r>
          </w:p>
        </w:tc>
      </w:tr>
      <w:tr>
        <w:trPr>
          <w:trHeight w:val="397" w:hRule="exact"/>
        </w:trPr>
        <w:tc>
          <w:tcPr>
            <w:tcW w:w="414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Normal"/>
              <w:spacing w:lineRule="auto" w:line="240" w:before="0" w:after="0"/>
              <w:rPr>
                <w:b/>
                <w:b/>
                <w:bCs/>
                <w:szCs w:val="22"/>
              </w:rPr>
            </w:pPr>
            <w:r>
              <w:rPr>
                <w:b/>
                <w:bCs/>
                <w:szCs w:val="22"/>
              </w:rPr>
              <w:t>Spolu</w:t>
            </w:r>
          </w:p>
        </w:tc>
        <w:tc>
          <w:tcPr>
            <w:tcW w:w="2582"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32" w:type="dxa"/>
            </w:tcMar>
            <w:vAlign w:val="center"/>
          </w:tcPr>
          <w:p>
            <w:pPr>
              <w:pStyle w:val="Normal"/>
              <w:spacing w:lineRule="auto" w:line="240" w:before="0" w:after="0"/>
              <w:rPr>
                <w:b/>
                <w:b/>
                <w:bCs/>
                <w:szCs w:val="22"/>
              </w:rPr>
            </w:pPr>
            <w:r>
              <w:rPr>
                <w:b/>
                <w:bCs/>
                <w:szCs w:val="22"/>
              </w:rPr>
            </w:r>
          </w:p>
        </w:tc>
        <w:tc>
          <w:tcPr>
            <w:tcW w:w="2349"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92" w:type="dxa"/>
            </w:tcMar>
            <w:vAlign w:val="center"/>
          </w:tcPr>
          <w:p>
            <w:pPr>
              <w:pStyle w:val="Normal"/>
              <w:spacing w:lineRule="auto" w:line="240" w:before="0" w:after="0"/>
              <w:rPr>
                <w:b/>
                <w:b/>
                <w:bCs/>
                <w:szCs w:val="22"/>
              </w:rPr>
            </w:pPr>
            <w:r>
              <w:rPr>
                <w:b/>
                <w:bCs/>
                <w:szCs w:val="22"/>
              </w:rPr>
            </w:r>
          </w:p>
        </w:tc>
      </w:tr>
    </w:tbl>
    <w:p>
      <w:pPr>
        <w:pStyle w:val="Nzov"/>
        <w:keepNext/>
        <w:widowControl w:val="false"/>
        <w:spacing w:beforeAutospacing="0" w:before="0" w:after="0"/>
        <w:jc w:val="left"/>
        <w:rPr>
          <w:b w:val="false"/>
          <w:b w:val="false"/>
          <w:szCs w:val="22"/>
        </w:rPr>
      </w:pPr>
      <w:r>
        <w:rPr>
          <w:b w:val="false"/>
          <w:szCs w:val="22"/>
        </w:rPr>
      </w:r>
    </w:p>
    <w:p>
      <w:pPr>
        <w:pStyle w:val="Nzov"/>
        <w:keepNext/>
        <w:widowControl w:val="false"/>
        <w:spacing w:beforeAutospacing="0" w:before="0" w:after="0"/>
        <w:jc w:val="left"/>
        <w:rPr>
          <w:b w:val="false"/>
          <w:b w:val="false"/>
          <w:szCs w:val="22"/>
        </w:rPr>
      </w:pPr>
      <w:r>
        <w:rPr>
          <w:b w:val="false"/>
          <w:szCs w:val="22"/>
        </w:rPr>
        <w:t>Tabuľka č. 2</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6" w:type="dxa"/>
          <w:bottom w:w="0" w:type="dxa"/>
          <w:right w:w="70" w:type="dxa"/>
        </w:tblCellMar>
        <w:tblLook w:val="00a0"/>
      </w:tblPr>
      <w:tblGrid>
        <w:gridCol w:w="2785"/>
        <w:gridCol w:w="1440"/>
        <w:gridCol w:w="1143"/>
        <w:gridCol w:w="926"/>
        <w:gridCol w:w="1197"/>
        <w:gridCol w:w="1580"/>
      </w:tblGrid>
      <w:tr>
        <w:trPr/>
        <w:tc>
          <w:tcPr>
            <w:tcW w:w="2785" w:type="dxa"/>
            <w:vMerge w:val="restart"/>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Krátkodobý finančný majetok</w:t>
            </w:r>
          </w:p>
        </w:tc>
        <w:tc>
          <w:tcPr>
            <w:tcW w:w="6286" w:type="dxa"/>
            <w:gridSpan w:val="5"/>
            <w:tcBorders>
              <w:top w:val="single" w:sz="12" w:space="0" w:color="00000A"/>
              <w:left w:val="single" w:sz="4" w:space="0" w:color="00000A"/>
              <w:right w:val="single" w:sz="12" w:space="0" w:color="00000A"/>
              <w:insideV w:val="single" w:sz="12" w:space="0" w:color="00000A"/>
            </w:tcBorders>
            <w:shd w:fill="auto" w:val="clear"/>
            <w:tcMar>
              <w:left w:w="54" w:type="dxa"/>
            </w:tcMar>
          </w:tcPr>
          <w:p>
            <w:pPr>
              <w:pStyle w:val="TopHeader"/>
              <w:rPr/>
            </w:pPr>
            <w:r>
              <w:rPr/>
              <w:t>Bežné účtovné obdobie</w:t>
            </w:r>
          </w:p>
        </w:tc>
      </w:tr>
      <w:tr>
        <w:trPr/>
        <w:tc>
          <w:tcPr>
            <w:tcW w:w="2785" w:type="dxa"/>
            <w:vMerge w:val="continue"/>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Normal"/>
              <w:spacing w:lineRule="auto" w:line="240" w:before="0" w:after="0"/>
              <w:rPr>
                <w:b/>
                <w:b/>
                <w:bCs/>
                <w:szCs w:val="22"/>
              </w:rPr>
            </w:pPr>
            <w:r>
              <w:rPr>
                <w:b/>
                <w:bCs/>
                <w:szCs w:val="22"/>
              </w:rPr>
            </w:r>
          </w:p>
        </w:tc>
        <w:tc>
          <w:tcPr>
            <w:tcW w:w="1440"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Stav</w:t>
              <w:br/>
              <w:t> na začiatku účtovného obdobia</w:t>
            </w:r>
          </w:p>
        </w:tc>
        <w:tc>
          <w:tcPr>
            <w:tcW w:w="1143"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Prírastky</w:t>
            </w:r>
          </w:p>
          <w:p>
            <w:pPr>
              <w:pStyle w:val="TopHeader"/>
              <w:rPr/>
            </w:pPr>
            <w:r>
              <w:rPr/>
            </w:r>
          </w:p>
        </w:tc>
        <w:tc>
          <w:tcPr>
            <w:tcW w:w="926"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Úbytky</w:t>
            </w:r>
          </w:p>
          <w:p>
            <w:pPr>
              <w:pStyle w:val="TopHeader"/>
              <w:rPr/>
            </w:pPr>
            <w:r>
              <w:rPr/>
            </w:r>
          </w:p>
        </w:tc>
        <w:tc>
          <w:tcPr>
            <w:tcW w:w="1197"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Presuny</w:t>
            </w:r>
          </w:p>
          <w:p>
            <w:pPr>
              <w:pStyle w:val="TopHeader"/>
              <w:rPr/>
            </w:pPr>
            <w:r>
              <w:rPr/>
            </w:r>
          </w:p>
        </w:tc>
        <w:tc>
          <w:tcPr>
            <w:tcW w:w="1580"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Stav na konci účtovného obdobia</w:t>
            </w:r>
          </w:p>
        </w:tc>
      </w:tr>
      <w:tr>
        <w:trPr>
          <w:trHeight w:val="74" w:hRule="atLeast"/>
        </w:trPr>
        <w:tc>
          <w:tcPr>
            <w:tcW w:w="278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a</w:t>
            </w:r>
          </w:p>
        </w:tc>
        <w:tc>
          <w:tcPr>
            <w:tcW w:w="144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b</w:t>
            </w:r>
          </w:p>
        </w:tc>
        <w:tc>
          <w:tcPr>
            <w:tcW w:w="114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C</w:t>
            </w:r>
          </w:p>
        </w:tc>
        <w:tc>
          <w:tcPr>
            <w:tcW w:w="92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tcPr>
          <w:p>
            <w:pPr>
              <w:pStyle w:val="TopHeader"/>
              <w:rPr>
                <w:b w:val="false"/>
                <w:b w:val="false"/>
              </w:rPr>
            </w:pPr>
            <w:r>
              <w:rPr>
                <w:b w:val="false"/>
              </w:rPr>
              <w:t>d</w:t>
            </w:r>
          </w:p>
        </w:tc>
        <w:tc>
          <w:tcPr>
            <w:tcW w:w="119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E</w:t>
            </w:r>
          </w:p>
        </w:tc>
        <w:tc>
          <w:tcPr>
            <w:tcW w:w="158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F</w:t>
            </w:r>
          </w:p>
        </w:tc>
      </w:tr>
      <w:tr>
        <w:trPr>
          <w:trHeight w:val="397" w:hRule="atLeast"/>
        </w:trPr>
        <w:tc>
          <w:tcPr>
            <w:tcW w:w="2785"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Majetkové CP na obchodovanie</w:t>
            </w:r>
          </w:p>
        </w:tc>
        <w:tc>
          <w:tcPr>
            <w:tcW w:w="1440"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1143"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926"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197"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580"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rHeight w:val="397" w:hRule="atLeast"/>
        </w:trPr>
        <w:tc>
          <w:tcPr>
            <w:tcW w:w="278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Dlhové CP na obchodovanie</w:t>
            </w:r>
          </w:p>
        </w:tc>
        <w:tc>
          <w:tcPr>
            <w:tcW w:w="1440"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114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92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1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58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rHeight w:val="425" w:hRule="atLeast"/>
        </w:trPr>
        <w:tc>
          <w:tcPr>
            <w:tcW w:w="2785"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Emisné kvóty</w:t>
            </w:r>
          </w:p>
        </w:tc>
        <w:tc>
          <w:tcPr>
            <w:tcW w:w="1440"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1143"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926"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197"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580" w:type="dxa"/>
            <w:tcBorders>
              <w:top w:val="single" w:sz="4"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c>
          <w:tcPr>
            <w:tcW w:w="2785"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Dlhové CP so splatnosťou do  jedného roka držané</w:t>
              <w:br/>
              <w:t>do splatnosti</w:t>
            </w:r>
          </w:p>
        </w:tc>
        <w:tc>
          <w:tcPr>
            <w:tcW w:w="1440"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1143"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926"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197"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580" w:type="dxa"/>
            <w:tcBorders>
              <w:top w:val="single" w:sz="4"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rHeight w:val="425" w:hRule="atLeast"/>
        </w:trPr>
        <w:tc>
          <w:tcPr>
            <w:tcW w:w="2785"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Ostatné realizovateľné CP</w:t>
            </w:r>
          </w:p>
        </w:tc>
        <w:tc>
          <w:tcPr>
            <w:tcW w:w="1440"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114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926"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19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580" w:type="dxa"/>
            <w:tcBorders>
              <w:top w:val="single" w:sz="6"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c>
          <w:tcPr>
            <w:tcW w:w="278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Obstarávanie krátkodobého finančného majetku</w:t>
            </w:r>
          </w:p>
        </w:tc>
        <w:tc>
          <w:tcPr>
            <w:tcW w:w="1440"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114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92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1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58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rHeight w:val="340" w:hRule="atLeast"/>
        </w:trPr>
        <w:tc>
          <w:tcPr>
            <w:tcW w:w="2785"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b/>
                <w:b/>
                <w:szCs w:val="22"/>
              </w:rPr>
            </w:pPr>
            <w:r>
              <w:rPr>
                <w:b/>
                <w:szCs w:val="22"/>
              </w:rPr>
              <w:t>Krátkodobý finančný majetok spolu</w:t>
            </w:r>
          </w:p>
        </w:tc>
        <w:tc>
          <w:tcPr>
            <w:tcW w:w="1440"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6" w:type="dxa"/>
            </w:tcMar>
            <w:vAlign w:val="center"/>
          </w:tcPr>
          <w:p>
            <w:pPr>
              <w:pStyle w:val="Normal"/>
              <w:spacing w:lineRule="auto" w:line="240" w:before="0" w:after="0"/>
              <w:rPr>
                <w:b/>
                <w:b/>
                <w:szCs w:val="22"/>
              </w:rPr>
            </w:pPr>
            <w:r>
              <w:rPr>
                <w:b/>
                <w:szCs w:val="22"/>
              </w:rPr>
            </w:r>
          </w:p>
        </w:tc>
        <w:tc>
          <w:tcPr>
            <w:tcW w:w="1143"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4" w:type="dxa"/>
            </w:tcMar>
            <w:vAlign w:val="center"/>
          </w:tcPr>
          <w:p>
            <w:pPr>
              <w:pStyle w:val="Normal"/>
              <w:spacing w:lineRule="auto" w:line="240" w:before="0" w:after="0"/>
              <w:rPr>
                <w:b/>
                <w:b/>
                <w:szCs w:val="22"/>
              </w:rPr>
            </w:pPr>
            <w:r>
              <w:rPr>
                <w:b/>
                <w:szCs w:val="22"/>
              </w:rPr>
            </w:r>
          </w:p>
        </w:tc>
        <w:tc>
          <w:tcPr>
            <w:tcW w:w="926"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4" w:type="dxa"/>
            </w:tcMar>
            <w:vAlign w:val="center"/>
          </w:tcPr>
          <w:p>
            <w:pPr>
              <w:pStyle w:val="Normal"/>
              <w:spacing w:lineRule="auto" w:line="240" w:before="0" w:after="0"/>
              <w:rPr>
                <w:b/>
                <w:b/>
                <w:szCs w:val="22"/>
              </w:rPr>
            </w:pPr>
            <w:r>
              <w:rPr>
                <w:b/>
                <w:szCs w:val="22"/>
              </w:rPr>
            </w:r>
          </w:p>
        </w:tc>
        <w:tc>
          <w:tcPr>
            <w:tcW w:w="1197"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4" w:type="dxa"/>
            </w:tcMar>
            <w:vAlign w:val="center"/>
          </w:tcPr>
          <w:p>
            <w:pPr>
              <w:pStyle w:val="Normal"/>
              <w:spacing w:lineRule="auto" w:line="240" w:before="0" w:after="0"/>
              <w:rPr>
                <w:b/>
                <w:b/>
                <w:szCs w:val="22"/>
              </w:rPr>
            </w:pPr>
            <w:r>
              <w:rPr>
                <w:b/>
                <w:szCs w:val="22"/>
              </w:rPr>
            </w:r>
          </w:p>
        </w:tc>
        <w:tc>
          <w:tcPr>
            <w:tcW w:w="1580"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54" w:type="dxa"/>
            </w:tcMar>
            <w:vAlign w:val="center"/>
          </w:tcPr>
          <w:p>
            <w:pPr>
              <w:pStyle w:val="Normal"/>
              <w:spacing w:lineRule="auto" w:line="240" w:before="0" w:after="0"/>
              <w:rPr>
                <w:b/>
                <w:b/>
                <w:szCs w:val="22"/>
              </w:rPr>
            </w:pPr>
            <w:r>
              <w:rPr>
                <w:b/>
                <w:szCs w:val="22"/>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Opravné položky ku krátkodobému finančného majetku</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zov"/>
        <w:keepNext/>
        <w:widowControl w:val="false"/>
        <w:numPr>
          <w:ilvl w:val="0"/>
          <w:numId w:val="2"/>
        </w:numPr>
        <w:spacing w:beforeAutospacing="0" w:before="0" w:after="0"/>
        <w:jc w:val="both"/>
        <w:rPr>
          <w:szCs w:val="22"/>
        </w:rPr>
      </w:pPr>
      <w:r>
        <w:rPr>
          <w:szCs w:val="22"/>
          <w:lang w:eastAsia="sk-SK"/>
        </w:rPr>
        <w:t xml:space="preserve">Informácie k </w:t>
      </w:r>
      <w:r>
        <w:rPr>
          <w:szCs w:val="22"/>
        </w:rPr>
        <w:t>prílohe č. 3 </w:t>
      </w:r>
      <w:r>
        <w:rPr>
          <w:szCs w:val="22"/>
          <w:lang w:eastAsia="sk-SK"/>
        </w:rPr>
        <w:t> časti  F. písm. x) o vývoji opravnej položky ku krátkodobému finančnému majetku</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6" w:type="dxa"/>
          <w:bottom w:w="0" w:type="dxa"/>
          <w:right w:w="70" w:type="dxa"/>
        </w:tblCellMar>
        <w:tblLook w:val="00a0"/>
      </w:tblPr>
      <w:tblGrid>
        <w:gridCol w:w="2702"/>
        <w:gridCol w:w="1415"/>
        <w:gridCol w:w="977"/>
        <w:gridCol w:w="1396"/>
        <w:gridCol w:w="1398"/>
        <w:gridCol w:w="1183"/>
      </w:tblGrid>
      <w:tr>
        <w:trPr/>
        <w:tc>
          <w:tcPr>
            <w:tcW w:w="2702"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Krátkodobý finančný majetok</w:t>
            </w:r>
          </w:p>
        </w:tc>
        <w:tc>
          <w:tcPr>
            <w:tcW w:w="1415"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Stav OP</w:t>
            </w:r>
          </w:p>
          <w:p>
            <w:pPr>
              <w:pStyle w:val="TopHeader"/>
              <w:rPr/>
            </w:pPr>
            <w:r>
              <w:rPr/>
              <w:t>na začiatku účtovného obdobia</w:t>
            </w:r>
          </w:p>
        </w:tc>
        <w:tc>
          <w:tcPr>
            <w:tcW w:w="977"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Tvorba </w:t>
              <w:br/>
              <w:t>OP</w:t>
            </w:r>
          </w:p>
          <w:p>
            <w:pPr>
              <w:pStyle w:val="TopHeader"/>
              <w:rPr/>
            </w:pPr>
            <w:r>
              <w:rPr/>
            </w:r>
          </w:p>
        </w:tc>
        <w:tc>
          <w:tcPr>
            <w:tcW w:w="1396"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Zúčtovanie OP z dôvodu zániku opodstatne-nosti</w:t>
            </w:r>
          </w:p>
          <w:p>
            <w:pPr>
              <w:pStyle w:val="TopHeader"/>
              <w:rPr/>
            </w:pPr>
            <w:r>
              <w:rPr/>
            </w:r>
          </w:p>
        </w:tc>
        <w:tc>
          <w:tcPr>
            <w:tcW w:w="1398"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Zúčtovanie OP z dôvodu vyradenia majetku z účtovníctva</w:t>
            </w:r>
          </w:p>
          <w:p>
            <w:pPr>
              <w:pStyle w:val="TopHeader"/>
              <w:rPr/>
            </w:pPr>
            <w:r>
              <w:rPr/>
            </w:r>
          </w:p>
        </w:tc>
        <w:tc>
          <w:tcPr>
            <w:tcW w:w="1183"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Stav  OP na konci účtovného obdobia</w:t>
            </w:r>
          </w:p>
        </w:tc>
      </w:tr>
      <w:tr>
        <w:trPr/>
        <w:tc>
          <w:tcPr>
            <w:tcW w:w="270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a</w:t>
            </w:r>
          </w:p>
        </w:tc>
        <w:tc>
          <w:tcPr>
            <w:tcW w:w="141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b</w:t>
            </w:r>
          </w:p>
        </w:tc>
        <w:tc>
          <w:tcPr>
            <w:tcW w:w="97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C</w:t>
            </w:r>
          </w:p>
        </w:tc>
        <w:tc>
          <w:tcPr>
            <w:tcW w:w="139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d</w:t>
            </w:r>
          </w:p>
        </w:tc>
        <w:tc>
          <w:tcPr>
            <w:tcW w:w="139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e</w:t>
            </w:r>
          </w:p>
        </w:tc>
        <w:tc>
          <w:tcPr>
            <w:tcW w:w="118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TopHeader"/>
              <w:rPr>
                <w:b w:val="false"/>
                <w:b w:val="false"/>
              </w:rPr>
            </w:pPr>
            <w:r>
              <w:rPr>
                <w:b w:val="false"/>
              </w:rPr>
              <w:t>f</w:t>
            </w:r>
          </w:p>
        </w:tc>
      </w:tr>
      <w:tr>
        <w:trPr>
          <w:trHeight w:val="454" w:hRule="atLeast"/>
        </w:trPr>
        <w:tc>
          <w:tcPr>
            <w:tcW w:w="2702"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Ostatné realizovateľné CP</w:t>
            </w:r>
          </w:p>
        </w:tc>
        <w:tc>
          <w:tcPr>
            <w:tcW w:w="1415" w:type="dxa"/>
            <w:tcBorders>
              <w:top w:val="single" w:sz="12"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977"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396"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398"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183" w:type="dxa"/>
            <w:tcBorders>
              <w:top w:val="single" w:sz="12"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c>
          <w:tcPr>
            <w:tcW w:w="2702"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Obstarávanie krátkodobého finančného majetku</w:t>
            </w:r>
          </w:p>
        </w:tc>
        <w:tc>
          <w:tcPr>
            <w:tcW w:w="1415"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6" w:type="dxa"/>
            </w:tcMar>
            <w:vAlign w:val="center"/>
          </w:tcPr>
          <w:p>
            <w:pPr>
              <w:pStyle w:val="Normal"/>
              <w:spacing w:lineRule="auto" w:line="240" w:before="0" w:after="0"/>
              <w:rPr>
                <w:szCs w:val="22"/>
              </w:rPr>
            </w:pPr>
            <w:r>
              <w:rPr>
                <w:szCs w:val="22"/>
              </w:rPr>
            </w:r>
          </w:p>
        </w:tc>
        <w:tc>
          <w:tcPr>
            <w:tcW w:w="97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396"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398"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4" w:type="dxa"/>
            </w:tcMar>
            <w:vAlign w:val="center"/>
          </w:tcPr>
          <w:p>
            <w:pPr>
              <w:pStyle w:val="Normal"/>
              <w:spacing w:lineRule="auto" w:line="240" w:before="0" w:after="0"/>
              <w:rPr>
                <w:szCs w:val="22"/>
              </w:rPr>
            </w:pPr>
            <w:r>
              <w:rPr>
                <w:szCs w:val="22"/>
              </w:rPr>
            </w:r>
          </w:p>
        </w:tc>
        <w:tc>
          <w:tcPr>
            <w:tcW w:w="1183" w:type="dxa"/>
            <w:tcBorders>
              <w:top w:val="single" w:sz="6"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54" w:type="dxa"/>
            </w:tcMar>
            <w:vAlign w:val="center"/>
          </w:tcPr>
          <w:p>
            <w:pPr>
              <w:pStyle w:val="Normal"/>
              <w:spacing w:lineRule="auto" w:line="240" w:before="0" w:after="0"/>
              <w:rPr>
                <w:szCs w:val="22"/>
              </w:rPr>
            </w:pPr>
            <w:r>
              <w:rPr>
                <w:szCs w:val="22"/>
              </w:rPr>
            </w:r>
          </w:p>
        </w:tc>
      </w:tr>
      <w:tr>
        <w:trPr/>
        <w:tc>
          <w:tcPr>
            <w:tcW w:w="2702"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b/>
                <w:b/>
                <w:szCs w:val="22"/>
              </w:rPr>
            </w:pPr>
            <w:r>
              <w:rPr>
                <w:b/>
                <w:szCs w:val="22"/>
              </w:rPr>
              <w:t>Krátkodobý finančný majetok spolu</w:t>
            </w:r>
          </w:p>
        </w:tc>
        <w:tc>
          <w:tcPr>
            <w:tcW w:w="1415"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6" w:type="dxa"/>
            </w:tcMar>
            <w:vAlign w:val="center"/>
          </w:tcPr>
          <w:p>
            <w:pPr>
              <w:pStyle w:val="Normal"/>
              <w:spacing w:lineRule="auto" w:line="240" w:before="0" w:after="0"/>
              <w:rPr>
                <w:b/>
                <w:b/>
                <w:szCs w:val="22"/>
              </w:rPr>
            </w:pPr>
            <w:r>
              <w:rPr>
                <w:b/>
                <w:szCs w:val="22"/>
              </w:rPr>
            </w:r>
          </w:p>
        </w:tc>
        <w:tc>
          <w:tcPr>
            <w:tcW w:w="977"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4" w:type="dxa"/>
            </w:tcMar>
            <w:vAlign w:val="center"/>
          </w:tcPr>
          <w:p>
            <w:pPr>
              <w:pStyle w:val="Normal"/>
              <w:spacing w:lineRule="auto" w:line="240" w:before="0" w:after="0"/>
              <w:rPr>
                <w:b/>
                <w:b/>
                <w:szCs w:val="22"/>
              </w:rPr>
            </w:pPr>
            <w:r>
              <w:rPr>
                <w:b/>
                <w:szCs w:val="22"/>
              </w:rPr>
            </w:r>
          </w:p>
        </w:tc>
        <w:tc>
          <w:tcPr>
            <w:tcW w:w="1396"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4" w:type="dxa"/>
            </w:tcMar>
            <w:vAlign w:val="center"/>
          </w:tcPr>
          <w:p>
            <w:pPr>
              <w:pStyle w:val="Normal"/>
              <w:spacing w:lineRule="auto" w:line="240" w:before="0" w:after="0"/>
              <w:rPr>
                <w:b/>
                <w:b/>
                <w:szCs w:val="22"/>
              </w:rPr>
            </w:pPr>
            <w:r>
              <w:rPr>
                <w:b/>
                <w:szCs w:val="22"/>
              </w:rPr>
            </w:r>
          </w:p>
        </w:tc>
        <w:tc>
          <w:tcPr>
            <w:tcW w:w="1398"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4" w:type="dxa"/>
            </w:tcMar>
            <w:vAlign w:val="center"/>
          </w:tcPr>
          <w:p>
            <w:pPr>
              <w:pStyle w:val="Normal"/>
              <w:spacing w:lineRule="auto" w:line="240" w:before="0" w:after="0"/>
              <w:rPr>
                <w:b/>
                <w:b/>
                <w:szCs w:val="22"/>
              </w:rPr>
            </w:pPr>
            <w:r>
              <w:rPr>
                <w:b/>
                <w:szCs w:val="22"/>
              </w:rPr>
            </w:r>
          </w:p>
        </w:tc>
        <w:tc>
          <w:tcPr>
            <w:tcW w:w="1183"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54" w:type="dxa"/>
            </w:tcMar>
            <w:vAlign w:val="center"/>
          </w:tcPr>
          <w:p>
            <w:pPr>
              <w:pStyle w:val="Normal"/>
              <w:spacing w:lineRule="auto" w:line="240" w:before="0" w:after="0"/>
              <w:rPr>
                <w:b/>
                <w:b/>
                <w:szCs w:val="22"/>
              </w:rPr>
            </w:pPr>
            <w:r>
              <w:rPr>
                <w:b/>
                <w:szCs w:val="22"/>
              </w:rPr>
            </w:r>
          </w:p>
        </w:tc>
      </w:tr>
    </w:tbl>
    <w:p>
      <w:pPr>
        <w:pStyle w:val="Normal"/>
        <w:keepNext/>
        <w:numPr>
          <w:ilvl w:val="0"/>
          <w:numId w:val="0"/>
        </w:numPr>
        <w:spacing w:lineRule="auto" w:line="240" w:before="0" w:after="0"/>
        <w:outlineLvl w:val="0"/>
        <w:rPr>
          <w:rFonts w:ascii="Arial" w:hAnsi="Arial" w:cs="Arial"/>
          <w:b/>
          <w:b/>
          <w:bCs/>
          <w:sz w:val="24"/>
          <w:szCs w:val="24"/>
        </w:rPr>
      </w:pPr>
      <w:r>
        <w:rPr>
          <w:rFonts w:cs="Arial" w:ascii="Arial" w:hAnsi="Arial"/>
          <w:b/>
          <w:bCs/>
          <w:sz w:val="24"/>
          <w:szCs w:val="24"/>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jc w:val="both"/>
        <w:rPr>
          <w:rFonts w:ascii="Arial" w:hAnsi="Arial"/>
          <w:sz w:val="24"/>
          <w:szCs w:val="24"/>
          <w:lang w:eastAsia="sk-SK"/>
        </w:rPr>
      </w:pPr>
      <w:r>
        <w:rPr>
          <w:rFonts w:ascii="Arial" w:hAnsi="Arial"/>
          <w:sz w:val="24"/>
          <w:szCs w:val="24"/>
          <w:lang w:eastAsia="sk-SK"/>
        </w:rPr>
        <w:t>Krátkodobý finančný majetok, na ktorý bolo zriadené záložné právo :               .</w:t>
        <w:br/>
        <w:t xml:space="preserve">Krátkodobý finančný majetok, pri ktorom má účtovná jednotka obmedzené právo s ním nakladať :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zov"/>
        <w:numPr>
          <w:ilvl w:val="0"/>
          <w:numId w:val="2"/>
        </w:numPr>
        <w:spacing w:beforeAutospacing="0" w:before="0" w:after="0"/>
        <w:jc w:val="both"/>
        <w:rPr>
          <w:szCs w:val="22"/>
        </w:rPr>
      </w:pPr>
      <w:r>
        <w:rPr>
          <w:szCs w:val="22"/>
        </w:rPr>
        <w:t xml:space="preserve">Informácie k prílohe č. 3 časti F. písm. y) o krátkodobom finančnom majetku, na ktorý bolo zriadené záložné právo </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6" w:type="dxa"/>
          <w:bottom w:w="0" w:type="dxa"/>
          <w:right w:w="70" w:type="dxa"/>
        </w:tblCellMar>
        <w:tblLook w:val="00a0"/>
      </w:tblPr>
      <w:tblGrid>
        <w:gridCol w:w="6770"/>
        <w:gridCol w:w="2301"/>
      </w:tblGrid>
      <w:tr>
        <w:trPr>
          <w:trHeight w:val="397" w:hRule="atLeast"/>
        </w:trPr>
        <w:tc>
          <w:tcPr>
            <w:tcW w:w="6770"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Názov položky</w:t>
            </w:r>
          </w:p>
        </w:tc>
        <w:tc>
          <w:tcPr>
            <w:tcW w:w="2301" w:type="dxa"/>
            <w:tcBorders>
              <w:top w:val="single" w:sz="12" w:space="0" w:color="00000A"/>
              <w:left w:val="single" w:sz="12" w:space="0" w:color="00000A"/>
              <w:right w:val="single" w:sz="12" w:space="0" w:color="00000A"/>
              <w:insideV w:val="single" w:sz="12" w:space="0" w:color="00000A"/>
            </w:tcBorders>
            <w:shd w:fill="auto" w:val="clear"/>
            <w:tcMar>
              <w:left w:w="-6" w:type="dxa"/>
            </w:tcMar>
            <w:vAlign w:val="center"/>
          </w:tcPr>
          <w:p>
            <w:pPr>
              <w:pStyle w:val="TopHeader"/>
              <w:rPr/>
            </w:pPr>
            <w:r>
              <w:rPr/>
              <w:t>Hodnota za bežné účtovné obdobie</w:t>
            </w:r>
          </w:p>
        </w:tc>
      </w:tr>
      <w:tr>
        <w:trPr>
          <w:trHeight w:val="340" w:hRule="atLeast"/>
        </w:trPr>
        <w:tc>
          <w:tcPr>
            <w:tcW w:w="677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t>Krátkodobý  finančný majetok, na ktorý bolo zriadené záložné právo</w:t>
            </w:r>
          </w:p>
        </w:tc>
        <w:tc>
          <w:tcPr>
            <w:tcW w:w="230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6" w:type="dxa"/>
            </w:tcMar>
            <w:vAlign w:val="center"/>
          </w:tcPr>
          <w:p>
            <w:pPr>
              <w:pStyle w:val="Normal"/>
              <w:spacing w:lineRule="auto" w:line="240" w:before="0" w:after="0"/>
              <w:rPr>
                <w:szCs w:val="22"/>
              </w:rPr>
            </w:pPr>
            <w:r>
              <w:rPr>
                <w:szCs w:val="22"/>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ind w:firstLine="708"/>
        <w:jc w:val="both"/>
        <w:rPr>
          <w:rFonts w:ascii="Arial" w:hAnsi="Arial"/>
          <w:sz w:val="24"/>
          <w:szCs w:val="24"/>
          <w:lang w:eastAsia="sk-SK"/>
        </w:rPr>
      </w:pPr>
      <w:r>
        <w:rPr>
          <w:rFonts w:ascii="Arial" w:hAnsi="Arial"/>
          <w:sz w:val="24"/>
          <w:szCs w:val="24"/>
          <w:lang w:eastAsia="sk-SK"/>
        </w:rPr>
        <w:t>za) Ocenenie krátkodobého finančného majetku ku dňu, ku ktorému sa zostavuje účtovná závierka reálnou hodnotou</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zov"/>
        <w:numPr>
          <w:ilvl w:val="0"/>
          <w:numId w:val="2"/>
        </w:numPr>
        <w:spacing w:beforeAutospacing="0" w:before="0" w:after="0"/>
        <w:jc w:val="left"/>
        <w:rPr>
          <w:szCs w:val="22"/>
        </w:rPr>
      </w:pPr>
      <w:r>
        <w:rPr>
          <w:szCs w:val="22"/>
        </w:rPr>
        <w:t>Informácie k prílohe č. 3 časti F. písm.  za) o ocenení krátkodobého finančného  majetku, ku dňu ku ktorému sa zostavuje účtovná závierka reálnou hodnotou</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32" w:type="dxa"/>
          <w:bottom w:w="0" w:type="dxa"/>
          <w:right w:w="108" w:type="dxa"/>
        </w:tblCellMar>
        <w:tblLook w:val="00a0"/>
      </w:tblPr>
      <w:tblGrid>
        <w:gridCol w:w="3321"/>
        <w:gridCol w:w="1769"/>
        <w:gridCol w:w="2215"/>
        <w:gridCol w:w="1766"/>
      </w:tblGrid>
      <w:tr>
        <w:trPr/>
        <w:tc>
          <w:tcPr>
            <w:tcW w:w="3321"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Krátkodobý finančný  majetok</w:t>
            </w:r>
          </w:p>
        </w:tc>
        <w:tc>
          <w:tcPr>
            <w:tcW w:w="1769"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Zvýšenie/ zníženie hodnoty</w:t>
            </w:r>
          </w:p>
          <w:p>
            <w:pPr>
              <w:pStyle w:val="TopHeader"/>
              <w:rPr/>
            </w:pPr>
            <w:r>
              <w:rPr/>
              <w:t>(+/-)</w:t>
            </w:r>
          </w:p>
        </w:tc>
        <w:tc>
          <w:tcPr>
            <w:tcW w:w="2215"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Vplyv ocenenia</w:t>
              <w:br/>
              <w:t>na výsledok hospodá-renia bežného účtovného obdobia</w:t>
            </w:r>
          </w:p>
        </w:tc>
        <w:tc>
          <w:tcPr>
            <w:tcW w:w="1766"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Vplyv </w:t>
            </w:r>
          </w:p>
          <w:p>
            <w:pPr>
              <w:pStyle w:val="TopHeader"/>
              <w:rPr/>
            </w:pPr>
            <w:r>
              <w:rPr/>
              <w:t>ocenenia</w:t>
              <w:br/>
              <w:t>na vlastné imanie</w:t>
            </w:r>
          </w:p>
        </w:tc>
      </w:tr>
      <w:tr>
        <w:trPr/>
        <w:tc>
          <w:tcPr>
            <w:tcW w:w="332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TopHeader"/>
              <w:rPr>
                <w:b w:val="false"/>
                <w:b w:val="false"/>
              </w:rPr>
            </w:pPr>
            <w:r>
              <w:rPr>
                <w:b w:val="false"/>
              </w:rPr>
              <w:t>A</w:t>
            </w:r>
          </w:p>
        </w:tc>
        <w:tc>
          <w:tcPr>
            <w:tcW w:w="176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TopHeader"/>
              <w:rPr>
                <w:b w:val="false"/>
                <w:b w:val="false"/>
              </w:rPr>
            </w:pPr>
            <w:r>
              <w:rPr>
                <w:b w:val="false"/>
              </w:rPr>
              <w:t>B</w:t>
            </w:r>
          </w:p>
        </w:tc>
        <w:tc>
          <w:tcPr>
            <w:tcW w:w="221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TopHeader"/>
              <w:rPr>
                <w:b w:val="false"/>
                <w:b w:val="false"/>
              </w:rPr>
            </w:pPr>
            <w:r>
              <w:rPr>
                <w:b w:val="false"/>
              </w:rPr>
              <w:t>C</w:t>
            </w:r>
          </w:p>
        </w:tc>
        <w:tc>
          <w:tcPr>
            <w:tcW w:w="176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TopHeader"/>
              <w:rPr>
                <w:b w:val="false"/>
                <w:b w:val="false"/>
              </w:rPr>
            </w:pPr>
            <w:r>
              <w:rPr>
                <w:b w:val="false"/>
              </w:rPr>
              <w:t>D</w:t>
            </w:r>
          </w:p>
        </w:tc>
      </w:tr>
      <w:tr>
        <w:trPr>
          <w:trHeight w:val="454" w:hRule="atLeast"/>
        </w:trPr>
        <w:tc>
          <w:tcPr>
            <w:tcW w:w="3321"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Majetkové CP na obchodovanie</w:t>
            </w:r>
          </w:p>
        </w:tc>
        <w:tc>
          <w:tcPr>
            <w:tcW w:w="1769"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r>
          </w:p>
        </w:tc>
        <w:tc>
          <w:tcPr>
            <w:tcW w:w="2215"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766"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r>
          </w:p>
        </w:tc>
      </w:tr>
      <w:tr>
        <w:trPr>
          <w:trHeight w:val="454" w:hRule="atLeast"/>
        </w:trPr>
        <w:tc>
          <w:tcPr>
            <w:tcW w:w="3321"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Dlhové CP na obchodovanie</w:t>
            </w:r>
          </w:p>
        </w:tc>
        <w:tc>
          <w:tcPr>
            <w:tcW w:w="1769"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r>
          </w:p>
        </w:tc>
        <w:tc>
          <w:tcPr>
            <w:tcW w:w="2215"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766" w:type="dxa"/>
            <w:tcBorders>
              <w:top w:val="single" w:sz="4"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r>
          </w:p>
        </w:tc>
      </w:tr>
      <w:tr>
        <w:trPr>
          <w:trHeight w:val="454" w:hRule="atLeast"/>
        </w:trPr>
        <w:tc>
          <w:tcPr>
            <w:tcW w:w="3321"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Emisné kvóty (komodity)</w:t>
            </w:r>
          </w:p>
        </w:tc>
        <w:tc>
          <w:tcPr>
            <w:tcW w:w="1769"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r>
          </w:p>
        </w:tc>
        <w:tc>
          <w:tcPr>
            <w:tcW w:w="221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766" w:type="dxa"/>
            <w:tcBorders>
              <w:top w:val="single" w:sz="6"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r>
          </w:p>
        </w:tc>
      </w:tr>
      <w:tr>
        <w:trPr>
          <w:trHeight w:val="454" w:hRule="atLeast"/>
        </w:trPr>
        <w:tc>
          <w:tcPr>
            <w:tcW w:w="332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Ostatné realizovateľné CP</w:t>
            </w:r>
          </w:p>
        </w:tc>
        <w:tc>
          <w:tcPr>
            <w:tcW w:w="1769"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r>
          </w:p>
        </w:tc>
        <w:tc>
          <w:tcPr>
            <w:tcW w:w="2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766"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r>
          </w:p>
        </w:tc>
      </w:tr>
      <w:tr>
        <w:trPr>
          <w:trHeight w:val="340" w:hRule="atLeast"/>
        </w:trPr>
        <w:tc>
          <w:tcPr>
            <w:tcW w:w="332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Normal"/>
              <w:spacing w:lineRule="auto" w:line="240" w:before="0" w:after="0"/>
              <w:rPr>
                <w:b/>
                <w:b/>
                <w:szCs w:val="22"/>
              </w:rPr>
            </w:pPr>
            <w:r>
              <w:rPr>
                <w:b/>
                <w:szCs w:val="22"/>
              </w:rPr>
              <w:t>Krátkodobý finančný majetok spolu</w:t>
            </w:r>
          </w:p>
        </w:tc>
        <w:tc>
          <w:tcPr>
            <w:tcW w:w="1769"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32" w:type="dxa"/>
            </w:tcMar>
            <w:vAlign w:val="center"/>
          </w:tcPr>
          <w:p>
            <w:pPr>
              <w:pStyle w:val="Normal"/>
              <w:spacing w:lineRule="auto" w:line="240" w:before="0" w:after="0"/>
              <w:rPr>
                <w:b/>
                <w:b/>
                <w:szCs w:val="22"/>
              </w:rPr>
            </w:pPr>
            <w:r>
              <w:rPr>
                <w:b/>
                <w:szCs w:val="22"/>
              </w:rPr>
            </w:r>
          </w:p>
        </w:tc>
        <w:tc>
          <w:tcPr>
            <w:tcW w:w="2215"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92" w:type="dxa"/>
            </w:tcMar>
            <w:vAlign w:val="center"/>
          </w:tcPr>
          <w:p>
            <w:pPr>
              <w:pStyle w:val="Normal"/>
              <w:spacing w:lineRule="auto" w:line="240" w:before="0" w:after="0"/>
              <w:rPr>
                <w:b/>
                <w:b/>
                <w:szCs w:val="22"/>
              </w:rPr>
            </w:pPr>
            <w:r>
              <w:rPr>
                <w:b/>
                <w:szCs w:val="22"/>
              </w:rPr>
            </w:r>
          </w:p>
        </w:tc>
        <w:tc>
          <w:tcPr>
            <w:tcW w:w="1766"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92" w:type="dxa"/>
            </w:tcMar>
            <w:vAlign w:val="center"/>
          </w:tcPr>
          <w:p>
            <w:pPr>
              <w:pStyle w:val="Normal"/>
              <w:spacing w:lineRule="auto" w:line="240" w:before="0" w:after="0"/>
              <w:rPr>
                <w:b/>
                <w:b/>
                <w:szCs w:val="22"/>
              </w:rPr>
            </w:pPr>
            <w:r>
              <w:rPr>
                <w:b/>
                <w:szCs w:val="22"/>
              </w:rPr>
            </w:r>
          </w:p>
        </w:tc>
      </w:tr>
    </w:tbl>
    <w:p>
      <w:pPr>
        <w:pStyle w:val="Normal"/>
        <w:spacing w:lineRule="auto" w:line="240" w:before="0" w:after="0"/>
        <w:rPr>
          <w:rFonts w:ascii="Arial" w:hAnsi="Arial" w:cs="Arial"/>
          <w:sz w:val="24"/>
          <w:szCs w:val="24"/>
          <w:lang w:eastAsia="sk-SK"/>
        </w:rPr>
      </w:pPr>
      <w:r>
        <w:rPr>
          <w:rFonts w:cs="Arial" w:ascii="Arial" w:hAnsi="Arial"/>
          <w:sz w:val="24"/>
          <w:szCs w:val="24"/>
          <w:lang w:eastAsia="sk-SK"/>
        </w:rPr>
      </w:r>
    </w:p>
    <w:p>
      <w:pPr>
        <w:pStyle w:val="Normal"/>
        <w:keepNext/>
        <w:numPr>
          <w:ilvl w:val="0"/>
          <w:numId w:val="0"/>
        </w:numPr>
        <w:spacing w:lineRule="auto" w:line="240" w:before="0" w:after="60"/>
        <w:ind w:firstLine="708"/>
        <w:outlineLvl w:val="0"/>
        <w:rPr>
          <w:rFonts w:ascii="Arial" w:hAnsi="Arial" w:cs="Arial"/>
          <w:bCs/>
          <w:sz w:val="24"/>
          <w:szCs w:val="24"/>
        </w:rPr>
      </w:pPr>
      <w:r>
        <w:rPr>
          <w:rFonts w:cs="Arial" w:ascii="Arial" w:hAnsi="Arial"/>
          <w:bCs/>
          <w:sz w:val="24"/>
          <w:szCs w:val="24"/>
        </w:rPr>
        <w:t xml:space="preserve">zb) </w:t>
      </w:r>
    </w:p>
    <w:p>
      <w:pPr>
        <w:pStyle w:val="ListParagraph"/>
        <w:keepNext/>
        <w:numPr>
          <w:ilvl w:val="1"/>
          <w:numId w:val="9"/>
        </w:numPr>
        <w:tabs>
          <w:tab w:val="left" w:pos="993" w:leader="none"/>
        </w:tabs>
        <w:spacing w:lineRule="auto" w:line="240" w:before="0" w:after="60"/>
        <w:ind w:left="1440" w:hanging="731"/>
        <w:contextualSpacing/>
        <w:outlineLvl w:val="0"/>
        <w:rPr>
          <w:rFonts w:ascii="Arial" w:hAnsi="Arial" w:cs="Arial"/>
          <w:bCs/>
          <w:sz w:val="24"/>
          <w:szCs w:val="24"/>
        </w:rPr>
      </w:pPr>
      <w:r>
        <w:rPr>
          <w:rFonts w:cs="Arial" w:ascii="Arial" w:hAnsi="Arial"/>
          <w:bCs/>
          <w:sz w:val="24"/>
          <w:szCs w:val="24"/>
        </w:rPr>
        <w:t>Dôvod nadobudnutia vlastných akcií počas účtovného obdobia</w:t>
      </w:r>
    </w:p>
    <w:p>
      <w:pPr>
        <w:pStyle w:val="ListParagraph"/>
        <w:keepNext/>
        <w:numPr>
          <w:ilvl w:val="1"/>
          <w:numId w:val="9"/>
        </w:numPr>
        <w:tabs>
          <w:tab w:val="left" w:pos="993" w:leader="none"/>
        </w:tabs>
        <w:spacing w:lineRule="auto" w:line="240" w:before="0" w:after="60"/>
        <w:ind w:left="1440" w:hanging="731"/>
        <w:contextualSpacing/>
        <w:outlineLvl w:val="0"/>
        <w:rPr>
          <w:rFonts w:ascii="Arial" w:hAnsi="Arial" w:cs="Arial"/>
          <w:bCs/>
          <w:sz w:val="24"/>
          <w:szCs w:val="24"/>
        </w:rPr>
      </w:pPr>
      <w:r>
        <w:rPr>
          <w:rFonts w:cs="Arial" w:ascii="Arial" w:hAnsi="Arial"/>
          <w:bCs/>
          <w:sz w:val="24"/>
          <w:szCs w:val="24"/>
        </w:rPr>
        <w:t xml:space="preserve">Počet a menovitá hodnota nadobudnutých vlastných akcií počas účtovného obdobia a počet a menovitá hodnota prevedených vlastných akcií počas účtovného obdobia (uvádza sa percentuálna hodnota týchto vlastných akcií na upísanom vlastnom imaní) </w:t>
      </w:r>
    </w:p>
    <w:p>
      <w:pPr>
        <w:pStyle w:val="ListParagraph"/>
        <w:keepNext/>
        <w:numPr>
          <w:ilvl w:val="1"/>
          <w:numId w:val="9"/>
        </w:numPr>
        <w:tabs>
          <w:tab w:val="left" w:pos="993" w:leader="none"/>
        </w:tabs>
        <w:spacing w:lineRule="auto" w:line="240" w:before="0" w:after="60"/>
        <w:ind w:left="1440" w:hanging="731"/>
        <w:contextualSpacing/>
        <w:outlineLvl w:val="0"/>
        <w:rPr>
          <w:rFonts w:ascii="Arial" w:hAnsi="Arial" w:cs="Arial"/>
          <w:bCs/>
          <w:sz w:val="24"/>
          <w:szCs w:val="24"/>
        </w:rPr>
      </w:pPr>
      <w:r>
        <w:rPr>
          <w:rFonts w:cs="Arial" w:ascii="Arial" w:hAnsi="Arial"/>
          <w:bCs/>
          <w:sz w:val="24"/>
          <w:szCs w:val="24"/>
        </w:rPr>
        <w:t>Počet a hodnota, za ktorú sa vlastné akcie počas účtovného obdobia nadobudli a počet a hodnota, za akú sa vlastné akcie počas účtovného obdobia previedli na inú osobu</w:t>
      </w:r>
    </w:p>
    <w:p>
      <w:pPr>
        <w:pStyle w:val="ListParagraph"/>
        <w:keepNext/>
        <w:numPr>
          <w:ilvl w:val="1"/>
          <w:numId w:val="9"/>
        </w:numPr>
        <w:tabs>
          <w:tab w:val="left" w:pos="993" w:leader="none"/>
        </w:tabs>
        <w:spacing w:lineRule="auto" w:line="240" w:before="0" w:after="60"/>
        <w:ind w:left="1440" w:hanging="731"/>
        <w:contextualSpacing/>
        <w:outlineLvl w:val="0"/>
        <w:rPr>
          <w:rFonts w:ascii="Arial" w:hAnsi="Arial" w:cs="Arial"/>
          <w:bCs/>
          <w:sz w:val="24"/>
          <w:szCs w:val="24"/>
        </w:rPr>
      </w:pPr>
      <w:r>
        <w:rPr>
          <w:rFonts w:cs="Arial" w:ascii="Arial" w:hAnsi="Arial"/>
          <w:bCs/>
          <w:sz w:val="24"/>
          <w:szCs w:val="24"/>
        </w:rPr>
        <w:t>Počet, menovitá hodnota a hodnota, za ktorú sa vlastné akcie nadobudli a ktoré účtovná jednotka mala v držbe k poslednému dňu účtovného obdobia (uvádza sa aj ch percentuálny podiel na upísanom základnom imaní)</w:t>
      </w:r>
    </w:p>
    <w:p>
      <w:pPr>
        <w:pStyle w:val="ListParagraph"/>
        <w:keepNext/>
        <w:numPr>
          <w:ilvl w:val="0"/>
          <w:numId w:val="0"/>
        </w:numPr>
        <w:spacing w:lineRule="auto" w:line="240" w:before="0" w:after="60"/>
        <w:ind w:left="1440" w:hanging="0"/>
        <w:contextualSpacing/>
        <w:outlineLvl w:val="0"/>
        <w:rPr>
          <w:rFonts w:ascii="Arial" w:hAnsi="Arial" w:cs="Arial"/>
          <w:bCs/>
          <w:sz w:val="24"/>
          <w:szCs w:val="24"/>
          <w:highlight w:val="green"/>
        </w:rPr>
      </w:pPr>
      <w:r>
        <w:rPr>
          <w:rFonts w:cs="Arial" w:ascii="Arial" w:hAnsi="Arial"/>
          <w:bCs/>
          <w:sz w:val="24"/>
          <w:szCs w:val="24"/>
          <w:highlight w:val="green"/>
        </w:rPr>
      </w:r>
    </w:p>
    <w:p>
      <w:pPr>
        <w:pStyle w:val="Normal"/>
        <w:keepNext/>
        <w:numPr>
          <w:ilvl w:val="0"/>
          <w:numId w:val="0"/>
        </w:numPr>
        <w:spacing w:lineRule="auto" w:line="240" w:before="0" w:after="60"/>
        <w:ind w:firstLine="708"/>
        <w:outlineLvl w:val="0"/>
        <w:rPr>
          <w:rFonts w:ascii="Arial" w:hAnsi="Arial" w:cs="Arial"/>
          <w:bCs/>
          <w:sz w:val="24"/>
          <w:szCs w:val="24"/>
        </w:rPr>
      </w:pPr>
      <w:r>
        <w:rPr>
          <w:rFonts w:cs="Arial" w:ascii="Arial" w:hAnsi="Arial"/>
          <w:bCs/>
          <w:sz w:val="24"/>
          <w:szCs w:val="24"/>
        </w:rPr>
        <w:t>zc) významné položky časového rozlíšenia nákladov budúcich období a príjmov budúcich období</w:t>
      </w:r>
    </w:p>
    <w:p>
      <w:pPr>
        <w:pStyle w:val="Normal"/>
        <w:spacing w:lineRule="auto" w:line="240" w:before="0" w:after="0"/>
        <w:rPr>
          <w:rFonts w:ascii="Arial" w:hAnsi="Arial" w:cs="Arial"/>
          <w:sz w:val="24"/>
          <w:szCs w:val="24"/>
          <w:lang w:eastAsia="sk-SK"/>
        </w:rPr>
      </w:pPr>
      <w:r>
        <w:rPr>
          <w:rFonts w:cs="Arial"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keepNext/>
        <w:numPr>
          <w:ilvl w:val="0"/>
          <w:numId w:val="0"/>
        </w:numPr>
        <w:spacing w:lineRule="auto" w:line="240" w:before="0" w:after="60"/>
        <w:ind w:firstLine="708"/>
        <w:outlineLvl w:val="0"/>
        <w:rPr>
          <w:rFonts w:ascii="Arial" w:hAnsi="Arial" w:cs="Arial"/>
          <w:bCs/>
          <w:sz w:val="24"/>
          <w:szCs w:val="24"/>
        </w:rPr>
      </w:pPr>
      <w:r>
        <w:rPr>
          <w:rFonts w:cs="Arial" w:ascii="Arial" w:hAnsi="Arial"/>
          <w:bCs/>
          <w:sz w:val="24"/>
          <w:szCs w:val="24"/>
        </w:rPr>
        <w:t xml:space="preserve">zd) </w:t>
        <w:tab/>
        <w:t>majetok prenajatý formou finančného prenájmu</w:t>
      </w:r>
    </w:p>
    <w:p>
      <w:pPr>
        <w:pStyle w:val="Normal"/>
        <w:spacing w:lineRule="auto" w:line="240" w:before="0" w:after="0"/>
        <w:rPr>
          <w:rFonts w:ascii="Arial" w:hAnsi="Arial" w:cs="Arial"/>
          <w:sz w:val="24"/>
          <w:szCs w:val="24"/>
          <w:lang w:eastAsia="sk-SK"/>
        </w:rPr>
      </w:pPr>
      <w:r>
        <w:rPr>
          <w:rFonts w:cs="Arial" w:ascii="Arial" w:hAnsi="Arial"/>
          <w:sz w:val="24"/>
          <w:szCs w:val="24"/>
          <w:lang w:eastAsia="sk-SK"/>
        </w:rPr>
      </w:r>
    </w:p>
    <w:p>
      <w:pPr>
        <w:pStyle w:val="Nzov"/>
        <w:numPr>
          <w:ilvl w:val="0"/>
          <w:numId w:val="2"/>
        </w:numPr>
        <w:spacing w:beforeAutospacing="0" w:before="0" w:after="0"/>
        <w:jc w:val="left"/>
        <w:rPr>
          <w:szCs w:val="22"/>
        </w:rPr>
      </w:pPr>
      <w:r>
        <w:rPr>
          <w:szCs w:val="22"/>
        </w:rPr>
        <w:t>Informácie k prílohe č. 3 časti F. písm. zc) o majetku prenajatom formou finančného prenájmu</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8" w:type="dxa"/>
          <w:bottom w:w="0" w:type="dxa"/>
          <w:right w:w="108" w:type="dxa"/>
        </w:tblCellMar>
        <w:tblLook w:val="00a0"/>
      </w:tblPr>
      <w:tblGrid>
        <w:gridCol w:w="1497"/>
        <w:gridCol w:w="1252"/>
        <w:gridCol w:w="1669"/>
        <w:gridCol w:w="1045"/>
        <w:gridCol w:w="1183"/>
        <w:gridCol w:w="1534"/>
        <w:gridCol w:w="891"/>
      </w:tblGrid>
      <w:tr>
        <w:trPr>
          <w:trHeight w:val="660" w:hRule="atLeast"/>
        </w:trPr>
        <w:tc>
          <w:tcPr>
            <w:tcW w:w="1497" w:type="dxa"/>
            <w:vMerge w:val="restart"/>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Názov</w:t>
              <w:br/>
              <w:t>položky</w:t>
            </w:r>
          </w:p>
        </w:tc>
        <w:tc>
          <w:tcPr>
            <w:tcW w:w="3966"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Bežné účtovné obdobie</w:t>
            </w:r>
          </w:p>
        </w:tc>
        <w:tc>
          <w:tcPr>
            <w:tcW w:w="3608"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Bezprostredne predchádzajúce účtovné obdobie</w:t>
            </w:r>
          </w:p>
        </w:tc>
      </w:tr>
      <w:tr>
        <w:trPr>
          <w:trHeight w:val="330" w:hRule="atLeast"/>
        </w:trPr>
        <w:tc>
          <w:tcPr>
            <w:tcW w:w="1497" w:type="dxa"/>
            <w:vMerge w:val="continue"/>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r>
          </w:p>
        </w:tc>
        <w:tc>
          <w:tcPr>
            <w:tcW w:w="3966"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Splatnosť</w:t>
            </w:r>
          </w:p>
        </w:tc>
        <w:tc>
          <w:tcPr>
            <w:tcW w:w="3608"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Splatnosť</w:t>
            </w:r>
          </w:p>
        </w:tc>
      </w:tr>
      <w:tr>
        <w:trPr>
          <w:trHeight w:val="345" w:hRule="atLeast"/>
        </w:trPr>
        <w:tc>
          <w:tcPr>
            <w:tcW w:w="1497" w:type="dxa"/>
            <w:vMerge w:val="continue"/>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r>
          </w:p>
        </w:tc>
        <w:tc>
          <w:tcPr>
            <w:tcW w:w="1252"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do jedného roka vrátane</w:t>
            </w:r>
          </w:p>
        </w:tc>
        <w:tc>
          <w:tcPr>
            <w:tcW w:w="1669"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od jedného roka do piatich rokov vrátane</w:t>
            </w:r>
          </w:p>
        </w:tc>
        <w:tc>
          <w:tcPr>
            <w:tcW w:w="1045"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viac ako päť rokov</w:t>
            </w:r>
          </w:p>
        </w:tc>
        <w:tc>
          <w:tcPr>
            <w:tcW w:w="1183"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do jedného roka vrátane</w:t>
            </w:r>
          </w:p>
        </w:tc>
        <w:tc>
          <w:tcPr>
            <w:tcW w:w="1534"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od jedného roka do piatich rokov vrátane</w:t>
            </w:r>
          </w:p>
        </w:tc>
        <w:tc>
          <w:tcPr>
            <w:tcW w:w="891"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viac ako päť rokov</w:t>
            </w:r>
          </w:p>
        </w:tc>
      </w:tr>
      <w:tr>
        <w:trPr>
          <w:trHeight w:val="74" w:hRule="atLeast"/>
        </w:trPr>
        <w:tc>
          <w:tcPr>
            <w:tcW w:w="149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A</w:t>
            </w:r>
          </w:p>
        </w:tc>
        <w:tc>
          <w:tcPr>
            <w:tcW w:w="1252"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B</w:t>
            </w:r>
          </w:p>
        </w:tc>
        <w:tc>
          <w:tcPr>
            <w:tcW w:w="166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c</w:t>
            </w:r>
          </w:p>
        </w:tc>
        <w:tc>
          <w:tcPr>
            <w:tcW w:w="104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D</w:t>
            </w:r>
          </w:p>
        </w:tc>
        <w:tc>
          <w:tcPr>
            <w:tcW w:w="118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e</w:t>
            </w:r>
          </w:p>
        </w:tc>
        <w:tc>
          <w:tcPr>
            <w:tcW w:w="153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f</w:t>
            </w:r>
          </w:p>
        </w:tc>
        <w:tc>
          <w:tcPr>
            <w:tcW w:w="89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G</w:t>
            </w:r>
          </w:p>
        </w:tc>
      </w:tr>
      <w:tr>
        <w:trPr>
          <w:trHeight w:val="454" w:hRule="atLeast"/>
        </w:trPr>
        <w:tc>
          <w:tcPr>
            <w:tcW w:w="1497"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Istina</w:t>
            </w:r>
          </w:p>
        </w:tc>
        <w:tc>
          <w:tcPr>
            <w:tcW w:w="1252"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669"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045" w:type="dxa"/>
            <w:tcBorders>
              <w:top w:val="single" w:sz="12"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58" w:type="dxa"/>
            </w:tcMar>
            <w:vAlign w:val="center"/>
          </w:tcPr>
          <w:p>
            <w:pPr>
              <w:pStyle w:val="Normal"/>
              <w:spacing w:lineRule="auto" w:line="240" w:before="0" w:after="0"/>
              <w:rPr>
                <w:szCs w:val="22"/>
              </w:rPr>
            </w:pPr>
            <w:r>
              <w:rPr>
                <w:szCs w:val="22"/>
              </w:rPr>
              <w:t> </w:t>
            </w:r>
          </w:p>
        </w:tc>
        <w:tc>
          <w:tcPr>
            <w:tcW w:w="1183"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534"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891"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454" w:hRule="atLeast"/>
        </w:trPr>
        <w:tc>
          <w:tcPr>
            <w:tcW w:w="149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Finančný výnos</w:t>
            </w:r>
          </w:p>
        </w:tc>
        <w:tc>
          <w:tcPr>
            <w:tcW w:w="1252"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66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045" w:type="dxa"/>
            <w:tcBorders>
              <w:top w:val="single" w:sz="4"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58" w:type="dxa"/>
            </w:tcMar>
            <w:vAlign w:val="center"/>
          </w:tcPr>
          <w:p>
            <w:pPr>
              <w:pStyle w:val="Normal"/>
              <w:spacing w:lineRule="auto" w:line="240" w:before="0" w:after="0"/>
              <w:rPr>
                <w:szCs w:val="22"/>
              </w:rPr>
            </w:pPr>
            <w:r>
              <w:rPr>
                <w:szCs w:val="22"/>
              </w:rPr>
              <w:t> </w:t>
            </w:r>
          </w:p>
        </w:tc>
        <w:tc>
          <w:tcPr>
            <w:tcW w:w="1183"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53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89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454" w:hRule="atLeast"/>
        </w:trPr>
        <w:tc>
          <w:tcPr>
            <w:tcW w:w="1497"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b/>
                <w:b/>
                <w:szCs w:val="22"/>
              </w:rPr>
            </w:pPr>
            <w:r>
              <w:rPr>
                <w:b/>
                <w:szCs w:val="22"/>
              </w:rPr>
              <w:t>Spolu</w:t>
            </w:r>
          </w:p>
        </w:tc>
        <w:tc>
          <w:tcPr>
            <w:tcW w:w="1252"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669"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045" w:type="dxa"/>
            <w:tcBorders>
              <w:top w:val="single" w:sz="4" w:space="0" w:color="00000A"/>
              <w:left w:val="single" w:sz="8" w:space="0" w:color="00000A"/>
              <w:bottom w:val="single" w:sz="12" w:space="0" w:color="00000A"/>
              <w:right w:val="single" w:sz="8" w:space="0" w:color="00000A"/>
              <w:insideH w:val="single" w:sz="12" w:space="0" w:color="00000A"/>
              <w:insideV w:val="single" w:sz="8" w:space="0" w:color="00000A"/>
            </w:tcBorders>
            <w:shd w:fill="auto" w:val="clear"/>
            <w:tcMar>
              <w:left w:w="58" w:type="dxa"/>
            </w:tcMar>
            <w:vAlign w:val="center"/>
          </w:tcPr>
          <w:p>
            <w:pPr>
              <w:pStyle w:val="Normal"/>
              <w:spacing w:lineRule="auto" w:line="240" w:before="0" w:after="0"/>
              <w:rPr>
                <w:szCs w:val="22"/>
              </w:rPr>
            </w:pPr>
            <w:r>
              <w:rPr>
                <w:szCs w:val="22"/>
              </w:rPr>
              <w:t> </w:t>
            </w:r>
          </w:p>
        </w:tc>
        <w:tc>
          <w:tcPr>
            <w:tcW w:w="1183" w:type="dxa"/>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534"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89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bl>
    <w:p>
      <w:pPr>
        <w:pStyle w:val="Nzov"/>
        <w:spacing w:beforeAutospacing="0" w:before="0" w:after="0"/>
        <w:jc w:val="both"/>
        <w:rPr>
          <w:szCs w:val="22"/>
        </w:rPr>
      </w:pPr>
      <w:r>
        <w:rPr>
          <w:szCs w:val="22"/>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numPr>
          <w:ilvl w:val="0"/>
          <w:numId w:val="3"/>
        </w:numPr>
        <w:spacing w:lineRule="auto" w:line="240" w:before="0" w:after="0"/>
        <w:rPr>
          <w:rFonts w:ascii="Arial" w:hAnsi="Arial"/>
          <w:b/>
          <w:b/>
          <w:bCs/>
          <w:sz w:val="24"/>
          <w:szCs w:val="24"/>
          <w:lang w:eastAsia="sk-SK"/>
        </w:rPr>
      </w:pPr>
      <w:r>
        <w:rPr>
          <w:rFonts w:ascii="Arial" w:hAnsi="Arial"/>
          <w:b/>
          <w:sz w:val="24"/>
          <w:szCs w:val="24"/>
          <w:lang w:eastAsia="sk-SK"/>
        </w:rPr>
        <w:t>Informácie o údajoch vykázaných na strane pasív súvahy</w:t>
      </w:r>
    </w:p>
    <w:p>
      <w:pPr>
        <w:pStyle w:val="Normal"/>
        <w:spacing w:lineRule="auto" w:line="240" w:before="0" w:after="0"/>
        <w:ind w:left="1080" w:hanging="0"/>
        <w:rPr>
          <w:rFonts w:ascii="Arial" w:hAnsi="Arial"/>
          <w:b/>
          <w:b/>
          <w:sz w:val="24"/>
          <w:szCs w:val="24"/>
          <w:lang w:eastAsia="sk-SK"/>
        </w:rPr>
      </w:pPr>
      <w:r>
        <w:rPr>
          <w:rFonts w:ascii="Arial" w:hAnsi="Arial"/>
          <w:b/>
          <w:sz w:val="24"/>
          <w:szCs w:val="24"/>
          <w:lang w:eastAsia="sk-SK"/>
        </w:rPr>
      </w:r>
    </w:p>
    <w:p>
      <w:pPr>
        <w:pStyle w:val="Normal"/>
        <w:numPr>
          <w:ilvl w:val="0"/>
          <w:numId w:val="11"/>
        </w:numPr>
        <w:spacing w:lineRule="auto" w:line="240" w:before="0" w:after="0"/>
        <w:rPr>
          <w:rFonts w:ascii="Arial" w:hAnsi="Arial"/>
          <w:sz w:val="24"/>
          <w:szCs w:val="24"/>
          <w:lang w:eastAsia="sk-SK"/>
        </w:rPr>
      </w:pPr>
      <w:r>
        <w:rPr>
          <w:rFonts w:ascii="Arial" w:hAnsi="Arial"/>
          <w:sz w:val="24"/>
          <w:szCs w:val="24"/>
          <w:lang w:eastAsia="sk-SK"/>
        </w:rPr>
        <w:t>Informácie o vlastnom imaní za bežné účtovné obdobie</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zov"/>
        <w:spacing w:beforeAutospacing="0" w:before="0" w:after="0"/>
        <w:jc w:val="both"/>
        <w:rPr>
          <w:szCs w:val="22"/>
        </w:rPr>
      </w:pPr>
      <w:r>
        <w:rPr>
          <w:szCs w:val="22"/>
        </w:rPr>
      </w:r>
    </w:p>
    <w:p>
      <w:pPr>
        <w:pStyle w:val="Nzov"/>
        <w:numPr>
          <w:ilvl w:val="0"/>
          <w:numId w:val="2"/>
        </w:numPr>
        <w:spacing w:beforeAutospacing="0" w:before="0" w:after="0"/>
        <w:jc w:val="both"/>
        <w:rPr>
          <w:szCs w:val="22"/>
        </w:rPr>
      </w:pPr>
      <w:r>
        <w:rPr>
          <w:szCs w:val="22"/>
        </w:rPr>
        <w:t xml:space="preserve">Informácie k prílohe č. 3 časti G. písm. a) tretiemu bodu o rozdelení účtovného zisku alebo o vysporiadaní účtovnej straty </w:t>
      </w:r>
    </w:p>
    <w:p>
      <w:pPr>
        <w:pStyle w:val="Normal"/>
        <w:spacing w:lineRule="auto" w:line="240" w:before="0" w:after="0"/>
        <w:rPr>
          <w:szCs w:val="22"/>
        </w:rPr>
      </w:pPr>
      <w:r>
        <w:rPr>
          <w:szCs w:val="22"/>
        </w:rPr>
        <w:t>Tabuľka č. 1</w:t>
      </w:r>
    </w:p>
    <w:tbl>
      <w:tblPr>
        <w:tblW w:w="5000" w:type="pct"/>
        <w:jc w:val="center"/>
        <w:tblInd w:w="0"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top w:w="0" w:type="dxa"/>
          <w:left w:w="18" w:type="dxa"/>
          <w:bottom w:w="0" w:type="dxa"/>
          <w:right w:w="108" w:type="dxa"/>
        </w:tblCellMar>
        <w:tblLook w:val="00a0"/>
      </w:tblPr>
      <w:tblGrid>
        <w:gridCol w:w="6613"/>
        <w:gridCol w:w="2458"/>
      </w:tblGrid>
      <w:tr>
        <w:trPr>
          <w:trHeight w:val="765" w:hRule="atLeast"/>
        </w:trPr>
        <w:tc>
          <w:tcPr>
            <w:tcW w:w="661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Názov položky</w:t>
            </w:r>
          </w:p>
        </w:tc>
        <w:tc>
          <w:tcPr>
            <w:tcW w:w="245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Bezprostredne predchádzajúce účtovné obdobie</w:t>
            </w:r>
          </w:p>
        </w:tc>
      </w:tr>
      <w:tr>
        <w:trPr>
          <w:trHeight w:val="425" w:hRule="atLeast"/>
        </w:trPr>
        <w:tc>
          <w:tcPr>
            <w:tcW w:w="661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t xml:space="preserve">Účtovný zisk </w:t>
            </w:r>
          </w:p>
        </w:tc>
        <w:tc>
          <w:tcPr>
            <w:tcW w:w="245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pPr>
            <w:r>
              <w:rPr>
                <w:szCs w:val="22"/>
              </w:rPr>
              <w:t>3583</w:t>
            </w:r>
          </w:p>
        </w:tc>
      </w:tr>
      <w:tr>
        <w:trPr>
          <w:trHeight w:val="330" w:hRule="atLeast"/>
        </w:trPr>
        <w:tc>
          <w:tcPr>
            <w:tcW w:w="661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b/>
                <w:bCs/>
                <w:szCs w:val="22"/>
              </w:rPr>
              <w:t>Rozdelenie účtovného zisku</w:t>
            </w:r>
          </w:p>
        </w:tc>
        <w:tc>
          <w:tcPr>
            <w:tcW w:w="245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b/>
                <w:b/>
                <w:szCs w:val="22"/>
              </w:rPr>
            </w:pPr>
            <w:r>
              <w:rPr>
                <w:b/>
                <w:szCs w:val="22"/>
              </w:rPr>
              <w:t>Bežné účtovné obdobie</w:t>
            </w:r>
          </w:p>
        </w:tc>
      </w:tr>
      <w:tr>
        <w:trPr>
          <w:trHeight w:val="369" w:hRule="atLeast"/>
        </w:trPr>
        <w:tc>
          <w:tcPr>
            <w:tcW w:w="6613" w:type="dxa"/>
            <w:tcBorders>
              <w:top w:val="single" w:sz="12" w:space="0" w:color="00000A"/>
              <w:left w:val="single" w:sz="12" w:space="0" w:color="00000A"/>
              <w:bottom w:val="single" w:sz="8" w:space="0" w:color="00000A"/>
              <w:right w:val="single" w:sz="12" w:space="0" w:color="00000A"/>
              <w:insideH w:val="single" w:sz="8"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Prídel do zákonného rezervného fondu</w:t>
            </w:r>
          </w:p>
        </w:tc>
        <w:tc>
          <w:tcPr>
            <w:tcW w:w="2458" w:type="dxa"/>
            <w:tcBorders>
              <w:top w:val="single" w:sz="12" w:space="0" w:color="00000A"/>
              <w:left w:val="single" w:sz="12" w:space="0" w:color="00000A"/>
              <w:bottom w:val="single" w:sz="8" w:space="0" w:color="00000A"/>
              <w:right w:val="single" w:sz="12" w:space="0" w:color="00000A"/>
              <w:insideH w:val="single" w:sz="8" w:space="0" w:color="00000A"/>
              <w:insideV w:val="single" w:sz="12" w:space="0" w:color="00000A"/>
            </w:tcBorders>
            <w:shd w:fill="auto" w:val="clear"/>
            <w:tcMar>
              <w:left w:w="18" w:type="dxa"/>
            </w:tcMar>
            <w:vAlign w:val="center"/>
          </w:tcPr>
          <w:p>
            <w:pPr>
              <w:pStyle w:val="Normal"/>
              <w:spacing w:lineRule="auto" w:line="240" w:before="0" w:after="0"/>
              <w:rPr/>
            </w:pPr>
            <w:r>
              <w:rPr>
                <w:szCs w:val="22"/>
              </w:rPr>
              <w:t xml:space="preserve">   </w:t>
            </w:r>
          </w:p>
        </w:tc>
      </w:tr>
      <w:tr>
        <w:trPr>
          <w:trHeight w:val="369" w:hRule="atLeast"/>
        </w:trPr>
        <w:tc>
          <w:tcPr>
            <w:tcW w:w="6613" w:type="dxa"/>
            <w:tcBorders>
              <w:top w:val="single" w:sz="8"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Prídel do štatutárnych a ostatných fondov</w:t>
            </w:r>
          </w:p>
        </w:tc>
        <w:tc>
          <w:tcPr>
            <w:tcW w:w="2458" w:type="dxa"/>
            <w:tcBorders>
              <w:top w:val="single" w:sz="8"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Prídel do sociálneho fondu</w:t>
            </w:r>
          </w:p>
        </w:tc>
        <w:tc>
          <w:tcPr>
            <w:tcW w:w="245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Prídel na zvýšenie základného imania</w:t>
            </w:r>
          </w:p>
        </w:tc>
        <w:tc>
          <w:tcPr>
            <w:tcW w:w="245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Úhrada straty minulých období</w:t>
            </w:r>
          </w:p>
        </w:tc>
        <w:tc>
          <w:tcPr>
            <w:tcW w:w="245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 xml:space="preserve">3583  </w:t>
            </w:r>
          </w:p>
        </w:tc>
      </w:tr>
      <w:tr>
        <w:trPr>
          <w:trHeight w:val="369" w:hRule="atLeast"/>
        </w:trPr>
        <w:tc>
          <w:tcPr>
            <w:tcW w:w="6613"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pPr>
            <w:r>
              <w:rPr>
                <w:szCs w:val="22"/>
              </w:rPr>
              <w:t>Prevod do nerozdeleného zisku minulých rokov</w:t>
            </w:r>
          </w:p>
        </w:tc>
        <w:tc>
          <w:tcPr>
            <w:tcW w:w="245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Rozdelenie podielu na zisku spoločníkom, členom</w:t>
            </w:r>
          </w:p>
        </w:tc>
        <w:tc>
          <w:tcPr>
            <w:tcW w:w="245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xml:space="preserve">Iné </w:t>
            </w:r>
          </w:p>
        </w:tc>
        <w:tc>
          <w:tcPr>
            <w:tcW w:w="245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pPr>
            <w:r>
              <w:rPr>
                <w:b/>
                <w:bCs/>
                <w:szCs w:val="22"/>
              </w:rPr>
              <w:t>Spolu</w:t>
            </w:r>
          </w:p>
        </w:tc>
        <w:tc>
          <w:tcPr>
            <w:tcW w:w="2458"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r>
    </w:tbl>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t>Tabuľka č. 2</w:t>
      </w:r>
    </w:p>
    <w:tbl>
      <w:tblPr>
        <w:tblW w:w="5000" w:type="pct"/>
        <w:jc w:val="center"/>
        <w:tblInd w:w="0"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top w:w="0" w:type="dxa"/>
          <w:left w:w="18" w:type="dxa"/>
          <w:bottom w:w="0" w:type="dxa"/>
          <w:right w:w="108" w:type="dxa"/>
        </w:tblCellMar>
        <w:tblLook w:val="00a0"/>
      </w:tblPr>
      <w:tblGrid>
        <w:gridCol w:w="6613"/>
        <w:gridCol w:w="2458"/>
      </w:tblGrid>
      <w:tr>
        <w:trPr>
          <w:trHeight w:val="330" w:hRule="atLeast"/>
        </w:trPr>
        <w:tc>
          <w:tcPr>
            <w:tcW w:w="661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b/>
                <w:b/>
                <w:bCs/>
                <w:szCs w:val="22"/>
              </w:rPr>
            </w:pPr>
            <w:r>
              <w:rPr>
                <w:b/>
                <w:bCs/>
                <w:szCs w:val="22"/>
              </w:rPr>
              <w:t>Názov položky</w:t>
            </w:r>
          </w:p>
        </w:tc>
        <w:tc>
          <w:tcPr>
            <w:tcW w:w="245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b/>
                <w:b/>
                <w:szCs w:val="22"/>
              </w:rPr>
            </w:pPr>
            <w:r>
              <w:rPr>
                <w:b/>
                <w:szCs w:val="22"/>
              </w:rPr>
              <w:t>Bezprostredne predchádzajúce účtovné obdobie</w:t>
            </w:r>
          </w:p>
        </w:tc>
      </w:tr>
      <w:tr>
        <w:trPr>
          <w:trHeight w:val="425" w:hRule="atLeast"/>
        </w:trPr>
        <w:tc>
          <w:tcPr>
            <w:tcW w:w="6613"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t>Účtovná strata</w:t>
            </w:r>
          </w:p>
        </w:tc>
        <w:tc>
          <w:tcPr>
            <w:tcW w:w="2458"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r>
          </w:p>
        </w:tc>
      </w:tr>
      <w:tr>
        <w:trPr>
          <w:trHeight w:val="425" w:hRule="atLeast"/>
        </w:trPr>
        <w:tc>
          <w:tcPr>
            <w:tcW w:w="661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b/>
                <w:bCs/>
                <w:szCs w:val="22"/>
              </w:rPr>
              <w:t>Vysporiadanie účtovnej straty</w:t>
            </w:r>
          </w:p>
        </w:tc>
        <w:tc>
          <w:tcPr>
            <w:tcW w:w="245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b/>
                <w:szCs w:val="22"/>
              </w:rPr>
              <w:t>Bežné účtovné obdobie</w:t>
            </w:r>
          </w:p>
        </w:tc>
      </w:tr>
      <w:tr>
        <w:trPr>
          <w:trHeight w:val="369" w:hRule="atLeast"/>
        </w:trPr>
        <w:tc>
          <w:tcPr>
            <w:tcW w:w="6613"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Zo zákonného rezervného fondu</w:t>
            </w:r>
          </w:p>
        </w:tc>
        <w:tc>
          <w:tcPr>
            <w:tcW w:w="2458"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Zo štatutárnych a ostatných fondov</w:t>
            </w:r>
          </w:p>
        </w:tc>
        <w:tc>
          <w:tcPr>
            <w:tcW w:w="245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Z nerozdeleného zisku minulých rokov</w:t>
            </w:r>
          </w:p>
        </w:tc>
        <w:tc>
          <w:tcPr>
            <w:tcW w:w="245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Úhrada straty spoločníkmi, členmi</w:t>
            </w:r>
          </w:p>
        </w:tc>
        <w:tc>
          <w:tcPr>
            <w:tcW w:w="245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Prevod na účet neuhradenej straty minulých rokov</w:t>
            </w:r>
          </w:p>
        </w:tc>
        <w:tc>
          <w:tcPr>
            <w:tcW w:w="245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xml:space="preserve">       </w:t>
            </w:r>
          </w:p>
        </w:tc>
      </w:tr>
      <w:tr>
        <w:trPr>
          <w:trHeight w:val="369" w:hRule="atLeast"/>
        </w:trPr>
        <w:tc>
          <w:tcPr>
            <w:tcW w:w="6613"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xml:space="preserve">Iné </w:t>
            </w:r>
          </w:p>
        </w:tc>
        <w:tc>
          <w:tcPr>
            <w:tcW w:w="245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t xml:space="preserve">Spolu </w:t>
            </w:r>
          </w:p>
        </w:tc>
        <w:tc>
          <w:tcPr>
            <w:tcW w:w="245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xml:space="preserve">   </w:t>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ListParagraph"/>
        <w:numPr>
          <w:ilvl w:val="0"/>
          <w:numId w:val="19"/>
        </w:numPr>
        <w:spacing w:lineRule="auto" w:line="240" w:before="0" w:after="0"/>
        <w:ind w:left="1276" w:hanging="425"/>
        <w:contextualSpacing/>
        <w:rPr>
          <w:rFonts w:ascii="Arial" w:hAnsi="Arial"/>
          <w:sz w:val="24"/>
          <w:szCs w:val="24"/>
          <w:lang w:eastAsia="sk-SK"/>
        </w:rPr>
      </w:pPr>
      <w:r>
        <w:rPr>
          <w:rFonts w:ascii="Arial" w:hAnsi="Arial"/>
          <w:sz w:val="24"/>
          <w:szCs w:val="24"/>
          <w:lang w:eastAsia="sk-SK"/>
        </w:rPr>
        <w:t xml:space="preserve">základné imanie :     </w:t>
      </w:r>
    </w:p>
    <w:p>
      <w:pPr>
        <w:pStyle w:val="Normal"/>
        <w:spacing w:lineRule="auto" w:line="240" w:before="0" w:after="0"/>
        <w:jc w:val="center"/>
        <w:rPr>
          <w:rFonts w:ascii="Arial" w:hAnsi="Arial"/>
          <w:sz w:val="24"/>
          <w:szCs w:val="24"/>
          <w:lang w:eastAsia="sk-SK"/>
        </w:rPr>
      </w:pPr>
      <w:r>
        <w:rPr>
          <w:rFonts w:ascii="Arial" w:hAnsi="Arial"/>
          <w:sz w:val="24"/>
          <w:szCs w:val="24"/>
          <w:lang w:eastAsia="sk-SK"/>
        </w:rPr>
        <w:t>splatené základné imanie :   142 280 Eur zapísaná v obch .registri</w:t>
      </w:r>
    </w:p>
    <w:p>
      <w:pPr>
        <w:pStyle w:val="ListParagraph"/>
        <w:numPr>
          <w:ilvl w:val="0"/>
          <w:numId w:val="19"/>
        </w:numPr>
        <w:spacing w:lineRule="auto" w:line="240" w:before="0" w:after="0"/>
        <w:ind w:left="1276" w:hanging="425"/>
        <w:contextualSpacing/>
        <w:rPr>
          <w:rFonts w:ascii="Arial" w:hAnsi="Arial"/>
          <w:sz w:val="24"/>
          <w:szCs w:val="24"/>
          <w:lang w:eastAsia="sk-SK"/>
        </w:rPr>
      </w:pPr>
      <w:r>
        <w:rPr>
          <w:rFonts w:ascii="Arial" w:hAnsi="Arial"/>
          <w:sz w:val="24"/>
          <w:szCs w:val="24"/>
          <w:lang w:eastAsia="sk-SK"/>
        </w:rPr>
        <w:t>hodnota upísaného vlastného imania : spoločnosť nemá vlastné imanie</w:t>
      </w:r>
    </w:p>
    <w:p>
      <w:pPr>
        <w:pStyle w:val="ListParagraph"/>
        <w:numPr>
          <w:ilvl w:val="0"/>
          <w:numId w:val="19"/>
        </w:numPr>
        <w:spacing w:lineRule="auto" w:line="240" w:before="0" w:after="0"/>
        <w:ind w:left="1276" w:hanging="425"/>
        <w:contextualSpacing/>
        <w:rPr>
          <w:rFonts w:ascii="Arial" w:hAnsi="Arial"/>
          <w:sz w:val="24"/>
          <w:szCs w:val="24"/>
          <w:lang w:eastAsia="sk-SK"/>
        </w:rPr>
      </w:pPr>
      <w:r>
        <w:rPr>
          <w:rFonts w:ascii="Arial" w:hAnsi="Arial"/>
          <w:sz w:val="24"/>
          <w:szCs w:val="24"/>
          <w:lang w:eastAsia="sk-SK"/>
        </w:rPr>
        <w:t xml:space="preserve">rozdelenie účtovného zisku alebo vysporiadanie účtovnej straty vykázanej v predchádzajúcom účtovnom období: </w:t>
      </w:r>
    </w:p>
    <w:p>
      <w:pPr>
        <w:pStyle w:val="ListParagraph"/>
        <w:numPr>
          <w:ilvl w:val="0"/>
          <w:numId w:val="19"/>
        </w:numPr>
        <w:spacing w:lineRule="auto" w:line="240" w:before="0" w:after="0"/>
        <w:ind w:left="1276" w:hanging="425"/>
        <w:contextualSpacing/>
        <w:rPr>
          <w:rFonts w:ascii="Arial" w:hAnsi="Arial"/>
          <w:sz w:val="24"/>
          <w:szCs w:val="24"/>
          <w:lang w:eastAsia="sk-SK"/>
        </w:rPr>
      </w:pPr>
      <w:r>
        <w:rPr>
          <w:rFonts w:ascii="Arial" w:hAnsi="Arial"/>
          <w:sz w:val="24"/>
          <w:szCs w:val="24"/>
          <w:lang w:eastAsia="sk-SK"/>
        </w:rPr>
        <w:t xml:space="preserve">prehľad o zisku alebo strate, ktorá nebola účtovaná ako náklad alebo výnos, ale priamo na účty vlastného imania : </w:t>
        <w:br/>
        <w:br/>
        <w:t xml:space="preserve">- zmeny reálnej hodnoty majetku : </w:t>
        <w:br/>
        <w:br/>
        <w:t xml:space="preserve">- zmeny hodnoty majetku pri použití metódy vlastného imania : </w:t>
        <w:br/>
        <w:br/>
        <w:t xml:space="preserve">- súčet ziskov </w:t>
        <w:br/>
        <w:br/>
        <w:t xml:space="preserve">- súčet strát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ListParagraph"/>
        <w:numPr>
          <w:ilvl w:val="0"/>
          <w:numId w:val="19"/>
        </w:numPr>
        <w:spacing w:lineRule="auto" w:line="240" w:before="0" w:after="0"/>
        <w:ind w:left="1276" w:hanging="425"/>
        <w:contextualSpacing/>
        <w:rPr/>
      </w:pPr>
      <w:r>
        <w:rPr>
          <w:rFonts w:ascii="Arial" w:hAnsi="Arial"/>
          <w:sz w:val="24"/>
          <w:szCs w:val="24"/>
          <w:lang w:eastAsia="sk-SK"/>
        </w:rPr>
        <w:t xml:space="preserve">Zisk za akciu alebo podiel na základnom imaní :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11"/>
        </w:numPr>
        <w:spacing w:lineRule="auto" w:line="240" w:before="0" w:after="0"/>
        <w:rPr>
          <w:rFonts w:ascii="Arial" w:hAnsi="Arial"/>
          <w:sz w:val="24"/>
          <w:szCs w:val="24"/>
          <w:lang w:eastAsia="sk-SK"/>
        </w:rPr>
      </w:pPr>
      <w:r>
        <w:rPr>
          <w:rFonts w:ascii="Arial" w:hAnsi="Arial"/>
          <w:sz w:val="24"/>
          <w:szCs w:val="24"/>
          <w:lang w:eastAsia="sk-SK"/>
        </w:rPr>
        <w:t>Rezervy za bežné účtovné obdobie:</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r>
    </w:p>
    <w:p>
      <w:pPr>
        <w:pStyle w:val="Nzov"/>
        <w:numPr>
          <w:ilvl w:val="0"/>
          <w:numId w:val="19"/>
        </w:numPr>
        <w:spacing w:beforeAutospacing="0" w:before="0" w:after="0"/>
        <w:ind w:left="709" w:hanging="425"/>
        <w:jc w:val="left"/>
        <w:rPr>
          <w:szCs w:val="22"/>
        </w:rPr>
      </w:pPr>
      <w:r>
        <w:rPr>
          <w:szCs w:val="22"/>
        </w:rPr>
        <w:t>Informácie k prílohe č. 3 časti G. písm. b) o rezervách</w:t>
      </w:r>
    </w:p>
    <w:p>
      <w:pPr>
        <w:pStyle w:val="Normal"/>
        <w:spacing w:lineRule="auto" w:line="240" w:before="0" w:after="0"/>
        <w:rPr>
          <w:szCs w:val="22"/>
        </w:rPr>
      </w:pPr>
      <w:r>
        <w:rPr>
          <w:szCs w:val="22"/>
        </w:rPr>
        <w:t>Tabuľka č. 1</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8" w:type="dxa"/>
          <w:bottom w:w="0" w:type="dxa"/>
          <w:right w:w="108" w:type="dxa"/>
        </w:tblCellMar>
        <w:tblLook w:val="00a0"/>
      </w:tblPr>
      <w:tblGrid>
        <w:gridCol w:w="2461"/>
        <w:gridCol w:w="1907"/>
        <w:gridCol w:w="997"/>
        <w:gridCol w:w="1112"/>
        <w:gridCol w:w="1106"/>
        <w:gridCol w:w="1488"/>
      </w:tblGrid>
      <w:tr>
        <w:trPr>
          <w:trHeight w:val="330" w:hRule="atLeast"/>
        </w:trPr>
        <w:tc>
          <w:tcPr>
            <w:tcW w:w="2461" w:type="dxa"/>
            <w:vMerge w:val="restart"/>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Názov položky</w:t>
            </w:r>
          </w:p>
        </w:tc>
        <w:tc>
          <w:tcPr>
            <w:tcW w:w="6610" w:type="dxa"/>
            <w:gridSpan w:val="5"/>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TopHeader"/>
              <w:rPr/>
            </w:pPr>
            <w:r>
              <w:rPr/>
              <w:t>Bežné účtovné obdobie</w:t>
            </w:r>
          </w:p>
        </w:tc>
      </w:tr>
      <w:tr>
        <w:trPr>
          <w:trHeight w:val="345" w:hRule="atLeast"/>
        </w:trPr>
        <w:tc>
          <w:tcPr>
            <w:tcW w:w="2461" w:type="dxa"/>
            <w:vMerge w:val="continue"/>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r>
          </w:p>
        </w:tc>
        <w:tc>
          <w:tcPr>
            <w:tcW w:w="1907"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Stav na začiatku účtovného obdobia</w:t>
            </w:r>
          </w:p>
        </w:tc>
        <w:tc>
          <w:tcPr>
            <w:tcW w:w="997"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Tvorba</w:t>
            </w:r>
          </w:p>
        </w:tc>
        <w:tc>
          <w:tcPr>
            <w:tcW w:w="1112"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Použitie</w:t>
            </w:r>
          </w:p>
        </w:tc>
        <w:tc>
          <w:tcPr>
            <w:tcW w:w="1106"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Zrušenie</w:t>
            </w:r>
          </w:p>
        </w:tc>
        <w:tc>
          <w:tcPr>
            <w:tcW w:w="1488"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Stav</w:t>
              <w:br/>
              <w:t>na konci účtovného obdobia</w:t>
            </w:r>
          </w:p>
        </w:tc>
      </w:tr>
      <w:tr>
        <w:trPr>
          <w:trHeight w:val="330" w:hRule="atLeast"/>
        </w:trPr>
        <w:tc>
          <w:tcPr>
            <w:tcW w:w="246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bCs/>
                <w:szCs w:val="22"/>
              </w:rPr>
            </w:pPr>
            <w:r>
              <w:rPr>
                <w:bCs/>
                <w:szCs w:val="22"/>
              </w:rPr>
              <w:t>A</w:t>
            </w:r>
          </w:p>
        </w:tc>
        <w:tc>
          <w:tcPr>
            <w:tcW w:w="190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b</w:t>
            </w:r>
          </w:p>
        </w:tc>
        <w:tc>
          <w:tcPr>
            <w:tcW w:w="99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C</w:t>
            </w:r>
          </w:p>
        </w:tc>
        <w:tc>
          <w:tcPr>
            <w:tcW w:w="111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d</w:t>
            </w:r>
          </w:p>
        </w:tc>
        <w:tc>
          <w:tcPr>
            <w:tcW w:w="110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E</w:t>
            </w:r>
          </w:p>
        </w:tc>
        <w:tc>
          <w:tcPr>
            <w:tcW w:w="148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F</w:t>
            </w:r>
          </w:p>
        </w:tc>
      </w:tr>
      <w:tr>
        <w:trPr>
          <w:trHeight w:val="330" w:hRule="atLeast"/>
        </w:trPr>
        <w:tc>
          <w:tcPr>
            <w:tcW w:w="246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b/>
                <w:bCs/>
                <w:szCs w:val="22"/>
              </w:rPr>
              <w:t>Dlhodobé rezervy, z toho:</w:t>
            </w:r>
          </w:p>
        </w:tc>
        <w:tc>
          <w:tcPr>
            <w:tcW w:w="1907" w:type="dxa"/>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997"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112"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106"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48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69" w:hRule="atLeast"/>
        </w:trPr>
        <w:tc>
          <w:tcPr>
            <w:tcW w:w="2461"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907"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997"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112"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106"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488"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69" w:hRule="atLeast"/>
        </w:trPr>
        <w:tc>
          <w:tcPr>
            <w:tcW w:w="246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9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11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10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48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69" w:hRule="atLeast"/>
        </w:trPr>
        <w:tc>
          <w:tcPr>
            <w:tcW w:w="246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9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11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10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48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69" w:hRule="atLeast"/>
        </w:trPr>
        <w:tc>
          <w:tcPr>
            <w:tcW w:w="246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r>
          </w:p>
        </w:tc>
        <w:tc>
          <w:tcPr>
            <w:tcW w:w="1907" w:type="dxa"/>
            <w:tcBorders>
              <w:top w:val="single" w:sz="8"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997" w:type="dxa"/>
            <w:tcBorders>
              <w:top w:val="single" w:sz="8"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112" w:type="dxa"/>
            <w:tcBorders>
              <w:top w:val="single" w:sz="8"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106" w:type="dxa"/>
            <w:tcBorders>
              <w:top w:val="single" w:sz="8"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488" w:type="dxa"/>
            <w:tcBorders>
              <w:top w:val="single" w:sz="8" w:space="0" w:color="00000A"/>
              <w:left w:val="single" w:sz="8" w:space="0" w:color="00000A"/>
              <w:bottom w:val="single" w:sz="12" w:space="0" w:color="00000A"/>
              <w:right w:val="single" w:sz="12" w:space="0" w:color="00000A"/>
              <w:insideH w:val="single" w:sz="12" w:space="0" w:color="00000A"/>
              <w:insideV w:val="single" w:sz="12" w:space="0" w:color="00000A"/>
            </w:tcBorders>
            <w:shd w:fill="auto" w:val="clear"/>
            <w:tcMar>
              <w:left w:w="48" w:type="dxa"/>
            </w:tcMar>
            <w:vAlign w:val="center"/>
          </w:tcPr>
          <w:p>
            <w:pPr>
              <w:pStyle w:val="Normal"/>
              <w:spacing w:lineRule="auto" w:line="240" w:before="0" w:after="0"/>
              <w:rPr>
                <w:szCs w:val="22"/>
              </w:rPr>
            </w:pPr>
            <w:r>
              <w:rPr>
                <w:szCs w:val="22"/>
              </w:rPr>
            </w:r>
          </w:p>
        </w:tc>
      </w:tr>
      <w:tr>
        <w:trPr>
          <w:trHeight w:val="330" w:hRule="atLeast"/>
        </w:trPr>
        <w:tc>
          <w:tcPr>
            <w:tcW w:w="246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b/>
                <w:bCs/>
                <w:szCs w:val="22"/>
              </w:rPr>
              <w:t>Krátkodobé rezervy, z toho:</w:t>
            </w:r>
          </w:p>
        </w:tc>
        <w:tc>
          <w:tcPr>
            <w:tcW w:w="1907" w:type="dxa"/>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1458</w:t>
            </w:r>
          </w:p>
        </w:tc>
        <w:tc>
          <w:tcPr>
            <w:tcW w:w="997"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xml:space="preserve">  </w:t>
            </w:r>
            <w:r>
              <w:rPr>
                <w:szCs w:val="22"/>
              </w:rPr>
              <w:t>2282 </w:t>
            </w:r>
          </w:p>
        </w:tc>
        <w:tc>
          <w:tcPr>
            <w:tcW w:w="1112"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xml:space="preserve">  </w:t>
            </w:r>
            <w:r>
              <w:rPr>
                <w:szCs w:val="22"/>
              </w:rPr>
              <w:t>1458 </w:t>
            </w:r>
          </w:p>
        </w:tc>
        <w:tc>
          <w:tcPr>
            <w:tcW w:w="1106"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48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2282</w:t>
            </w:r>
          </w:p>
        </w:tc>
      </w:tr>
      <w:tr>
        <w:trPr>
          <w:trHeight w:val="369" w:hRule="atLeast"/>
        </w:trPr>
        <w:tc>
          <w:tcPr>
            <w:tcW w:w="2461"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Audít</w:t>
            </w:r>
          </w:p>
        </w:tc>
        <w:tc>
          <w:tcPr>
            <w:tcW w:w="1907" w:type="dxa"/>
            <w:tcBorders>
              <w:top w:val="single" w:sz="12"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300</w:t>
            </w:r>
          </w:p>
        </w:tc>
        <w:tc>
          <w:tcPr>
            <w:tcW w:w="997"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xml:space="preserve">     </w:t>
            </w:r>
            <w:r>
              <w:rPr>
                <w:szCs w:val="22"/>
              </w:rPr>
              <w:t xml:space="preserve">400  </w:t>
            </w:r>
          </w:p>
        </w:tc>
        <w:tc>
          <w:tcPr>
            <w:tcW w:w="1112"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xml:space="preserve">    </w:t>
            </w:r>
            <w:r>
              <w:rPr>
                <w:szCs w:val="22"/>
              </w:rPr>
              <w:t>300 </w:t>
            </w:r>
          </w:p>
        </w:tc>
        <w:tc>
          <w:tcPr>
            <w:tcW w:w="1106"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488"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400 </w:t>
            </w:r>
          </w:p>
        </w:tc>
      </w:tr>
      <w:tr>
        <w:trPr>
          <w:trHeight w:val="369" w:hRule="atLeast"/>
        </w:trPr>
        <w:tc>
          <w:tcPr>
            <w:tcW w:w="246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Nevyčerpané dov. SP, ZP</w:t>
            </w:r>
          </w:p>
        </w:tc>
        <w:tc>
          <w:tcPr>
            <w:tcW w:w="1907"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1158</w:t>
            </w:r>
          </w:p>
        </w:tc>
        <w:tc>
          <w:tcPr>
            <w:tcW w:w="997"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xml:space="preserve">  </w:t>
            </w:r>
            <w:r>
              <w:rPr>
                <w:szCs w:val="22"/>
              </w:rPr>
              <w:t>1882  </w:t>
            </w:r>
          </w:p>
        </w:tc>
        <w:tc>
          <w:tcPr>
            <w:tcW w:w="1112"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xml:space="preserve">  </w:t>
            </w:r>
            <w:r>
              <w:rPr>
                <w:szCs w:val="22"/>
              </w:rPr>
              <w:t>1158 </w:t>
            </w:r>
          </w:p>
        </w:tc>
        <w:tc>
          <w:tcPr>
            <w:tcW w:w="1106"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48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1882 </w:t>
            </w:r>
          </w:p>
        </w:tc>
      </w:tr>
      <w:tr>
        <w:trPr>
          <w:trHeight w:val="369" w:hRule="atLeast"/>
        </w:trPr>
        <w:tc>
          <w:tcPr>
            <w:tcW w:w="2461"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907"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99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112"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106"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48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69" w:hRule="atLeast"/>
        </w:trPr>
        <w:tc>
          <w:tcPr>
            <w:tcW w:w="246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9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11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10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48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69" w:hRule="atLeast"/>
        </w:trPr>
        <w:tc>
          <w:tcPr>
            <w:tcW w:w="246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b/>
                <w:b/>
                <w:szCs w:val="22"/>
              </w:rPr>
            </w:pPr>
            <w:r>
              <w:rPr>
                <w:b/>
                <w:szCs w:val="22"/>
              </w:rPr>
            </w:r>
          </w:p>
        </w:tc>
        <w:tc>
          <w:tcPr>
            <w:tcW w:w="1907"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8" w:type="dxa"/>
            </w:tcMar>
            <w:vAlign w:val="center"/>
          </w:tcPr>
          <w:p>
            <w:pPr>
              <w:pStyle w:val="Normal"/>
              <w:spacing w:lineRule="auto" w:line="240" w:before="0" w:after="0"/>
              <w:rPr>
                <w:b/>
                <w:b/>
                <w:szCs w:val="22"/>
              </w:rPr>
            </w:pPr>
            <w:r>
              <w:rPr>
                <w:b/>
                <w:szCs w:val="22"/>
              </w:rPr>
            </w:r>
          </w:p>
        </w:tc>
        <w:tc>
          <w:tcPr>
            <w:tcW w:w="997"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b/>
                <w:b/>
                <w:szCs w:val="22"/>
              </w:rPr>
            </w:pPr>
            <w:r>
              <w:rPr>
                <w:b/>
                <w:szCs w:val="22"/>
              </w:rPr>
            </w:r>
          </w:p>
        </w:tc>
        <w:tc>
          <w:tcPr>
            <w:tcW w:w="1112"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b/>
                <w:b/>
                <w:szCs w:val="22"/>
              </w:rPr>
            </w:pPr>
            <w:r>
              <w:rPr>
                <w:b/>
                <w:szCs w:val="22"/>
              </w:rPr>
            </w:r>
          </w:p>
        </w:tc>
        <w:tc>
          <w:tcPr>
            <w:tcW w:w="1106"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b/>
                <w:b/>
                <w:szCs w:val="22"/>
              </w:rPr>
            </w:pPr>
            <w:r>
              <w:rPr>
                <w:b/>
                <w:szCs w:val="22"/>
              </w:rPr>
            </w:r>
          </w:p>
        </w:tc>
        <w:tc>
          <w:tcPr>
            <w:tcW w:w="1488"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b/>
                <w:b/>
                <w:szCs w:val="22"/>
              </w:rPr>
            </w:pPr>
            <w:r>
              <w:rPr>
                <w:b/>
                <w:szCs w:val="22"/>
              </w:rPr>
            </w:r>
          </w:p>
        </w:tc>
      </w:tr>
    </w:tbl>
    <w:p>
      <w:pPr>
        <w:pStyle w:val="Normal"/>
        <w:spacing w:lineRule="auto" w:line="240" w:before="120" w:after="0"/>
        <w:rPr>
          <w:szCs w:val="22"/>
        </w:rPr>
      </w:pPr>
      <w:r>
        <w:rPr>
          <w:szCs w:val="22"/>
        </w:rPr>
        <w:t>Tabuľka č. 2</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8" w:type="dxa"/>
          <w:bottom w:w="0" w:type="dxa"/>
          <w:right w:w="108" w:type="dxa"/>
        </w:tblCellMar>
        <w:tblLook w:val="00a0"/>
      </w:tblPr>
      <w:tblGrid>
        <w:gridCol w:w="2461"/>
        <w:gridCol w:w="1907"/>
        <w:gridCol w:w="997"/>
        <w:gridCol w:w="1112"/>
        <w:gridCol w:w="1106"/>
        <w:gridCol w:w="1488"/>
      </w:tblGrid>
      <w:tr>
        <w:trPr>
          <w:trHeight w:val="330" w:hRule="atLeast"/>
        </w:trPr>
        <w:tc>
          <w:tcPr>
            <w:tcW w:w="2461" w:type="dxa"/>
            <w:vMerge w:val="restart"/>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Názov položky</w:t>
            </w:r>
          </w:p>
        </w:tc>
        <w:tc>
          <w:tcPr>
            <w:tcW w:w="6610" w:type="dxa"/>
            <w:gridSpan w:val="5"/>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TopHeader"/>
              <w:rPr/>
            </w:pPr>
            <w:r>
              <w:rPr/>
              <w:t>Bezprostredne predchádzajúce účtovné obdobie</w:t>
            </w:r>
          </w:p>
        </w:tc>
      </w:tr>
      <w:tr>
        <w:trPr>
          <w:trHeight w:val="345" w:hRule="atLeast"/>
        </w:trPr>
        <w:tc>
          <w:tcPr>
            <w:tcW w:w="2461" w:type="dxa"/>
            <w:vMerge w:val="continue"/>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r>
          </w:p>
        </w:tc>
        <w:tc>
          <w:tcPr>
            <w:tcW w:w="1907"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Stav na začiatku účtovného obdobia</w:t>
            </w:r>
          </w:p>
        </w:tc>
        <w:tc>
          <w:tcPr>
            <w:tcW w:w="997"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Tvorba</w:t>
            </w:r>
          </w:p>
        </w:tc>
        <w:tc>
          <w:tcPr>
            <w:tcW w:w="1112"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Použitie</w:t>
            </w:r>
          </w:p>
        </w:tc>
        <w:tc>
          <w:tcPr>
            <w:tcW w:w="1106"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Zrušenie</w:t>
            </w:r>
          </w:p>
        </w:tc>
        <w:tc>
          <w:tcPr>
            <w:tcW w:w="1488"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Stav</w:t>
              <w:br/>
              <w:t>na konci účtovného obdobia</w:t>
            </w:r>
          </w:p>
        </w:tc>
      </w:tr>
      <w:tr>
        <w:trPr>
          <w:trHeight w:val="330" w:hRule="atLeast"/>
        </w:trPr>
        <w:tc>
          <w:tcPr>
            <w:tcW w:w="246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bCs/>
                <w:szCs w:val="22"/>
              </w:rPr>
            </w:pPr>
            <w:r>
              <w:rPr>
                <w:bCs/>
                <w:szCs w:val="22"/>
              </w:rPr>
              <w:t>A</w:t>
            </w:r>
          </w:p>
        </w:tc>
        <w:tc>
          <w:tcPr>
            <w:tcW w:w="190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b</w:t>
            </w:r>
          </w:p>
        </w:tc>
        <w:tc>
          <w:tcPr>
            <w:tcW w:w="99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C</w:t>
            </w:r>
          </w:p>
        </w:tc>
        <w:tc>
          <w:tcPr>
            <w:tcW w:w="111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d</w:t>
            </w:r>
          </w:p>
        </w:tc>
        <w:tc>
          <w:tcPr>
            <w:tcW w:w="110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e</w:t>
            </w:r>
          </w:p>
        </w:tc>
        <w:tc>
          <w:tcPr>
            <w:tcW w:w="148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F</w:t>
            </w:r>
          </w:p>
        </w:tc>
      </w:tr>
      <w:tr>
        <w:trPr>
          <w:trHeight w:val="284" w:hRule="atLeast"/>
        </w:trPr>
        <w:tc>
          <w:tcPr>
            <w:tcW w:w="246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b/>
                <w:bCs/>
                <w:szCs w:val="22"/>
              </w:rPr>
              <w:t>Dlhodobé rezervy, z toho:</w:t>
            </w:r>
          </w:p>
        </w:tc>
        <w:tc>
          <w:tcPr>
            <w:tcW w:w="1907" w:type="dxa"/>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997"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112"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106"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48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69" w:hRule="atLeast"/>
        </w:trPr>
        <w:tc>
          <w:tcPr>
            <w:tcW w:w="2461"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907"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997"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112"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106"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488"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69" w:hRule="atLeast"/>
        </w:trPr>
        <w:tc>
          <w:tcPr>
            <w:tcW w:w="246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9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11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10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48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69" w:hRule="atLeast"/>
        </w:trPr>
        <w:tc>
          <w:tcPr>
            <w:tcW w:w="246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9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11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10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48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69" w:hRule="atLeast"/>
        </w:trPr>
        <w:tc>
          <w:tcPr>
            <w:tcW w:w="246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r>
          </w:p>
        </w:tc>
        <w:tc>
          <w:tcPr>
            <w:tcW w:w="1907"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997"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112"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106"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488" w:type="dxa"/>
            <w:tcBorders>
              <w:top w:val="single" w:sz="4" w:space="0" w:color="00000A"/>
              <w:left w:val="single" w:sz="8" w:space="0" w:color="00000A"/>
              <w:bottom w:val="single" w:sz="12" w:space="0" w:color="00000A"/>
              <w:right w:val="single" w:sz="12" w:space="0" w:color="00000A"/>
              <w:insideH w:val="single" w:sz="12" w:space="0" w:color="00000A"/>
              <w:insideV w:val="single" w:sz="12" w:space="0" w:color="00000A"/>
            </w:tcBorders>
            <w:shd w:fill="auto" w:val="clear"/>
            <w:tcMar>
              <w:left w:w="48" w:type="dxa"/>
            </w:tcMar>
            <w:vAlign w:val="center"/>
          </w:tcPr>
          <w:p>
            <w:pPr>
              <w:pStyle w:val="Normal"/>
              <w:spacing w:lineRule="auto" w:line="240" w:before="0" w:after="0"/>
              <w:rPr>
                <w:szCs w:val="22"/>
              </w:rPr>
            </w:pPr>
            <w:r>
              <w:rPr>
                <w:szCs w:val="22"/>
              </w:rPr>
            </w:r>
          </w:p>
        </w:tc>
      </w:tr>
      <w:tr>
        <w:trPr>
          <w:trHeight w:val="330" w:hRule="atLeast"/>
        </w:trPr>
        <w:tc>
          <w:tcPr>
            <w:tcW w:w="246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b/>
                <w:bCs/>
                <w:szCs w:val="22"/>
              </w:rPr>
              <w:t>Krátkodobé rezervy, z toho:</w:t>
            </w:r>
          </w:p>
        </w:tc>
        <w:tc>
          <w:tcPr>
            <w:tcW w:w="1907" w:type="dxa"/>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3913</w:t>
            </w:r>
          </w:p>
        </w:tc>
        <w:tc>
          <w:tcPr>
            <w:tcW w:w="997"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xml:space="preserve"> </w:t>
            </w:r>
            <w:r>
              <w:rPr>
                <w:szCs w:val="22"/>
              </w:rPr>
              <w:t>1458 </w:t>
            </w:r>
          </w:p>
        </w:tc>
        <w:tc>
          <w:tcPr>
            <w:tcW w:w="1112"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xml:space="preserve">  </w:t>
            </w:r>
            <w:r>
              <w:rPr>
                <w:szCs w:val="22"/>
              </w:rPr>
              <w:t>3913 </w:t>
            </w:r>
          </w:p>
        </w:tc>
        <w:tc>
          <w:tcPr>
            <w:tcW w:w="1106"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48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1458 </w:t>
            </w:r>
          </w:p>
        </w:tc>
      </w:tr>
      <w:tr>
        <w:trPr>
          <w:trHeight w:val="369" w:hRule="atLeast"/>
        </w:trPr>
        <w:tc>
          <w:tcPr>
            <w:tcW w:w="2461"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Audít</w:t>
            </w:r>
          </w:p>
        </w:tc>
        <w:tc>
          <w:tcPr>
            <w:tcW w:w="1907" w:type="dxa"/>
            <w:tcBorders>
              <w:top w:val="single" w:sz="12"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600</w:t>
            </w:r>
          </w:p>
        </w:tc>
        <w:tc>
          <w:tcPr>
            <w:tcW w:w="997"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xml:space="preserve">     </w:t>
            </w:r>
            <w:r>
              <w:rPr>
                <w:szCs w:val="22"/>
              </w:rPr>
              <w:t>300 </w:t>
            </w:r>
          </w:p>
        </w:tc>
        <w:tc>
          <w:tcPr>
            <w:tcW w:w="1112"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xml:space="preserve">     </w:t>
            </w:r>
            <w:r>
              <w:rPr>
                <w:szCs w:val="22"/>
              </w:rPr>
              <w:t>600</w:t>
            </w:r>
          </w:p>
        </w:tc>
        <w:tc>
          <w:tcPr>
            <w:tcW w:w="1106"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488"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300</w:t>
            </w:r>
          </w:p>
        </w:tc>
      </w:tr>
      <w:tr>
        <w:trPr>
          <w:trHeight w:val="369" w:hRule="atLeast"/>
        </w:trPr>
        <w:tc>
          <w:tcPr>
            <w:tcW w:w="246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Nevyčerpané dov. SP, ZP</w:t>
            </w:r>
          </w:p>
        </w:tc>
        <w:tc>
          <w:tcPr>
            <w:tcW w:w="1907"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3313 </w:t>
            </w:r>
          </w:p>
        </w:tc>
        <w:tc>
          <w:tcPr>
            <w:tcW w:w="997"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xml:space="preserve">  </w:t>
            </w:r>
            <w:r>
              <w:rPr>
                <w:szCs w:val="22"/>
              </w:rPr>
              <w:t>1158 </w:t>
            </w:r>
          </w:p>
        </w:tc>
        <w:tc>
          <w:tcPr>
            <w:tcW w:w="1112"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xml:space="preserve">  </w:t>
            </w:r>
            <w:r>
              <w:rPr>
                <w:szCs w:val="22"/>
              </w:rPr>
              <w:t>3313</w:t>
            </w:r>
          </w:p>
        </w:tc>
        <w:tc>
          <w:tcPr>
            <w:tcW w:w="1106"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48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1158 </w:t>
            </w:r>
          </w:p>
        </w:tc>
      </w:tr>
      <w:tr>
        <w:trPr>
          <w:trHeight w:val="369" w:hRule="atLeast"/>
        </w:trPr>
        <w:tc>
          <w:tcPr>
            <w:tcW w:w="2461"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907"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99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112"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106"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48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69" w:hRule="atLeast"/>
        </w:trPr>
        <w:tc>
          <w:tcPr>
            <w:tcW w:w="246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9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11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10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48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69" w:hRule="atLeast"/>
        </w:trPr>
        <w:tc>
          <w:tcPr>
            <w:tcW w:w="246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b/>
                <w:b/>
                <w:szCs w:val="22"/>
              </w:rPr>
            </w:pPr>
            <w:r>
              <w:rPr>
                <w:b/>
                <w:szCs w:val="22"/>
              </w:rPr>
            </w:r>
          </w:p>
        </w:tc>
        <w:tc>
          <w:tcPr>
            <w:tcW w:w="1907"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8" w:type="dxa"/>
            </w:tcMar>
            <w:vAlign w:val="center"/>
          </w:tcPr>
          <w:p>
            <w:pPr>
              <w:pStyle w:val="Normal"/>
              <w:spacing w:lineRule="auto" w:line="240" w:before="0" w:after="0"/>
              <w:rPr>
                <w:b/>
                <w:b/>
                <w:szCs w:val="22"/>
              </w:rPr>
            </w:pPr>
            <w:r>
              <w:rPr>
                <w:b/>
                <w:szCs w:val="22"/>
              </w:rPr>
            </w:r>
          </w:p>
        </w:tc>
        <w:tc>
          <w:tcPr>
            <w:tcW w:w="997"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b/>
                <w:b/>
                <w:szCs w:val="22"/>
              </w:rPr>
            </w:pPr>
            <w:r>
              <w:rPr>
                <w:b/>
                <w:szCs w:val="22"/>
              </w:rPr>
            </w:r>
          </w:p>
        </w:tc>
        <w:tc>
          <w:tcPr>
            <w:tcW w:w="1112"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b/>
                <w:b/>
                <w:szCs w:val="22"/>
              </w:rPr>
            </w:pPr>
            <w:r>
              <w:rPr>
                <w:b/>
                <w:szCs w:val="22"/>
              </w:rPr>
            </w:r>
          </w:p>
        </w:tc>
        <w:tc>
          <w:tcPr>
            <w:tcW w:w="1106"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b/>
                <w:b/>
                <w:szCs w:val="22"/>
              </w:rPr>
            </w:pPr>
            <w:r>
              <w:rPr>
                <w:b/>
                <w:szCs w:val="22"/>
              </w:rPr>
            </w:r>
          </w:p>
        </w:tc>
        <w:tc>
          <w:tcPr>
            <w:tcW w:w="1488"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b/>
                <w:b/>
                <w:szCs w:val="22"/>
              </w:rPr>
            </w:pPr>
            <w:r>
              <w:rPr>
                <w:b/>
                <w:szCs w:val="22"/>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11"/>
        </w:numPr>
        <w:spacing w:lineRule="auto" w:line="240" w:before="0" w:after="0"/>
        <w:rPr/>
      </w:pPr>
      <w:r>
        <w:rPr>
          <w:rFonts w:ascii="Arial" w:hAnsi="Arial"/>
          <w:sz w:val="24"/>
          <w:szCs w:val="24"/>
          <w:lang w:eastAsia="sk-SK"/>
        </w:rPr>
        <w:t>Záväzky do lehoty splatnosti :      140 217 €</w:t>
        <w:br/>
        <w:t>Záväzky po lehote splatnosti :         97 417 €</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r>
    </w:p>
    <w:p>
      <w:pPr>
        <w:pStyle w:val="Normal"/>
        <w:numPr>
          <w:ilvl w:val="0"/>
          <w:numId w:val="11"/>
        </w:numPr>
        <w:spacing w:lineRule="auto" w:line="240" w:before="0" w:after="0"/>
        <w:rPr>
          <w:rFonts w:ascii="Arial" w:hAnsi="Arial"/>
          <w:sz w:val="24"/>
          <w:szCs w:val="24"/>
          <w:lang w:eastAsia="sk-SK"/>
        </w:rPr>
      </w:pPr>
      <w:r>
        <w:rPr>
          <w:rFonts w:ascii="Arial" w:hAnsi="Arial"/>
          <w:sz w:val="24"/>
          <w:szCs w:val="24"/>
          <w:lang w:eastAsia="sk-SK"/>
        </w:rPr>
        <w:t xml:space="preserve">Štruktúra záväzkov podľa zostatkovej doby splatnosti : </w:t>
      </w:r>
    </w:p>
    <w:p>
      <w:pPr>
        <w:pStyle w:val="Normal"/>
        <w:spacing w:lineRule="auto" w:line="240" w:before="0" w:after="0"/>
        <w:rPr>
          <w:rFonts w:ascii="Times New Roman" w:hAnsi="Times New Roman"/>
          <w:color w:val="000000"/>
          <w:szCs w:val="20"/>
          <w:lang w:eastAsia="sk-SK"/>
        </w:rPr>
      </w:pPr>
      <w:r>
        <w:rPr>
          <w:rFonts w:ascii="Times New Roman" w:hAnsi="Times New Roman"/>
          <w:color w:val="000000"/>
          <w:szCs w:val="20"/>
          <w:lang w:eastAsia="sk-SK"/>
        </w:rPr>
      </w:r>
    </w:p>
    <w:p>
      <w:pPr>
        <w:pStyle w:val="Normal"/>
        <w:spacing w:lineRule="auto" w:line="240" w:before="0" w:after="0"/>
        <w:rPr>
          <w:rFonts w:ascii="Times New Roman" w:hAnsi="Times New Roman"/>
          <w:color w:val="000000"/>
          <w:szCs w:val="20"/>
          <w:lang w:eastAsia="sk-SK"/>
        </w:rPr>
      </w:pPr>
      <w:r>
        <w:rPr>
          <w:rFonts w:ascii="Times New Roman" w:hAnsi="Times New Roman"/>
          <w:color w:val="000000"/>
          <w:szCs w:val="20"/>
          <w:lang w:eastAsia="sk-SK"/>
        </w:rPr>
      </w:r>
    </w:p>
    <w:p>
      <w:pPr>
        <w:pStyle w:val="Nzov"/>
        <w:numPr>
          <w:ilvl w:val="0"/>
          <w:numId w:val="19"/>
        </w:numPr>
        <w:spacing w:beforeAutospacing="0" w:before="0" w:after="0"/>
        <w:jc w:val="left"/>
        <w:rPr>
          <w:szCs w:val="22"/>
        </w:rPr>
      </w:pPr>
      <w:r>
        <w:rPr>
          <w:szCs w:val="22"/>
        </w:rPr>
        <w:t>Informácie k prílohe č. 3  časti G. písm. c) a d) o záväzkoch</w:t>
      </w:r>
    </w:p>
    <w:tbl>
      <w:tblPr>
        <w:tblW w:w="5000" w:type="pct"/>
        <w:jc w:val="center"/>
        <w:tblInd w:w="0"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top w:w="0" w:type="dxa"/>
          <w:left w:w="18" w:type="dxa"/>
          <w:bottom w:w="0" w:type="dxa"/>
          <w:right w:w="108" w:type="dxa"/>
        </w:tblCellMar>
        <w:tblLook w:val="00a0"/>
      </w:tblPr>
      <w:tblGrid>
        <w:gridCol w:w="3665"/>
        <w:gridCol w:w="2855"/>
        <w:gridCol w:w="2552"/>
      </w:tblGrid>
      <w:tr>
        <w:trPr>
          <w:trHeight w:val="920" w:hRule="atLeast"/>
        </w:trPr>
        <w:tc>
          <w:tcPr>
            <w:tcW w:w="366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Názov položky</w:t>
            </w:r>
          </w:p>
        </w:tc>
        <w:tc>
          <w:tcPr>
            <w:tcW w:w="285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Bežné účtovné obdobie</w:t>
            </w:r>
          </w:p>
        </w:tc>
        <w:tc>
          <w:tcPr>
            <w:tcW w:w="255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Bezprostredne predchádzajúce účtovné obdobie</w:t>
            </w:r>
          </w:p>
        </w:tc>
      </w:tr>
      <w:tr>
        <w:trPr>
          <w:trHeight w:val="397" w:hRule="atLeast"/>
        </w:trPr>
        <w:tc>
          <w:tcPr>
            <w:tcW w:w="366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b/>
                <w:bCs/>
                <w:szCs w:val="22"/>
              </w:rPr>
              <w:t>Dlhodobé záväzky spolu</w:t>
            </w:r>
          </w:p>
        </w:tc>
        <w:tc>
          <w:tcPr>
            <w:tcW w:w="2855" w:type="dxa"/>
            <w:tcBorders>
              <w:top w:val="single" w:sz="12" w:space="0" w:color="00000A"/>
              <w:left w:val="single" w:sz="12" w:space="0" w:color="00000A"/>
              <w:bottom w:val="single" w:sz="12" w:space="0" w:color="00000A"/>
              <w:right w:val="single" w:sz="8" w:space="0" w:color="00000A"/>
              <w:insideH w:val="single" w:sz="12" w:space="0" w:color="00000A"/>
              <w:insideV w:val="single" w:sz="8" w:space="0" w:color="00000A"/>
            </w:tcBorders>
            <w:shd w:fill="auto" w:val="clear"/>
            <w:tcMar>
              <w:left w:w="18" w:type="dxa"/>
            </w:tcMar>
            <w:vAlign w:val="center"/>
          </w:tcPr>
          <w:p>
            <w:pPr>
              <w:pStyle w:val="Normal"/>
              <w:spacing w:lineRule="auto" w:line="240" w:before="0" w:after="0"/>
              <w:rPr>
                <w:b/>
                <w:b/>
                <w:bCs/>
                <w:szCs w:val="22"/>
              </w:rPr>
            </w:pPr>
            <w:r>
              <w:rPr>
                <w:b/>
                <w:bCs/>
                <w:szCs w:val="22"/>
              </w:rPr>
              <w:t xml:space="preserve">      </w:t>
            </w:r>
            <w:r>
              <w:rPr>
                <w:b/>
                <w:bCs/>
                <w:szCs w:val="22"/>
              </w:rPr>
              <w:t>7067</w:t>
            </w:r>
          </w:p>
        </w:tc>
        <w:tc>
          <w:tcPr>
            <w:tcW w:w="255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b/>
                <w:b/>
                <w:bCs/>
                <w:szCs w:val="22"/>
              </w:rPr>
            </w:pPr>
            <w:r>
              <w:rPr>
                <w:b/>
                <w:bCs/>
                <w:szCs w:val="22"/>
              </w:rPr>
              <w:t xml:space="preserve">     </w:t>
            </w:r>
            <w:r>
              <w:rPr>
                <w:b/>
                <w:bCs/>
                <w:szCs w:val="22"/>
              </w:rPr>
              <w:t>9306</w:t>
            </w:r>
          </w:p>
        </w:tc>
      </w:tr>
      <w:tr>
        <w:trPr>
          <w:trHeight w:val="567" w:hRule="atLeast"/>
        </w:trPr>
        <w:tc>
          <w:tcPr>
            <w:tcW w:w="3665" w:type="dxa"/>
            <w:tcBorders>
              <w:top w:val="single" w:sz="12" w:space="0" w:color="00000A"/>
              <w:left w:val="single" w:sz="12" w:space="0" w:color="00000A"/>
              <w:bottom w:val="single" w:sz="8" w:space="0" w:color="00000A"/>
              <w:right w:val="single" w:sz="12" w:space="0" w:color="00000A"/>
              <w:insideH w:val="single" w:sz="8"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Záväzky so zostatkovou dobou splatnosti nad päť rokov</w:t>
            </w:r>
          </w:p>
        </w:tc>
        <w:tc>
          <w:tcPr>
            <w:tcW w:w="2855" w:type="dxa"/>
            <w:tcBorders>
              <w:top w:val="single" w:sz="12" w:space="0" w:color="00000A"/>
              <w:left w:val="single" w:sz="12" w:space="0" w:color="00000A"/>
              <w:bottom w:val="single" w:sz="8" w:space="0" w:color="00000A"/>
              <w:right w:val="single" w:sz="8" w:space="0" w:color="00000A"/>
              <w:insideH w:val="single" w:sz="8"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552" w:type="dxa"/>
            <w:tcBorders>
              <w:top w:val="single" w:sz="12" w:space="0" w:color="00000A"/>
              <w:left w:val="single" w:sz="12" w:space="0" w:color="00000A"/>
              <w:bottom w:val="single" w:sz="8" w:space="0" w:color="00000A"/>
              <w:right w:val="single" w:sz="12" w:space="0" w:color="00000A"/>
              <w:insideH w:val="single" w:sz="8"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567" w:hRule="atLeast"/>
        </w:trPr>
        <w:tc>
          <w:tcPr>
            <w:tcW w:w="3665" w:type="dxa"/>
            <w:tcBorders>
              <w:top w:val="single" w:sz="8"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Záväzky so zostatkovou dobou splatnosti jeden rok až päť rokov</w:t>
            </w:r>
          </w:p>
        </w:tc>
        <w:tc>
          <w:tcPr>
            <w:tcW w:w="2855" w:type="dxa"/>
            <w:tcBorders>
              <w:top w:val="single" w:sz="8" w:space="0" w:color="00000A"/>
              <w:left w:val="single" w:sz="12" w:space="0" w:color="00000A"/>
              <w:bottom w:val="single" w:sz="12" w:space="0" w:color="00000A"/>
              <w:right w:val="single" w:sz="8" w:space="0" w:color="00000A"/>
              <w:insideH w:val="single" w:sz="12"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7067</w:t>
            </w:r>
          </w:p>
        </w:tc>
        <w:tc>
          <w:tcPr>
            <w:tcW w:w="2552" w:type="dxa"/>
            <w:tcBorders>
              <w:top w:val="single" w:sz="8"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9306</w:t>
            </w:r>
          </w:p>
        </w:tc>
      </w:tr>
      <w:tr>
        <w:trPr>
          <w:trHeight w:val="397" w:hRule="atLeast"/>
        </w:trPr>
        <w:tc>
          <w:tcPr>
            <w:tcW w:w="366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t>Krátkodobé záväzky spolu</w:t>
            </w:r>
          </w:p>
        </w:tc>
        <w:tc>
          <w:tcPr>
            <w:tcW w:w="2855" w:type="dxa"/>
            <w:tcBorders>
              <w:top w:val="single" w:sz="12" w:space="0" w:color="00000A"/>
              <w:left w:val="single" w:sz="12" w:space="0" w:color="00000A"/>
              <w:bottom w:val="single" w:sz="12" w:space="0" w:color="00000A"/>
              <w:right w:val="single" w:sz="8" w:space="0" w:color="00000A"/>
              <w:insideH w:val="single" w:sz="12" w:space="0" w:color="00000A"/>
              <w:insideV w:val="single" w:sz="8" w:space="0" w:color="00000A"/>
            </w:tcBorders>
            <w:shd w:fill="auto" w:val="clear"/>
            <w:tcMar>
              <w:left w:w="18" w:type="dxa"/>
            </w:tcMar>
            <w:vAlign w:val="center"/>
          </w:tcPr>
          <w:p>
            <w:pPr>
              <w:pStyle w:val="Normal"/>
              <w:spacing w:lineRule="auto" w:line="240" w:before="0" w:after="0"/>
              <w:rPr/>
            </w:pPr>
            <w:r>
              <w:rPr>
                <w:szCs w:val="22"/>
              </w:rPr>
              <w:t xml:space="preserve">   </w:t>
            </w:r>
            <w:r>
              <w:rPr>
                <w:szCs w:val="22"/>
              </w:rPr>
              <w:t xml:space="preserve">237634    </w:t>
            </w:r>
          </w:p>
        </w:tc>
        <w:tc>
          <w:tcPr>
            <w:tcW w:w="255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160512</w:t>
            </w:r>
          </w:p>
        </w:tc>
      </w:tr>
      <w:tr>
        <w:trPr>
          <w:trHeight w:val="567" w:hRule="atLeast"/>
        </w:trPr>
        <w:tc>
          <w:tcPr>
            <w:tcW w:w="3665" w:type="dxa"/>
            <w:tcBorders>
              <w:top w:val="single" w:sz="12" w:space="0" w:color="00000A"/>
              <w:left w:val="single" w:sz="12" w:space="0" w:color="00000A"/>
              <w:bottom w:val="single" w:sz="8" w:space="0" w:color="00000A"/>
              <w:right w:val="single" w:sz="12" w:space="0" w:color="00000A"/>
              <w:insideH w:val="single" w:sz="8"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Záväzky so zostatkovou dobou splatnosti do jedného roka vrátane</w:t>
            </w:r>
          </w:p>
        </w:tc>
        <w:tc>
          <w:tcPr>
            <w:tcW w:w="2855" w:type="dxa"/>
            <w:tcBorders>
              <w:top w:val="single" w:sz="12" w:space="0" w:color="00000A"/>
              <w:left w:val="single" w:sz="12" w:space="0" w:color="00000A"/>
              <w:bottom w:val="single" w:sz="8" w:space="0" w:color="00000A"/>
              <w:right w:val="single" w:sz="8" w:space="0" w:color="00000A"/>
              <w:insideH w:val="single" w:sz="8" w:space="0" w:color="00000A"/>
              <w:insideV w:val="single" w:sz="8" w:space="0" w:color="00000A"/>
            </w:tcBorders>
            <w:shd w:fill="auto" w:val="clear"/>
            <w:tcMar>
              <w:left w:w="18" w:type="dxa"/>
            </w:tcMar>
            <w:vAlign w:val="center"/>
          </w:tcPr>
          <w:p>
            <w:pPr>
              <w:pStyle w:val="Normal"/>
              <w:spacing w:lineRule="auto" w:line="240" w:before="0" w:after="0"/>
              <w:rPr>
                <w:b/>
                <w:b/>
                <w:bCs/>
                <w:szCs w:val="22"/>
              </w:rPr>
            </w:pPr>
            <w:r>
              <w:rPr>
                <w:b/>
                <w:bCs/>
                <w:szCs w:val="22"/>
              </w:rPr>
              <w:t xml:space="preserve">    </w:t>
            </w:r>
            <w:r>
              <w:rPr>
                <w:b/>
                <w:bCs/>
                <w:szCs w:val="22"/>
              </w:rPr>
              <w:t xml:space="preserve">140217   </w:t>
            </w:r>
          </w:p>
        </w:tc>
        <w:tc>
          <w:tcPr>
            <w:tcW w:w="2552" w:type="dxa"/>
            <w:tcBorders>
              <w:top w:val="single" w:sz="12" w:space="0" w:color="00000A"/>
              <w:left w:val="single" w:sz="12" w:space="0" w:color="00000A"/>
              <w:bottom w:val="single" w:sz="8" w:space="0" w:color="00000A"/>
              <w:right w:val="single" w:sz="12" w:space="0" w:color="00000A"/>
              <w:insideH w:val="single" w:sz="8" w:space="0" w:color="00000A"/>
              <w:insideV w:val="single" w:sz="12" w:space="0" w:color="00000A"/>
            </w:tcBorders>
            <w:shd w:fill="auto" w:val="clear"/>
            <w:vAlign w:val="center"/>
          </w:tcPr>
          <w:p>
            <w:pPr>
              <w:pStyle w:val="Normal"/>
              <w:spacing w:lineRule="auto" w:line="240" w:before="0" w:after="0"/>
              <w:rPr>
                <w:b/>
                <w:b/>
                <w:bCs/>
                <w:szCs w:val="22"/>
              </w:rPr>
            </w:pPr>
            <w:r>
              <w:rPr>
                <w:b/>
                <w:bCs/>
                <w:szCs w:val="22"/>
              </w:rPr>
              <w:t xml:space="preserve">      </w:t>
            </w:r>
            <w:r>
              <w:rPr>
                <w:b/>
                <w:bCs/>
                <w:szCs w:val="22"/>
              </w:rPr>
              <w:t>34238</w:t>
            </w:r>
          </w:p>
        </w:tc>
      </w:tr>
      <w:tr>
        <w:trPr>
          <w:trHeight w:val="397" w:hRule="atLeast"/>
        </w:trPr>
        <w:tc>
          <w:tcPr>
            <w:tcW w:w="3665" w:type="dxa"/>
            <w:tcBorders>
              <w:top w:val="single" w:sz="8"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Záväzky po lehote splatnosti</w:t>
            </w:r>
          </w:p>
        </w:tc>
        <w:tc>
          <w:tcPr>
            <w:tcW w:w="2855" w:type="dxa"/>
            <w:tcBorders>
              <w:top w:val="single" w:sz="8" w:space="0" w:color="00000A"/>
              <w:left w:val="single" w:sz="12" w:space="0" w:color="00000A"/>
              <w:bottom w:val="single" w:sz="12" w:space="0" w:color="00000A"/>
              <w:right w:val="single" w:sz="8" w:space="0" w:color="00000A"/>
              <w:insideH w:val="single" w:sz="12" w:space="0" w:color="00000A"/>
              <w:insideV w:val="single" w:sz="8" w:space="0" w:color="00000A"/>
            </w:tcBorders>
            <w:shd w:fill="auto" w:val="clear"/>
            <w:tcMar>
              <w:left w:w="18" w:type="dxa"/>
            </w:tcMar>
            <w:vAlign w:val="center"/>
          </w:tcPr>
          <w:p>
            <w:pPr>
              <w:pStyle w:val="Normal"/>
              <w:spacing w:lineRule="auto" w:line="240" w:before="0" w:after="0"/>
              <w:rPr/>
            </w:pPr>
            <w:r>
              <w:rPr>
                <w:b/>
                <w:bCs/>
                <w:szCs w:val="22"/>
              </w:rPr>
              <w:t xml:space="preserve">      </w:t>
            </w:r>
            <w:r>
              <w:rPr>
                <w:b/>
                <w:bCs/>
                <w:szCs w:val="22"/>
              </w:rPr>
              <w:t>97417</w:t>
            </w:r>
          </w:p>
        </w:tc>
        <w:tc>
          <w:tcPr>
            <w:tcW w:w="2552" w:type="dxa"/>
            <w:tcBorders>
              <w:top w:val="single" w:sz="8"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b/>
                <w:b/>
                <w:bCs/>
                <w:szCs w:val="22"/>
              </w:rPr>
            </w:pPr>
            <w:r>
              <w:rPr>
                <w:b/>
                <w:bCs/>
                <w:szCs w:val="22"/>
              </w:rPr>
              <w:t xml:space="preserve">      </w:t>
            </w:r>
            <w:r>
              <w:rPr>
                <w:b/>
                <w:bCs/>
                <w:szCs w:val="22"/>
              </w:rPr>
              <w:t>126274</w:t>
            </w:r>
          </w:p>
        </w:tc>
      </w:tr>
    </w:tbl>
    <w:p>
      <w:pPr>
        <w:pStyle w:val="Nzov"/>
        <w:keepNext/>
        <w:widowControl w:val="false"/>
        <w:spacing w:beforeAutospacing="0" w:before="0" w:after="0"/>
        <w:jc w:val="both"/>
        <w:rPr>
          <w:szCs w:val="22"/>
        </w:rPr>
      </w:pPr>
      <w:r>
        <w:rPr>
          <w:szCs w:val="22"/>
        </w:rPr>
      </w:r>
    </w:p>
    <w:p>
      <w:pPr>
        <w:pStyle w:val="Normal"/>
        <w:spacing w:lineRule="auto" w:line="240" w:before="0" w:after="0"/>
        <w:rPr>
          <w:rFonts w:ascii="Times New Roman" w:hAnsi="Times New Roman"/>
          <w:color w:val="000000"/>
          <w:szCs w:val="20"/>
          <w:lang w:eastAsia="sk-SK"/>
        </w:rPr>
      </w:pPr>
      <w:r>
        <w:rPr>
          <w:rFonts w:ascii="Times New Roman" w:hAnsi="Times New Roman"/>
          <w:color w:val="000000"/>
          <w:szCs w:val="20"/>
          <w:lang w:eastAsia="sk-SK"/>
        </w:rPr>
      </w:r>
    </w:p>
    <w:p>
      <w:pPr>
        <w:pStyle w:val="Normal"/>
        <w:numPr>
          <w:ilvl w:val="0"/>
          <w:numId w:val="11"/>
        </w:numPr>
        <w:spacing w:lineRule="auto" w:line="240" w:before="0" w:after="0"/>
        <w:rPr>
          <w:rFonts w:ascii="Arial" w:hAnsi="Arial"/>
          <w:sz w:val="24"/>
          <w:szCs w:val="24"/>
          <w:lang w:eastAsia="sk-SK"/>
        </w:rPr>
      </w:pPr>
      <w:r>
        <w:rPr>
          <w:rFonts w:ascii="Arial" w:hAnsi="Arial"/>
          <w:sz w:val="24"/>
          <w:szCs w:val="24"/>
          <w:lang w:eastAsia="sk-SK"/>
        </w:rPr>
        <w:t xml:space="preserve">Hodnota záväzku zabezpečená záložným právo alebo zabezpečená inou formou zabezpečenia </w:t>
      </w:r>
    </w:p>
    <w:p>
      <w:pPr>
        <w:pStyle w:val="Normal"/>
        <w:spacing w:lineRule="auto" w:line="240" w:before="0" w:after="0"/>
        <w:rPr>
          <w:rFonts w:ascii="Arial" w:hAnsi="Arial"/>
          <w:sz w:val="24"/>
          <w:szCs w:val="24"/>
          <w:lang w:eastAsia="sk-SK"/>
        </w:rPr>
      </w:pPr>
      <w:r>
        <w:rPr>
          <w:rFonts w:ascii="Arial" w:hAnsi="Arial"/>
          <w:sz w:val="24"/>
          <w:szCs w:val="24"/>
          <w:lang w:eastAsia="sk-SK"/>
        </w:rPr>
      </w:r>
    </w:p>
    <w:tbl>
      <w:tblPr>
        <w:tblW w:w="9035" w:type="dxa"/>
        <w:jc w:val="center"/>
        <w:tblInd w:w="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top w:w="0" w:type="dxa"/>
          <w:left w:w="-5" w:type="dxa"/>
          <w:bottom w:w="0" w:type="dxa"/>
          <w:right w:w="42" w:type="dxa"/>
        </w:tblCellMar>
        <w:tblLook w:val="0000"/>
      </w:tblPr>
      <w:tblGrid>
        <w:gridCol w:w="2174"/>
        <w:gridCol w:w="2160"/>
        <w:gridCol w:w="2491"/>
        <w:gridCol w:w="2209"/>
      </w:tblGrid>
      <w:tr>
        <w:trPr>
          <w:cantSplit w:val="true"/>
        </w:trPr>
        <w:tc>
          <w:tcPr>
            <w:tcW w:w="21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t>Hodnota záväzku</w:t>
            </w:r>
          </w:p>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t>zabezpečená záložným právom</w:t>
            </w:r>
          </w:p>
        </w:tc>
        <w:tc>
          <w:tcPr>
            <w:tcW w:w="21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r>
          </w:p>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t>Popis záväzku</w:t>
            </w:r>
          </w:p>
        </w:tc>
        <w:tc>
          <w:tcPr>
            <w:tcW w:w="249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t>Názov predmetu záložného práva</w:t>
            </w:r>
          </w:p>
        </w:tc>
        <w:tc>
          <w:tcPr>
            <w:tcW w:w="22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r>
          </w:p>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t>Hodnota predmetu</w:t>
            </w:r>
          </w:p>
        </w:tc>
      </w:tr>
      <w:tr>
        <w:trPr>
          <w:cantSplit w:val="true"/>
        </w:trPr>
        <w:tc>
          <w:tcPr>
            <w:tcW w:w="21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1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49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2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1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1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49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2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1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1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49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2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1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1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49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2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1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1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49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2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1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1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49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2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1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1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49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2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tbl>
      <w:tblPr>
        <w:tblW w:w="8744" w:type="dxa"/>
        <w:jc w:val="center"/>
        <w:tblInd w:w="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top w:w="0" w:type="dxa"/>
          <w:left w:w="-5" w:type="dxa"/>
          <w:bottom w:w="0" w:type="dxa"/>
          <w:right w:w="42" w:type="dxa"/>
        </w:tblCellMar>
        <w:tblLook w:val="0000"/>
      </w:tblPr>
      <w:tblGrid>
        <w:gridCol w:w="2896"/>
        <w:gridCol w:w="3770"/>
        <w:gridCol w:w="2078"/>
      </w:tblGrid>
      <w:tr>
        <w:trPr>
          <w:cantSplit w:val="true"/>
        </w:trPr>
        <w:tc>
          <w:tcPr>
            <w:tcW w:w="289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t>Hodnota inak zabezpečeného záväzku</w:t>
            </w:r>
          </w:p>
        </w:tc>
        <w:tc>
          <w:tcPr>
            <w:tcW w:w="377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t>Popis záväzku</w:t>
            </w:r>
          </w:p>
        </w:tc>
        <w:tc>
          <w:tcPr>
            <w:tcW w:w="207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t>Forma zabezpečenia</w:t>
            </w:r>
          </w:p>
        </w:tc>
      </w:tr>
      <w:tr>
        <w:trPr>
          <w:cantSplit w:val="true"/>
        </w:trPr>
        <w:tc>
          <w:tcPr>
            <w:tcW w:w="289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377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07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89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377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07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89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377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07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89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377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07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89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377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07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89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377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07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89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377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07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5"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11"/>
        </w:numPr>
        <w:spacing w:lineRule="auto" w:line="240" w:before="0" w:after="0"/>
        <w:rPr>
          <w:rFonts w:ascii="Arial" w:hAnsi="Arial"/>
          <w:sz w:val="24"/>
          <w:szCs w:val="24"/>
          <w:lang w:eastAsia="sk-SK"/>
        </w:rPr>
      </w:pPr>
      <w:r>
        <w:rPr>
          <w:rFonts w:ascii="Arial" w:hAnsi="Arial"/>
          <w:sz w:val="24"/>
          <w:szCs w:val="24"/>
          <w:lang w:eastAsia="sk-SK"/>
        </w:rPr>
        <w:t xml:space="preserve">Informácie o spôsobe vzniku odloženého daňového záväzku : </w:t>
      </w:r>
    </w:p>
    <w:p>
      <w:pPr>
        <w:pStyle w:val="Nzov"/>
        <w:keepNext/>
        <w:widowControl w:val="false"/>
        <w:numPr>
          <w:ilvl w:val="0"/>
          <w:numId w:val="19"/>
        </w:numPr>
        <w:spacing w:beforeAutospacing="0" w:before="0" w:after="0"/>
        <w:ind w:left="426" w:hanging="284"/>
        <w:jc w:val="both"/>
        <w:rPr>
          <w:szCs w:val="22"/>
        </w:rPr>
      </w:pPr>
      <w:r>
        <w:rPr>
          <w:szCs w:val="22"/>
        </w:rPr>
        <w:t>Informácie k prílohe č. 3 časti F. písm. v) a časti G. písm. f) o odloženej daňovej pohľadávke alebo o odloženom daňovom záväzku</w:t>
      </w:r>
    </w:p>
    <w:tbl>
      <w:tblPr>
        <w:tblW w:w="5000" w:type="pct"/>
        <w:jc w:val="left"/>
        <w:tblInd w:w="-75"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top w:w="0" w:type="dxa"/>
          <w:left w:w="18" w:type="dxa"/>
          <w:bottom w:w="0" w:type="dxa"/>
          <w:right w:w="108" w:type="dxa"/>
        </w:tblCellMar>
        <w:tblLook w:val="00a0"/>
      </w:tblPr>
      <w:tblGrid>
        <w:gridCol w:w="4868"/>
        <w:gridCol w:w="2159"/>
        <w:gridCol w:w="2045"/>
      </w:tblGrid>
      <w:tr>
        <w:trPr>
          <w:trHeight w:val="990" w:hRule="atLeast"/>
        </w:trPr>
        <w:tc>
          <w:tcPr>
            <w:tcW w:w="486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Názov položky</w:t>
            </w:r>
          </w:p>
        </w:tc>
        <w:tc>
          <w:tcPr>
            <w:tcW w:w="215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Bežné účtovné obdobie</w:t>
            </w:r>
          </w:p>
        </w:tc>
        <w:tc>
          <w:tcPr>
            <w:tcW w:w="204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Bezprostredne predchádzajúce účtovné obdobie</w:t>
            </w:r>
          </w:p>
        </w:tc>
      </w:tr>
      <w:tr>
        <w:trPr>
          <w:trHeight w:val="624" w:hRule="atLeast"/>
        </w:trPr>
        <w:tc>
          <w:tcPr>
            <w:tcW w:w="4868"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t>Dočasné rozdiely medzi účtovnou hodnotou majetku a daňovou základňou, z toho:</w:t>
            </w:r>
          </w:p>
        </w:tc>
        <w:tc>
          <w:tcPr>
            <w:tcW w:w="2159" w:type="dxa"/>
            <w:tcBorders>
              <w:top w:val="single" w:sz="12"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045"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40" w:hRule="atLeast"/>
        </w:trPr>
        <w:tc>
          <w:tcPr>
            <w:tcW w:w="486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Odpočítateľné</w:t>
            </w:r>
          </w:p>
        </w:tc>
        <w:tc>
          <w:tcPr>
            <w:tcW w:w="2159" w:type="dxa"/>
            <w:tcBorders>
              <w:top w:val="single" w:sz="6" w:space="0" w:color="00000A"/>
              <w:left w:val="single" w:sz="12" w:space="0" w:color="00000A"/>
              <w:bottom w:val="single" w:sz="6" w:space="0" w:color="00000A"/>
              <w:right w:val="single" w:sz="8" w:space="0" w:color="00000A"/>
              <w:insideH w:val="single" w:sz="6"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045"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40" w:hRule="atLeast"/>
        </w:trPr>
        <w:tc>
          <w:tcPr>
            <w:tcW w:w="486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Zdaniteľné</w:t>
            </w:r>
          </w:p>
        </w:tc>
        <w:tc>
          <w:tcPr>
            <w:tcW w:w="2159" w:type="dxa"/>
            <w:tcBorders>
              <w:top w:val="single" w:sz="6" w:space="0" w:color="00000A"/>
              <w:left w:val="single" w:sz="12" w:space="0" w:color="00000A"/>
              <w:bottom w:val="single" w:sz="6" w:space="0" w:color="00000A"/>
              <w:right w:val="single" w:sz="8" w:space="0" w:color="00000A"/>
              <w:insideH w:val="single" w:sz="6"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045"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630" w:hRule="atLeast"/>
        </w:trPr>
        <w:tc>
          <w:tcPr>
            <w:tcW w:w="486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t>Dočasné rozdiely medzi účtovnou hodnotou záväzkov a daňovou základňou, z toho:</w:t>
            </w:r>
          </w:p>
        </w:tc>
        <w:tc>
          <w:tcPr>
            <w:tcW w:w="2159" w:type="dxa"/>
            <w:tcBorders>
              <w:top w:val="single" w:sz="6"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045"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40" w:hRule="atLeast"/>
        </w:trPr>
        <w:tc>
          <w:tcPr>
            <w:tcW w:w="486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Odpočítateľné</w:t>
            </w:r>
          </w:p>
        </w:tc>
        <w:tc>
          <w:tcPr>
            <w:tcW w:w="2159" w:type="dxa"/>
            <w:tcBorders>
              <w:top w:val="single" w:sz="6" w:space="0" w:color="00000A"/>
              <w:left w:val="single" w:sz="12" w:space="0" w:color="00000A"/>
              <w:bottom w:val="single" w:sz="6" w:space="0" w:color="00000A"/>
              <w:right w:val="single" w:sz="8" w:space="0" w:color="00000A"/>
              <w:insideH w:val="single" w:sz="6"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045"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40" w:hRule="atLeast"/>
        </w:trPr>
        <w:tc>
          <w:tcPr>
            <w:tcW w:w="486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Zdaniteľné</w:t>
            </w:r>
          </w:p>
        </w:tc>
        <w:tc>
          <w:tcPr>
            <w:tcW w:w="2159" w:type="dxa"/>
            <w:tcBorders>
              <w:top w:val="single" w:sz="6" w:space="0" w:color="00000A"/>
              <w:left w:val="single" w:sz="12" w:space="0" w:color="00000A"/>
              <w:bottom w:val="single" w:sz="6" w:space="0" w:color="00000A"/>
              <w:right w:val="single" w:sz="8" w:space="0" w:color="00000A"/>
              <w:insideH w:val="single" w:sz="6"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045"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30" w:hRule="atLeast"/>
        </w:trPr>
        <w:tc>
          <w:tcPr>
            <w:tcW w:w="486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t>Možnosť umorovať daňovú stratu v budúcnosti</w:t>
            </w:r>
          </w:p>
        </w:tc>
        <w:tc>
          <w:tcPr>
            <w:tcW w:w="2159" w:type="dxa"/>
            <w:tcBorders>
              <w:top w:val="single" w:sz="6"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045"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97" w:hRule="atLeast"/>
        </w:trPr>
        <w:tc>
          <w:tcPr>
            <w:tcW w:w="48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t>Možnosť previesť nevyužité daňové odpočty</w:t>
            </w:r>
          </w:p>
        </w:tc>
        <w:tc>
          <w:tcPr>
            <w:tcW w:w="2159" w:type="dxa"/>
            <w:tcBorders>
              <w:top w:val="single" w:sz="4"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04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40" w:hRule="atLeast"/>
        </w:trPr>
        <w:tc>
          <w:tcPr>
            <w:tcW w:w="48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t>Sadzba dane z príjmov ( v %)</w:t>
            </w:r>
          </w:p>
        </w:tc>
        <w:tc>
          <w:tcPr>
            <w:tcW w:w="2159" w:type="dxa"/>
            <w:tcBorders>
              <w:top w:val="single" w:sz="4"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04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40" w:hRule="atLeast"/>
        </w:trPr>
        <w:tc>
          <w:tcPr>
            <w:tcW w:w="48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t>Odložená daňová pohľadávka</w:t>
            </w:r>
          </w:p>
        </w:tc>
        <w:tc>
          <w:tcPr>
            <w:tcW w:w="2159" w:type="dxa"/>
            <w:tcBorders>
              <w:top w:val="single" w:sz="4"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r>
          </w:p>
        </w:tc>
        <w:tc>
          <w:tcPr>
            <w:tcW w:w="204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40" w:hRule="atLeast"/>
        </w:trPr>
        <w:tc>
          <w:tcPr>
            <w:tcW w:w="48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t>Uplatnená daňová pohľadávka</w:t>
            </w:r>
          </w:p>
        </w:tc>
        <w:tc>
          <w:tcPr>
            <w:tcW w:w="2159" w:type="dxa"/>
            <w:tcBorders>
              <w:top w:val="single" w:sz="4" w:space="0" w:color="00000A"/>
              <w:left w:val="single" w:sz="12" w:space="0" w:color="00000A"/>
              <w:bottom w:val="single" w:sz="4" w:space="0" w:color="00000A"/>
              <w:right w:val="single" w:sz="6" w:space="0" w:color="00000A"/>
              <w:insideH w:val="single" w:sz="4" w:space="0" w:color="00000A"/>
              <w:insideV w:val="single" w:sz="6" w:space="0" w:color="00000A"/>
            </w:tcBorders>
            <w:shd w:fill="auto" w:val="clear"/>
            <w:tcMar>
              <w:left w:w="18" w:type="dxa"/>
            </w:tcMar>
            <w:vAlign w:val="center"/>
          </w:tcPr>
          <w:p>
            <w:pPr>
              <w:pStyle w:val="Normal"/>
              <w:spacing w:lineRule="auto" w:line="240" w:before="0" w:after="0"/>
              <w:rPr>
                <w:szCs w:val="22"/>
              </w:rPr>
            </w:pPr>
            <w:r>
              <w:rPr>
                <w:szCs w:val="22"/>
              </w:rPr>
            </w:r>
          </w:p>
        </w:tc>
        <w:tc>
          <w:tcPr>
            <w:tcW w:w="2045" w:type="dxa"/>
            <w:tcBorders>
              <w:top w:val="single" w:sz="4" w:space="0" w:color="00000A"/>
              <w:left w:val="single" w:sz="6" w:space="0" w:color="00000A"/>
              <w:bottom w:val="single" w:sz="4" w:space="0" w:color="00000A"/>
              <w:right w:val="single" w:sz="12" w:space="0" w:color="00000A"/>
              <w:insideH w:val="single" w:sz="4" w:space="0" w:color="00000A"/>
              <w:insideV w:val="single" w:sz="12" w:space="0" w:color="00000A"/>
            </w:tcBorders>
            <w:shd w:fill="auto" w:val="clear"/>
            <w:tcMar>
              <w:left w:w="60" w:type="dxa"/>
            </w:tcMar>
            <w:vAlign w:val="center"/>
          </w:tcPr>
          <w:p>
            <w:pPr>
              <w:pStyle w:val="Normal"/>
              <w:spacing w:lineRule="auto" w:line="240" w:before="0" w:after="0"/>
              <w:rPr>
                <w:szCs w:val="22"/>
              </w:rPr>
            </w:pPr>
            <w:r>
              <w:rPr>
                <w:szCs w:val="22"/>
              </w:rPr>
            </w:r>
          </w:p>
        </w:tc>
      </w:tr>
      <w:tr>
        <w:trPr>
          <w:trHeight w:val="340" w:hRule="atLeast"/>
        </w:trPr>
        <w:tc>
          <w:tcPr>
            <w:tcW w:w="48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bCs/>
                <w:szCs w:val="22"/>
              </w:rPr>
            </w:pPr>
            <w:r>
              <w:rPr>
                <w:bCs/>
                <w:szCs w:val="22"/>
              </w:rPr>
              <w:t>Zaúčtovaná ako náklad</w:t>
            </w:r>
          </w:p>
        </w:tc>
        <w:tc>
          <w:tcPr>
            <w:tcW w:w="2159" w:type="dxa"/>
            <w:tcBorders>
              <w:top w:val="single" w:sz="4"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8" w:type="dxa"/>
            </w:tcMar>
            <w:vAlign w:val="center"/>
          </w:tcPr>
          <w:p>
            <w:pPr>
              <w:pStyle w:val="Normal"/>
              <w:spacing w:lineRule="auto" w:line="240" w:before="0" w:after="0"/>
              <w:rPr>
                <w:szCs w:val="22"/>
              </w:rPr>
            </w:pPr>
            <w:r>
              <w:rPr>
                <w:szCs w:val="22"/>
              </w:rPr>
            </w:r>
          </w:p>
        </w:tc>
        <w:tc>
          <w:tcPr>
            <w:tcW w:w="2045" w:type="dxa"/>
            <w:tcBorders>
              <w:top w:val="single" w:sz="4"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60" w:type="dxa"/>
            </w:tcMar>
            <w:vAlign w:val="center"/>
          </w:tcPr>
          <w:p>
            <w:pPr>
              <w:pStyle w:val="Normal"/>
              <w:spacing w:lineRule="auto" w:line="240" w:before="0" w:after="0"/>
              <w:rPr>
                <w:szCs w:val="22"/>
              </w:rPr>
            </w:pPr>
            <w:r>
              <w:rPr>
                <w:szCs w:val="22"/>
              </w:rPr>
            </w:r>
          </w:p>
        </w:tc>
      </w:tr>
      <w:tr>
        <w:trPr>
          <w:trHeight w:val="340" w:hRule="atLeast"/>
        </w:trPr>
        <w:tc>
          <w:tcPr>
            <w:tcW w:w="48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bCs/>
                <w:szCs w:val="22"/>
              </w:rPr>
            </w:pPr>
            <w:r>
              <w:rPr>
                <w:bCs/>
                <w:szCs w:val="22"/>
              </w:rPr>
              <w:t>Zaúčtovaná do vlastného imania</w:t>
            </w:r>
          </w:p>
        </w:tc>
        <w:tc>
          <w:tcPr>
            <w:tcW w:w="2159"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8" w:type="dxa"/>
            </w:tcMar>
            <w:vAlign w:val="center"/>
          </w:tcPr>
          <w:p>
            <w:pPr>
              <w:pStyle w:val="Normal"/>
              <w:spacing w:lineRule="auto" w:line="240" w:before="0" w:after="0"/>
              <w:rPr>
                <w:szCs w:val="22"/>
              </w:rPr>
            </w:pPr>
            <w:r>
              <w:rPr>
                <w:szCs w:val="22"/>
              </w:rPr>
            </w:r>
          </w:p>
        </w:tc>
        <w:tc>
          <w:tcPr>
            <w:tcW w:w="2045"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60" w:type="dxa"/>
            </w:tcMar>
            <w:vAlign w:val="center"/>
          </w:tcPr>
          <w:p>
            <w:pPr>
              <w:pStyle w:val="Normal"/>
              <w:spacing w:lineRule="auto" w:line="240" w:before="0" w:after="0"/>
              <w:rPr>
                <w:szCs w:val="22"/>
              </w:rPr>
            </w:pPr>
            <w:r>
              <w:rPr>
                <w:szCs w:val="22"/>
              </w:rPr>
            </w:r>
          </w:p>
        </w:tc>
      </w:tr>
      <w:tr>
        <w:trPr>
          <w:trHeight w:val="340" w:hRule="atLeast"/>
        </w:trPr>
        <w:tc>
          <w:tcPr>
            <w:tcW w:w="48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t>Odložený daňový záväzok</w:t>
            </w:r>
          </w:p>
        </w:tc>
        <w:tc>
          <w:tcPr>
            <w:tcW w:w="2159" w:type="dxa"/>
            <w:tcBorders>
              <w:top w:val="single" w:sz="6" w:space="0" w:color="00000A"/>
              <w:left w:val="single" w:sz="12" w:space="0" w:color="00000A"/>
              <w:bottom w:val="single" w:sz="4" w:space="0" w:color="00000A"/>
              <w:right w:val="single" w:sz="6" w:space="0" w:color="00000A"/>
              <w:insideH w:val="single" w:sz="4" w:space="0" w:color="00000A"/>
              <w:insideV w:val="single" w:sz="6"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045" w:type="dxa"/>
            <w:tcBorders>
              <w:top w:val="single" w:sz="6" w:space="0" w:color="00000A"/>
              <w:left w:val="single" w:sz="6" w:space="0" w:color="00000A"/>
              <w:bottom w:val="single" w:sz="4" w:space="0" w:color="00000A"/>
              <w:right w:val="single" w:sz="12" w:space="0" w:color="00000A"/>
              <w:insideH w:val="single" w:sz="4" w:space="0" w:color="00000A"/>
              <w:insideV w:val="single" w:sz="12" w:space="0" w:color="00000A"/>
            </w:tcBorders>
            <w:shd w:fill="auto" w:val="clear"/>
            <w:tcMar>
              <w:left w:w="60" w:type="dxa"/>
            </w:tcMar>
            <w:vAlign w:val="center"/>
          </w:tcPr>
          <w:p>
            <w:pPr>
              <w:pStyle w:val="Normal"/>
              <w:spacing w:lineRule="auto" w:line="240" w:before="0" w:after="0"/>
              <w:rPr>
                <w:szCs w:val="22"/>
              </w:rPr>
            </w:pPr>
            <w:r>
              <w:rPr>
                <w:szCs w:val="22"/>
              </w:rPr>
              <w:t> </w:t>
            </w:r>
          </w:p>
        </w:tc>
      </w:tr>
      <w:tr>
        <w:trPr>
          <w:trHeight w:val="340" w:hRule="atLeast"/>
        </w:trPr>
        <w:tc>
          <w:tcPr>
            <w:tcW w:w="48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t>Zmena odloženého daňového záväzku</w:t>
            </w:r>
          </w:p>
        </w:tc>
        <w:tc>
          <w:tcPr>
            <w:tcW w:w="2159" w:type="dxa"/>
            <w:tcBorders>
              <w:top w:val="single" w:sz="4" w:space="0" w:color="00000A"/>
              <w:left w:val="single" w:sz="12" w:space="0" w:color="00000A"/>
              <w:bottom w:val="single" w:sz="4" w:space="0" w:color="00000A"/>
              <w:right w:val="single" w:sz="6" w:space="0" w:color="00000A"/>
              <w:insideH w:val="single" w:sz="4" w:space="0" w:color="00000A"/>
              <w:insideV w:val="single" w:sz="6"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045" w:type="dxa"/>
            <w:tcBorders>
              <w:top w:val="single" w:sz="4" w:space="0" w:color="00000A"/>
              <w:left w:val="single" w:sz="6" w:space="0" w:color="00000A"/>
              <w:bottom w:val="single" w:sz="4" w:space="0" w:color="00000A"/>
              <w:right w:val="single" w:sz="12" w:space="0" w:color="00000A"/>
              <w:insideH w:val="single" w:sz="4" w:space="0" w:color="00000A"/>
              <w:insideV w:val="single" w:sz="12" w:space="0" w:color="00000A"/>
            </w:tcBorders>
            <w:shd w:fill="auto" w:val="clear"/>
            <w:tcMar>
              <w:left w:w="60" w:type="dxa"/>
            </w:tcMar>
            <w:vAlign w:val="center"/>
          </w:tcPr>
          <w:p>
            <w:pPr>
              <w:pStyle w:val="Normal"/>
              <w:spacing w:lineRule="auto" w:line="240" w:before="0" w:after="0"/>
              <w:rPr>
                <w:szCs w:val="22"/>
              </w:rPr>
            </w:pPr>
            <w:r>
              <w:rPr>
                <w:szCs w:val="22"/>
              </w:rPr>
            </w:r>
          </w:p>
        </w:tc>
      </w:tr>
      <w:tr>
        <w:trPr>
          <w:trHeight w:val="340" w:hRule="atLeast"/>
        </w:trPr>
        <w:tc>
          <w:tcPr>
            <w:tcW w:w="48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xml:space="preserve">Zaúčtovaná ako náklad </w:t>
            </w:r>
          </w:p>
        </w:tc>
        <w:tc>
          <w:tcPr>
            <w:tcW w:w="2159" w:type="dxa"/>
            <w:tcBorders>
              <w:top w:val="single" w:sz="4"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045" w:type="dxa"/>
            <w:tcBorders>
              <w:top w:val="single" w:sz="4"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60" w:type="dxa"/>
            </w:tcMar>
            <w:vAlign w:val="center"/>
          </w:tcPr>
          <w:p>
            <w:pPr>
              <w:pStyle w:val="Normal"/>
              <w:spacing w:lineRule="auto" w:line="240" w:before="0" w:after="0"/>
              <w:rPr>
                <w:szCs w:val="22"/>
              </w:rPr>
            </w:pPr>
            <w:r>
              <w:rPr>
                <w:szCs w:val="22"/>
              </w:rPr>
            </w:r>
          </w:p>
        </w:tc>
      </w:tr>
      <w:tr>
        <w:trPr>
          <w:trHeight w:val="340" w:hRule="atLeast"/>
        </w:trPr>
        <w:tc>
          <w:tcPr>
            <w:tcW w:w="48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Zaúčtovaná do vlastného imania</w:t>
            </w:r>
          </w:p>
        </w:tc>
        <w:tc>
          <w:tcPr>
            <w:tcW w:w="2159" w:type="dxa"/>
            <w:tcBorders>
              <w:top w:val="single" w:sz="6" w:space="0" w:color="00000A"/>
              <w:left w:val="single" w:sz="12" w:space="0" w:color="00000A"/>
              <w:bottom w:val="single" w:sz="4" w:space="0" w:color="00000A"/>
              <w:right w:val="single" w:sz="6" w:space="0" w:color="00000A"/>
              <w:insideH w:val="single" w:sz="4" w:space="0" w:color="00000A"/>
              <w:insideV w:val="single" w:sz="6"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045" w:type="dxa"/>
            <w:tcBorders>
              <w:top w:val="single" w:sz="6" w:space="0" w:color="00000A"/>
              <w:left w:val="single" w:sz="6" w:space="0" w:color="00000A"/>
              <w:bottom w:val="single" w:sz="4" w:space="0" w:color="00000A"/>
              <w:right w:val="single" w:sz="12" w:space="0" w:color="00000A"/>
              <w:insideH w:val="single" w:sz="4" w:space="0" w:color="00000A"/>
              <w:insideV w:val="single" w:sz="12" w:space="0" w:color="00000A"/>
            </w:tcBorders>
            <w:shd w:fill="auto" w:val="clear"/>
            <w:tcMar>
              <w:left w:w="60" w:type="dxa"/>
            </w:tcMar>
            <w:vAlign w:val="center"/>
          </w:tcPr>
          <w:p>
            <w:pPr>
              <w:pStyle w:val="Normal"/>
              <w:spacing w:lineRule="auto" w:line="240" w:before="0" w:after="0"/>
              <w:rPr>
                <w:szCs w:val="22"/>
              </w:rPr>
            </w:pPr>
            <w:r>
              <w:rPr>
                <w:szCs w:val="22"/>
              </w:rPr>
            </w:r>
          </w:p>
        </w:tc>
      </w:tr>
      <w:tr>
        <w:trPr>
          <w:trHeight w:val="340" w:hRule="atLeast"/>
        </w:trPr>
        <w:tc>
          <w:tcPr>
            <w:tcW w:w="4868"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Iné</w:t>
            </w:r>
          </w:p>
        </w:tc>
        <w:tc>
          <w:tcPr>
            <w:tcW w:w="2159" w:type="dxa"/>
            <w:tcBorders>
              <w:top w:val="single" w:sz="4"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8" w:type="dxa"/>
            </w:tcMar>
            <w:vAlign w:val="center"/>
          </w:tcPr>
          <w:p>
            <w:pPr>
              <w:pStyle w:val="Normal"/>
              <w:spacing w:lineRule="auto" w:line="240" w:before="0" w:after="0"/>
              <w:rPr>
                <w:szCs w:val="22"/>
              </w:rPr>
            </w:pPr>
            <w:r>
              <w:rPr>
                <w:szCs w:val="22"/>
              </w:rPr>
            </w:r>
          </w:p>
        </w:tc>
        <w:tc>
          <w:tcPr>
            <w:tcW w:w="2045" w:type="dxa"/>
            <w:tcBorders>
              <w:top w:val="single" w:sz="4"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60" w:type="dxa"/>
            </w:tcMar>
            <w:vAlign w:val="center"/>
          </w:tcPr>
          <w:p>
            <w:pPr>
              <w:pStyle w:val="Normal"/>
              <w:spacing w:lineRule="auto" w:line="240" w:before="0" w:after="0"/>
              <w:rPr>
                <w:szCs w:val="22"/>
              </w:rPr>
            </w:pPr>
            <w:r>
              <w:rPr>
                <w:szCs w:val="22"/>
              </w:rPr>
            </w:r>
          </w:p>
        </w:tc>
      </w:tr>
    </w:tbl>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r>
    </w:p>
    <w:p>
      <w:pPr>
        <w:pStyle w:val="Normal"/>
        <w:numPr>
          <w:ilvl w:val="0"/>
          <w:numId w:val="11"/>
        </w:numPr>
        <w:spacing w:lineRule="auto" w:line="240" w:before="0" w:after="0"/>
        <w:rPr>
          <w:rFonts w:ascii="Arial" w:hAnsi="Arial"/>
          <w:sz w:val="24"/>
          <w:szCs w:val="24"/>
          <w:lang w:eastAsia="sk-SK"/>
        </w:rPr>
      </w:pPr>
      <w:r>
        <w:rPr>
          <w:rFonts w:ascii="Arial" w:hAnsi="Arial"/>
          <w:sz w:val="24"/>
          <w:szCs w:val="24"/>
          <w:lang w:eastAsia="sk-SK"/>
        </w:rPr>
        <w:t xml:space="preserve">Záväzky zo sociálneho fondu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zov"/>
        <w:numPr>
          <w:ilvl w:val="0"/>
          <w:numId w:val="19"/>
        </w:numPr>
        <w:spacing w:beforeAutospacing="0" w:before="0" w:after="0"/>
        <w:ind w:left="567" w:hanging="283"/>
        <w:jc w:val="left"/>
        <w:rPr>
          <w:szCs w:val="22"/>
        </w:rPr>
      </w:pPr>
      <w:r>
        <w:rPr>
          <w:szCs w:val="22"/>
        </w:rPr>
        <w:t>Informácie k prílohe č. 3 časti G. písm. g) o záväzkoch zo sociálneho fondu</w:t>
      </w:r>
    </w:p>
    <w:tbl>
      <w:tblPr>
        <w:tblW w:w="5000" w:type="pct"/>
        <w:jc w:val="center"/>
        <w:tblInd w:w="0"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top w:w="0" w:type="dxa"/>
          <w:left w:w="18" w:type="dxa"/>
          <w:bottom w:w="0" w:type="dxa"/>
          <w:right w:w="108" w:type="dxa"/>
        </w:tblCellMar>
        <w:tblLook w:val="00a0"/>
      </w:tblPr>
      <w:tblGrid>
        <w:gridCol w:w="3860"/>
        <w:gridCol w:w="2584"/>
        <w:gridCol w:w="2628"/>
      </w:tblGrid>
      <w:tr>
        <w:trPr>
          <w:trHeight w:val="825" w:hRule="atLeast"/>
        </w:trPr>
        <w:tc>
          <w:tcPr>
            <w:tcW w:w="386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Názov položky</w:t>
            </w:r>
          </w:p>
        </w:tc>
        <w:tc>
          <w:tcPr>
            <w:tcW w:w="258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Bežné účtovné obdobie</w:t>
            </w:r>
          </w:p>
        </w:tc>
        <w:tc>
          <w:tcPr>
            <w:tcW w:w="262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Bezprostredne predchádzajúce účtovné obdobie</w:t>
            </w:r>
          </w:p>
        </w:tc>
      </w:tr>
      <w:tr>
        <w:trPr>
          <w:trHeight w:val="397" w:hRule="atLeast"/>
        </w:trPr>
        <w:tc>
          <w:tcPr>
            <w:tcW w:w="3860"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t>Začiatočný stav sociálneho fondu</w:t>
            </w:r>
          </w:p>
        </w:tc>
        <w:tc>
          <w:tcPr>
            <w:tcW w:w="2584" w:type="dxa"/>
            <w:tcBorders>
              <w:top w:val="single" w:sz="12"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103</w:t>
            </w:r>
          </w:p>
        </w:tc>
        <w:tc>
          <w:tcPr>
            <w:tcW w:w="2628"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157</w:t>
            </w:r>
          </w:p>
        </w:tc>
      </w:tr>
      <w:tr>
        <w:trPr>
          <w:trHeight w:val="397" w:hRule="atLeast"/>
        </w:trPr>
        <w:tc>
          <w:tcPr>
            <w:tcW w:w="386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Tvorba sociálneho fondu na ťarchu nákladov</w:t>
            </w:r>
          </w:p>
        </w:tc>
        <w:tc>
          <w:tcPr>
            <w:tcW w:w="2584" w:type="dxa"/>
            <w:tcBorders>
              <w:top w:val="single" w:sz="4"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62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97" w:hRule="atLeast"/>
        </w:trPr>
        <w:tc>
          <w:tcPr>
            <w:tcW w:w="386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Tvorba sociálneho fondu zo zisku</w:t>
            </w:r>
          </w:p>
        </w:tc>
        <w:tc>
          <w:tcPr>
            <w:tcW w:w="2584" w:type="dxa"/>
            <w:tcBorders>
              <w:top w:val="single" w:sz="4"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62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97" w:hRule="atLeast"/>
        </w:trPr>
        <w:tc>
          <w:tcPr>
            <w:tcW w:w="386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Ostatná tvorba sociálneho fondu</w:t>
            </w:r>
          </w:p>
        </w:tc>
        <w:tc>
          <w:tcPr>
            <w:tcW w:w="2584" w:type="dxa"/>
            <w:tcBorders>
              <w:top w:val="single" w:sz="4"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62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97" w:hRule="atLeast"/>
        </w:trPr>
        <w:tc>
          <w:tcPr>
            <w:tcW w:w="386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t>Tvorba sociálneho fondu spolu</w:t>
            </w:r>
          </w:p>
        </w:tc>
        <w:tc>
          <w:tcPr>
            <w:tcW w:w="2584" w:type="dxa"/>
            <w:tcBorders>
              <w:top w:val="single" w:sz="4"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360</w:t>
            </w:r>
          </w:p>
        </w:tc>
        <w:tc>
          <w:tcPr>
            <w:tcW w:w="262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240</w:t>
            </w:r>
          </w:p>
        </w:tc>
      </w:tr>
      <w:tr>
        <w:trPr>
          <w:trHeight w:val="397" w:hRule="atLeast"/>
        </w:trPr>
        <w:tc>
          <w:tcPr>
            <w:tcW w:w="386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t xml:space="preserve">Čerpanie sociálneho fondu </w:t>
            </w:r>
          </w:p>
        </w:tc>
        <w:tc>
          <w:tcPr>
            <w:tcW w:w="2584" w:type="dxa"/>
            <w:tcBorders>
              <w:top w:val="single" w:sz="4"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323</w:t>
            </w:r>
          </w:p>
        </w:tc>
        <w:tc>
          <w:tcPr>
            <w:tcW w:w="262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294</w:t>
            </w:r>
          </w:p>
        </w:tc>
      </w:tr>
      <w:tr>
        <w:trPr>
          <w:trHeight w:val="397" w:hRule="atLeast"/>
        </w:trPr>
        <w:tc>
          <w:tcPr>
            <w:tcW w:w="3860"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t>Konečný zostatok sociálneho fondu</w:t>
            </w:r>
          </w:p>
        </w:tc>
        <w:tc>
          <w:tcPr>
            <w:tcW w:w="2584" w:type="dxa"/>
            <w:tcBorders>
              <w:top w:val="single" w:sz="4" w:space="0" w:color="00000A"/>
              <w:left w:val="single" w:sz="12" w:space="0" w:color="00000A"/>
              <w:bottom w:val="single" w:sz="12" w:space="0" w:color="00000A"/>
              <w:right w:val="single" w:sz="8" w:space="0" w:color="00000A"/>
              <w:insideH w:val="single" w:sz="12"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140</w:t>
            </w:r>
          </w:p>
        </w:tc>
        <w:tc>
          <w:tcPr>
            <w:tcW w:w="2628"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103</w:t>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11"/>
        </w:numPr>
        <w:spacing w:lineRule="auto" w:line="240" w:before="0" w:after="0"/>
        <w:rPr>
          <w:rFonts w:ascii="Arial" w:hAnsi="Arial"/>
          <w:sz w:val="24"/>
          <w:szCs w:val="24"/>
          <w:lang w:eastAsia="sk-SK"/>
        </w:rPr>
      </w:pPr>
      <w:r>
        <w:rPr>
          <w:rFonts w:ascii="Arial" w:hAnsi="Arial"/>
          <w:sz w:val="24"/>
          <w:szCs w:val="24"/>
          <w:lang w:eastAsia="sk-SK"/>
        </w:rPr>
        <w:t xml:space="preserve">Informácie o vydaných dlhopisoch : </w:t>
        <w:br/>
      </w:r>
    </w:p>
    <w:p>
      <w:pPr>
        <w:pStyle w:val="Normal"/>
        <w:spacing w:lineRule="auto" w:line="240" w:before="0" w:after="0"/>
        <w:rPr>
          <w:szCs w:val="22"/>
        </w:rPr>
      </w:pPr>
      <w:r>
        <w:rPr>
          <w:szCs w:val="22"/>
        </w:rPr>
      </w:r>
    </w:p>
    <w:p>
      <w:pPr>
        <w:pStyle w:val="Nzov"/>
        <w:keepNext/>
        <w:widowControl w:val="false"/>
        <w:numPr>
          <w:ilvl w:val="0"/>
          <w:numId w:val="19"/>
        </w:numPr>
        <w:tabs>
          <w:tab w:val="left" w:pos="142" w:leader="none"/>
        </w:tabs>
        <w:spacing w:beforeAutospacing="0" w:before="0" w:after="0"/>
        <w:ind w:left="567" w:hanging="425"/>
        <w:jc w:val="left"/>
        <w:rPr>
          <w:szCs w:val="22"/>
        </w:rPr>
      </w:pPr>
      <w:r>
        <w:rPr>
          <w:szCs w:val="22"/>
        </w:rPr>
        <w:t>Informácie k prílohe č. 3 časti G. písm. h) o vydaných dlhopisoch</w:t>
      </w:r>
    </w:p>
    <w:tbl>
      <w:tblPr>
        <w:tblW w:w="5000" w:type="pct"/>
        <w:jc w:val="center"/>
        <w:tblInd w:w="0"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top w:w="0" w:type="dxa"/>
          <w:left w:w="18" w:type="dxa"/>
          <w:bottom w:w="0" w:type="dxa"/>
          <w:right w:w="108" w:type="dxa"/>
        </w:tblCellMar>
        <w:tblLook w:val="00a0"/>
      </w:tblPr>
      <w:tblGrid>
        <w:gridCol w:w="2139"/>
        <w:gridCol w:w="1389"/>
        <w:gridCol w:w="1386"/>
        <w:gridCol w:w="1386"/>
        <w:gridCol w:w="1386"/>
        <w:gridCol w:w="1385"/>
      </w:tblGrid>
      <w:tr>
        <w:trPr>
          <w:trHeight w:val="345" w:hRule="atLeast"/>
        </w:trPr>
        <w:tc>
          <w:tcPr>
            <w:tcW w:w="213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Názov vydaného dlhopisu</w:t>
            </w:r>
          </w:p>
        </w:tc>
        <w:tc>
          <w:tcPr>
            <w:tcW w:w="138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Menovitá hodnota</w:t>
            </w:r>
          </w:p>
        </w:tc>
        <w:tc>
          <w:tcPr>
            <w:tcW w:w="138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Počet</w:t>
            </w:r>
          </w:p>
        </w:tc>
        <w:tc>
          <w:tcPr>
            <w:tcW w:w="138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Emisný kurz</w:t>
            </w:r>
          </w:p>
        </w:tc>
        <w:tc>
          <w:tcPr>
            <w:tcW w:w="138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Úrok</w:t>
            </w:r>
          </w:p>
        </w:tc>
        <w:tc>
          <w:tcPr>
            <w:tcW w:w="138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Splatnosť</w:t>
            </w:r>
          </w:p>
        </w:tc>
      </w:tr>
      <w:tr>
        <w:trPr>
          <w:trHeight w:val="397" w:hRule="atLeast"/>
        </w:trPr>
        <w:tc>
          <w:tcPr>
            <w:tcW w:w="2139"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89" w:type="dxa"/>
            <w:tcBorders>
              <w:top w:val="single" w:sz="12"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86"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86"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86"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85"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97" w:hRule="atLeast"/>
        </w:trPr>
        <w:tc>
          <w:tcPr>
            <w:tcW w:w="213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89"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86"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86"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86"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85"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97" w:hRule="atLeast"/>
        </w:trPr>
        <w:tc>
          <w:tcPr>
            <w:tcW w:w="2139"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89"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86"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86"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86"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85"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97" w:hRule="atLeast"/>
        </w:trPr>
        <w:tc>
          <w:tcPr>
            <w:tcW w:w="213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89" w:type="dxa"/>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86"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86"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86"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8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11"/>
        </w:numPr>
        <w:spacing w:lineRule="auto" w:line="240" w:before="0" w:after="0"/>
        <w:rPr>
          <w:rFonts w:ascii="Arial" w:hAnsi="Arial"/>
          <w:sz w:val="24"/>
          <w:szCs w:val="24"/>
          <w:lang w:eastAsia="sk-SK"/>
        </w:rPr>
      </w:pPr>
      <w:r>
        <w:rPr>
          <w:rFonts w:ascii="Arial" w:hAnsi="Arial"/>
          <w:sz w:val="24"/>
          <w:szCs w:val="24"/>
          <w:lang w:eastAsia="sk-SK"/>
        </w:rPr>
        <w:t xml:space="preserve">Bankové úvery, pôžičky a návratné finančné výpomoci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zov"/>
        <w:keepNext/>
        <w:widowControl w:val="false"/>
        <w:numPr>
          <w:ilvl w:val="0"/>
          <w:numId w:val="19"/>
        </w:numPr>
        <w:tabs>
          <w:tab w:val="left" w:pos="142" w:leader="none"/>
        </w:tabs>
        <w:spacing w:beforeAutospacing="0" w:before="0" w:after="0"/>
        <w:ind w:left="567" w:hanging="425"/>
        <w:jc w:val="both"/>
        <w:rPr>
          <w:szCs w:val="22"/>
        </w:rPr>
      </w:pPr>
      <w:r>
        <w:rPr>
          <w:szCs w:val="22"/>
        </w:rPr>
        <w:t>Informácie k prílohe č. 3 časti G. písm. i) o bankových úveroch, pôžičkách a krátkodobých finančných výpomociach</w:t>
      </w:r>
    </w:p>
    <w:p>
      <w:pPr>
        <w:pStyle w:val="Normal"/>
        <w:spacing w:lineRule="auto" w:line="240" w:before="0" w:after="0"/>
        <w:rPr>
          <w:szCs w:val="22"/>
        </w:rPr>
      </w:pPr>
      <w:r>
        <w:rPr>
          <w:szCs w:val="22"/>
        </w:rPr>
        <w:t>Tabuľka č. 1</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32" w:type="dxa"/>
          <w:bottom w:w="0" w:type="dxa"/>
          <w:right w:w="108" w:type="dxa"/>
        </w:tblCellMar>
        <w:tblLook w:val="00a0"/>
      </w:tblPr>
      <w:tblGrid>
        <w:gridCol w:w="2179"/>
        <w:gridCol w:w="831"/>
        <w:gridCol w:w="831"/>
        <w:gridCol w:w="1242"/>
        <w:gridCol w:w="1407"/>
        <w:gridCol w:w="1094"/>
        <w:gridCol w:w="1487"/>
      </w:tblGrid>
      <w:tr>
        <w:trPr>
          <w:trHeight w:val="990" w:hRule="atLeast"/>
        </w:trPr>
        <w:tc>
          <w:tcPr>
            <w:tcW w:w="2179"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Názov položky</w:t>
            </w:r>
          </w:p>
        </w:tc>
        <w:tc>
          <w:tcPr>
            <w:tcW w:w="831"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Mena</w:t>
            </w:r>
          </w:p>
        </w:tc>
        <w:tc>
          <w:tcPr>
            <w:tcW w:w="831"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 xml:space="preserve">Úrok </w:t>
              <w:br/>
              <w:t xml:space="preserve">p. a. </w:t>
            </w:r>
          </w:p>
          <w:p>
            <w:pPr>
              <w:pStyle w:val="TopHeader"/>
              <w:rPr/>
            </w:pPr>
            <w:r>
              <w:rPr/>
              <w:t>v %</w:t>
            </w:r>
          </w:p>
        </w:tc>
        <w:tc>
          <w:tcPr>
            <w:tcW w:w="1242"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Dátum splatnosti</w:t>
            </w:r>
          </w:p>
        </w:tc>
        <w:tc>
          <w:tcPr>
            <w:tcW w:w="1407"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Suma istiny v príslušnej mene</w:t>
              <w:br/>
              <w:t xml:space="preserve"> za bežné účtovné obdobie</w:t>
            </w:r>
          </w:p>
        </w:tc>
        <w:tc>
          <w:tcPr>
            <w:tcW w:w="1094" w:type="dxa"/>
            <w:tcBorders>
              <w:top w:val="single" w:sz="12" w:space="0" w:color="00000A"/>
              <w:left w:val="single" w:sz="12" w:space="0" w:color="00000A"/>
              <w:right w:val="single" w:sz="12" w:space="0" w:color="00000A"/>
              <w:insideV w:val="single" w:sz="12" w:space="0" w:color="00000A"/>
            </w:tcBorders>
            <w:shd w:fill="auto" w:val="clear"/>
            <w:tcMar>
              <w:left w:w="32" w:type="dxa"/>
            </w:tcMar>
          </w:tcPr>
          <w:p>
            <w:pPr>
              <w:pStyle w:val="TopHeader"/>
              <w:rPr/>
            </w:pPr>
            <w:r>
              <w:rPr/>
              <w:t>Suma istiny v eurách</w:t>
            </w:r>
          </w:p>
          <w:p>
            <w:pPr>
              <w:pStyle w:val="TopHeader"/>
              <w:rPr/>
            </w:pPr>
            <w:r>
              <w:rPr/>
              <w:t xml:space="preserve"> </w:t>
            </w:r>
            <w:r>
              <w:rPr/>
              <w:t>za bežné účtovné obdobie</w:t>
            </w:r>
          </w:p>
        </w:tc>
        <w:tc>
          <w:tcPr>
            <w:tcW w:w="1487"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Suma istiny v príslušnej mene za bezprostred-ne predchá-dzajúce účtovné obdobie</w:t>
            </w:r>
          </w:p>
        </w:tc>
      </w:tr>
      <w:tr>
        <w:trPr>
          <w:trHeight w:val="330" w:hRule="atLeast"/>
        </w:trPr>
        <w:tc>
          <w:tcPr>
            <w:tcW w:w="217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Normal"/>
              <w:spacing w:lineRule="auto" w:line="240" w:before="0" w:after="0"/>
              <w:jc w:val="center"/>
              <w:rPr>
                <w:bCs/>
                <w:szCs w:val="22"/>
              </w:rPr>
            </w:pPr>
            <w:r>
              <w:rPr>
                <w:bCs/>
                <w:szCs w:val="22"/>
              </w:rPr>
              <w:t>A</w:t>
            </w:r>
          </w:p>
        </w:tc>
        <w:tc>
          <w:tcPr>
            <w:tcW w:w="83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Normal"/>
              <w:spacing w:lineRule="auto" w:line="240" w:before="0" w:after="0"/>
              <w:jc w:val="center"/>
              <w:rPr>
                <w:szCs w:val="22"/>
              </w:rPr>
            </w:pPr>
            <w:r>
              <w:rPr>
                <w:szCs w:val="22"/>
              </w:rPr>
              <w:t>B</w:t>
            </w:r>
          </w:p>
        </w:tc>
        <w:tc>
          <w:tcPr>
            <w:tcW w:w="83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Normal"/>
              <w:spacing w:lineRule="auto" w:line="240" w:before="0" w:after="0"/>
              <w:jc w:val="center"/>
              <w:rPr>
                <w:szCs w:val="22"/>
              </w:rPr>
            </w:pPr>
            <w:r>
              <w:rPr>
                <w:szCs w:val="22"/>
              </w:rPr>
              <w:t>c</w:t>
            </w:r>
          </w:p>
        </w:tc>
        <w:tc>
          <w:tcPr>
            <w:tcW w:w="124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Normal"/>
              <w:spacing w:lineRule="auto" w:line="240" w:before="0" w:after="0"/>
              <w:jc w:val="center"/>
              <w:rPr>
                <w:szCs w:val="22"/>
              </w:rPr>
            </w:pPr>
            <w:r>
              <w:rPr>
                <w:szCs w:val="22"/>
              </w:rPr>
              <w:t>D</w:t>
            </w:r>
          </w:p>
        </w:tc>
        <w:tc>
          <w:tcPr>
            <w:tcW w:w="140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Normal"/>
              <w:spacing w:lineRule="auto" w:line="240" w:before="0" w:after="0"/>
              <w:jc w:val="center"/>
              <w:rPr>
                <w:szCs w:val="22"/>
              </w:rPr>
            </w:pPr>
            <w:r>
              <w:rPr>
                <w:szCs w:val="22"/>
              </w:rPr>
              <w:t>e</w:t>
            </w:r>
          </w:p>
        </w:tc>
        <w:tc>
          <w:tcPr>
            <w:tcW w:w="109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Normal"/>
              <w:spacing w:lineRule="auto" w:line="240" w:before="0" w:after="0"/>
              <w:jc w:val="center"/>
              <w:rPr>
                <w:szCs w:val="22"/>
              </w:rPr>
            </w:pPr>
            <w:r>
              <w:rPr>
                <w:szCs w:val="22"/>
              </w:rPr>
              <w:t>F</w:t>
            </w:r>
          </w:p>
        </w:tc>
        <w:tc>
          <w:tcPr>
            <w:tcW w:w="148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Normal"/>
              <w:spacing w:lineRule="auto" w:line="240" w:before="0" w:after="0"/>
              <w:jc w:val="center"/>
              <w:rPr>
                <w:szCs w:val="22"/>
              </w:rPr>
            </w:pPr>
            <w:r>
              <w:rPr>
                <w:szCs w:val="22"/>
              </w:rPr>
              <w:t>G</w:t>
            </w:r>
          </w:p>
        </w:tc>
      </w:tr>
      <w:tr>
        <w:trPr>
          <w:trHeight w:val="330" w:hRule="atLeast"/>
        </w:trPr>
        <w:tc>
          <w:tcPr>
            <w:tcW w:w="9071" w:type="dxa"/>
            <w:gridSpan w:val="7"/>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32" w:type="dxa"/>
            </w:tcMar>
          </w:tcPr>
          <w:p>
            <w:pPr>
              <w:pStyle w:val="Normal"/>
              <w:spacing w:lineRule="auto" w:line="240" w:before="0" w:after="0"/>
              <w:rPr>
                <w:szCs w:val="22"/>
              </w:rPr>
            </w:pPr>
            <w:r>
              <w:rPr>
                <w:b/>
                <w:bCs/>
                <w:szCs w:val="22"/>
              </w:rPr>
              <w:t>Dlhodobé bankové úvery</w:t>
            </w:r>
          </w:p>
        </w:tc>
      </w:tr>
      <w:tr>
        <w:trPr>
          <w:trHeight w:val="397" w:hRule="atLeast"/>
        </w:trPr>
        <w:tc>
          <w:tcPr>
            <w:tcW w:w="217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 </w:t>
            </w:r>
            <w:r>
              <w:rPr>
                <w:szCs w:val="22"/>
              </w:rPr>
              <w:t>SLSP prevádzkový</w:t>
            </w:r>
          </w:p>
        </w:tc>
        <w:tc>
          <w:tcPr>
            <w:tcW w:w="831"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r>
          </w:p>
        </w:tc>
        <w:tc>
          <w:tcPr>
            <w:tcW w:w="831"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242"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407"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094"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tcPr>
          <w:p>
            <w:pPr>
              <w:pStyle w:val="Normal"/>
              <w:spacing w:lineRule="auto" w:line="240" w:before="0" w:after="0"/>
              <w:rPr>
                <w:szCs w:val="22"/>
              </w:rPr>
            </w:pPr>
            <w:r>
              <w:rPr>
                <w:szCs w:val="22"/>
              </w:rPr>
              <w:t xml:space="preserve">   </w:t>
            </w:r>
          </w:p>
        </w:tc>
        <w:tc>
          <w:tcPr>
            <w:tcW w:w="1487"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t xml:space="preserve">   </w:t>
            </w:r>
          </w:p>
        </w:tc>
      </w:tr>
      <w:tr>
        <w:trPr>
          <w:trHeight w:val="397" w:hRule="atLeast"/>
        </w:trPr>
        <w:tc>
          <w:tcPr>
            <w:tcW w:w="217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 </w:t>
            </w:r>
          </w:p>
        </w:tc>
        <w:tc>
          <w:tcPr>
            <w:tcW w:w="831"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t> </w:t>
            </w:r>
          </w:p>
        </w:tc>
        <w:tc>
          <w:tcPr>
            <w:tcW w:w="8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24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40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09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tcPr>
          <w:p>
            <w:pPr>
              <w:pStyle w:val="Normal"/>
              <w:spacing w:lineRule="auto" w:line="240" w:before="0" w:after="0"/>
              <w:rPr>
                <w:szCs w:val="22"/>
              </w:rPr>
            </w:pPr>
            <w:r>
              <w:rPr>
                <w:szCs w:val="22"/>
              </w:rPr>
            </w:r>
          </w:p>
        </w:tc>
        <w:tc>
          <w:tcPr>
            <w:tcW w:w="148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t> </w:t>
            </w:r>
          </w:p>
        </w:tc>
      </w:tr>
      <w:tr>
        <w:trPr>
          <w:trHeight w:val="397" w:hRule="atLeast"/>
        </w:trPr>
        <w:tc>
          <w:tcPr>
            <w:tcW w:w="217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 </w:t>
            </w:r>
          </w:p>
        </w:tc>
        <w:tc>
          <w:tcPr>
            <w:tcW w:w="831"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t> </w:t>
            </w:r>
          </w:p>
        </w:tc>
        <w:tc>
          <w:tcPr>
            <w:tcW w:w="8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24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40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09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tcPr>
          <w:p>
            <w:pPr>
              <w:pStyle w:val="Normal"/>
              <w:spacing w:lineRule="auto" w:line="240" w:before="0" w:after="0"/>
              <w:rPr>
                <w:szCs w:val="22"/>
              </w:rPr>
            </w:pPr>
            <w:r>
              <w:rPr>
                <w:szCs w:val="22"/>
              </w:rPr>
            </w:r>
          </w:p>
        </w:tc>
        <w:tc>
          <w:tcPr>
            <w:tcW w:w="148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t> </w:t>
            </w:r>
          </w:p>
        </w:tc>
      </w:tr>
      <w:tr>
        <w:trPr>
          <w:trHeight w:val="330" w:hRule="atLeast"/>
        </w:trPr>
        <w:tc>
          <w:tcPr>
            <w:tcW w:w="9071" w:type="dxa"/>
            <w:gridSpan w:val="7"/>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32" w:type="dxa"/>
            </w:tcMar>
          </w:tcPr>
          <w:p>
            <w:pPr>
              <w:pStyle w:val="Normal"/>
              <w:spacing w:lineRule="auto" w:line="240" w:before="0" w:after="0"/>
              <w:rPr>
                <w:szCs w:val="22"/>
              </w:rPr>
            </w:pPr>
            <w:r>
              <w:rPr>
                <w:b/>
                <w:bCs/>
                <w:szCs w:val="22"/>
              </w:rPr>
              <w:t>Krátkodobé bankové úvery</w:t>
            </w:r>
          </w:p>
        </w:tc>
      </w:tr>
      <w:tr>
        <w:trPr>
          <w:trHeight w:val="397" w:hRule="atLeast"/>
        </w:trPr>
        <w:tc>
          <w:tcPr>
            <w:tcW w:w="217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 </w:t>
            </w:r>
            <w:r>
              <w:rPr>
                <w:szCs w:val="22"/>
              </w:rPr>
              <w:t>SLSP prevádzkový</w:t>
            </w:r>
          </w:p>
        </w:tc>
        <w:tc>
          <w:tcPr>
            <w:tcW w:w="831"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t>EUR </w:t>
            </w:r>
          </w:p>
        </w:tc>
        <w:tc>
          <w:tcPr>
            <w:tcW w:w="831"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xml:space="preserve">  </w:t>
            </w:r>
            <w:r>
              <w:rPr>
                <w:szCs w:val="22"/>
              </w:rPr>
              <w:t>1,9 </w:t>
            </w:r>
          </w:p>
        </w:tc>
        <w:tc>
          <w:tcPr>
            <w:tcW w:w="1242"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407"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094"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tcPr>
          <w:p>
            <w:pPr>
              <w:pStyle w:val="Normal"/>
              <w:spacing w:lineRule="auto" w:line="240" w:before="0" w:after="0"/>
              <w:rPr>
                <w:szCs w:val="22"/>
              </w:rPr>
            </w:pPr>
            <w:r>
              <w:rPr>
                <w:szCs w:val="22"/>
              </w:rPr>
              <w:t>111480</w:t>
            </w:r>
          </w:p>
        </w:tc>
        <w:tc>
          <w:tcPr>
            <w:tcW w:w="1487"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t xml:space="preserve"> </w:t>
            </w:r>
            <w:r>
              <w:rPr>
                <w:szCs w:val="22"/>
              </w:rPr>
              <w:t>121872 </w:t>
            </w:r>
          </w:p>
        </w:tc>
      </w:tr>
      <w:tr>
        <w:trPr>
          <w:trHeight w:val="397" w:hRule="atLeast"/>
        </w:trPr>
        <w:tc>
          <w:tcPr>
            <w:tcW w:w="217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 </w:t>
            </w:r>
          </w:p>
        </w:tc>
        <w:tc>
          <w:tcPr>
            <w:tcW w:w="831"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t> </w:t>
            </w:r>
          </w:p>
        </w:tc>
        <w:tc>
          <w:tcPr>
            <w:tcW w:w="8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24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40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09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tcPr>
          <w:p>
            <w:pPr>
              <w:pStyle w:val="Normal"/>
              <w:spacing w:lineRule="auto" w:line="240" w:before="0" w:after="0"/>
              <w:rPr>
                <w:szCs w:val="22"/>
              </w:rPr>
            </w:pPr>
            <w:r>
              <w:rPr>
                <w:szCs w:val="22"/>
              </w:rPr>
            </w:r>
          </w:p>
        </w:tc>
        <w:tc>
          <w:tcPr>
            <w:tcW w:w="148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t> </w:t>
            </w:r>
          </w:p>
        </w:tc>
      </w:tr>
      <w:tr>
        <w:trPr>
          <w:trHeight w:val="397" w:hRule="atLeast"/>
        </w:trPr>
        <w:tc>
          <w:tcPr>
            <w:tcW w:w="217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Normal"/>
              <w:spacing w:lineRule="auto" w:line="240" w:before="0" w:after="0"/>
              <w:rPr>
                <w:b/>
                <w:b/>
                <w:bCs/>
                <w:szCs w:val="22"/>
              </w:rPr>
            </w:pPr>
            <w:r>
              <w:rPr>
                <w:b/>
                <w:bCs/>
                <w:szCs w:val="22"/>
              </w:rPr>
            </w:r>
          </w:p>
        </w:tc>
        <w:tc>
          <w:tcPr>
            <w:tcW w:w="831"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r>
          </w:p>
        </w:tc>
        <w:tc>
          <w:tcPr>
            <w:tcW w:w="831"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242"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407"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094"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92" w:type="dxa"/>
            </w:tcMar>
          </w:tcPr>
          <w:p>
            <w:pPr>
              <w:pStyle w:val="Normal"/>
              <w:spacing w:lineRule="auto" w:line="240" w:before="0" w:after="0"/>
              <w:rPr>
                <w:szCs w:val="22"/>
              </w:rPr>
            </w:pPr>
            <w:r>
              <w:rPr>
                <w:szCs w:val="22"/>
              </w:rPr>
            </w:r>
          </w:p>
        </w:tc>
        <w:tc>
          <w:tcPr>
            <w:tcW w:w="1487"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r>
          </w:p>
        </w:tc>
      </w:tr>
    </w:tbl>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t>Tabuľka č. 2</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32" w:type="dxa"/>
          <w:bottom w:w="0" w:type="dxa"/>
          <w:right w:w="108" w:type="dxa"/>
        </w:tblCellMar>
        <w:tblLook w:val="00a0"/>
      </w:tblPr>
      <w:tblGrid>
        <w:gridCol w:w="2180"/>
        <w:gridCol w:w="859"/>
        <w:gridCol w:w="802"/>
        <w:gridCol w:w="1251"/>
        <w:gridCol w:w="1385"/>
        <w:gridCol w:w="1107"/>
        <w:gridCol w:w="1487"/>
      </w:tblGrid>
      <w:tr>
        <w:trPr>
          <w:trHeight w:val="990" w:hRule="atLeast"/>
        </w:trPr>
        <w:tc>
          <w:tcPr>
            <w:tcW w:w="2180"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Názov položky</w:t>
            </w:r>
          </w:p>
        </w:tc>
        <w:tc>
          <w:tcPr>
            <w:tcW w:w="859"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Mena</w:t>
            </w:r>
          </w:p>
        </w:tc>
        <w:tc>
          <w:tcPr>
            <w:tcW w:w="802"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 xml:space="preserve">Úrok </w:t>
              <w:br/>
              <w:t xml:space="preserve">p. a. </w:t>
            </w:r>
          </w:p>
          <w:p>
            <w:pPr>
              <w:pStyle w:val="TopHeader"/>
              <w:rPr/>
            </w:pPr>
            <w:r>
              <w:rPr/>
              <w:t>v %</w:t>
            </w:r>
          </w:p>
        </w:tc>
        <w:tc>
          <w:tcPr>
            <w:tcW w:w="1251"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Dátum splatnosti</w:t>
            </w:r>
          </w:p>
        </w:tc>
        <w:tc>
          <w:tcPr>
            <w:tcW w:w="1385"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Suma istiny v príslušnej mene</w:t>
              <w:br/>
              <w:t xml:space="preserve"> za bežné účtovné obdobie</w:t>
            </w:r>
          </w:p>
        </w:tc>
        <w:tc>
          <w:tcPr>
            <w:tcW w:w="1107" w:type="dxa"/>
            <w:tcBorders>
              <w:top w:val="single" w:sz="12" w:space="0" w:color="00000A"/>
              <w:left w:val="single" w:sz="12" w:space="0" w:color="00000A"/>
              <w:right w:val="single" w:sz="12" w:space="0" w:color="00000A"/>
              <w:insideV w:val="single" w:sz="12" w:space="0" w:color="00000A"/>
            </w:tcBorders>
            <w:shd w:fill="auto" w:val="clear"/>
            <w:tcMar>
              <w:left w:w="32" w:type="dxa"/>
            </w:tcMar>
          </w:tcPr>
          <w:p>
            <w:pPr>
              <w:pStyle w:val="TopHeader"/>
              <w:rPr/>
            </w:pPr>
            <w:r>
              <w:rPr/>
              <w:t>Suma istiny v eurách</w:t>
            </w:r>
          </w:p>
          <w:p>
            <w:pPr>
              <w:pStyle w:val="TopHeader"/>
              <w:rPr/>
            </w:pPr>
            <w:r>
              <w:rPr/>
              <w:t xml:space="preserve"> </w:t>
            </w:r>
            <w:r>
              <w:rPr/>
              <w:t>za bežné účtovné obdobie</w:t>
            </w:r>
          </w:p>
        </w:tc>
        <w:tc>
          <w:tcPr>
            <w:tcW w:w="1487" w:type="dxa"/>
            <w:tcBorders>
              <w:top w:val="single" w:sz="12" w:space="0" w:color="00000A"/>
              <w:left w:val="single" w:sz="12" w:space="0" w:color="00000A"/>
              <w:right w:val="single" w:sz="12" w:space="0" w:color="00000A"/>
              <w:insideV w:val="single" w:sz="12" w:space="0" w:color="00000A"/>
            </w:tcBorders>
            <w:shd w:fill="auto" w:val="clear"/>
            <w:tcMar>
              <w:left w:w="32" w:type="dxa"/>
            </w:tcMar>
            <w:vAlign w:val="center"/>
          </w:tcPr>
          <w:p>
            <w:pPr>
              <w:pStyle w:val="TopHeader"/>
              <w:rPr/>
            </w:pPr>
            <w:r>
              <w:rPr/>
              <w:t>Suma istiny v príslušnej mene za bezprostredne predchádzajú-ce účtovné obdobie</w:t>
            </w:r>
          </w:p>
        </w:tc>
      </w:tr>
      <w:tr>
        <w:trPr>
          <w:trHeight w:val="330" w:hRule="atLeast"/>
        </w:trPr>
        <w:tc>
          <w:tcPr>
            <w:tcW w:w="218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Normal"/>
              <w:spacing w:lineRule="auto" w:line="240" w:before="0" w:after="0"/>
              <w:jc w:val="center"/>
              <w:rPr>
                <w:bCs/>
                <w:szCs w:val="22"/>
              </w:rPr>
            </w:pPr>
            <w:r>
              <w:rPr>
                <w:bCs/>
                <w:szCs w:val="22"/>
              </w:rPr>
              <w:t>A</w:t>
            </w:r>
          </w:p>
        </w:tc>
        <w:tc>
          <w:tcPr>
            <w:tcW w:w="85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Normal"/>
              <w:spacing w:lineRule="auto" w:line="240" w:before="0" w:after="0"/>
              <w:jc w:val="center"/>
              <w:rPr>
                <w:szCs w:val="22"/>
              </w:rPr>
            </w:pPr>
            <w:r>
              <w:rPr>
                <w:szCs w:val="22"/>
              </w:rPr>
              <w:t>B</w:t>
            </w:r>
          </w:p>
        </w:tc>
        <w:tc>
          <w:tcPr>
            <w:tcW w:w="80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Normal"/>
              <w:spacing w:lineRule="auto" w:line="240" w:before="0" w:after="0"/>
              <w:jc w:val="center"/>
              <w:rPr>
                <w:szCs w:val="22"/>
              </w:rPr>
            </w:pPr>
            <w:r>
              <w:rPr>
                <w:szCs w:val="22"/>
              </w:rPr>
              <w:t>c</w:t>
            </w:r>
          </w:p>
        </w:tc>
        <w:tc>
          <w:tcPr>
            <w:tcW w:w="125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Normal"/>
              <w:spacing w:lineRule="auto" w:line="240" w:before="0" w:after="0"/>
              <w:jc w:val="center"/>
              <w:rPr>
                <w:szCs w:val="22"/>
              </w:rPr>
            </w:pPr>
            <w:r>
              <w:rPr>
                <w:szCs w:val="22"/>
              </w:rPr>
              <w:t>D</w:t>
            </w:r>
          </w:p>
        </w:tc>
        <w:tc>
          <w:tcPr>
            <w:tcW w:w="138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Normal"/>
              <w:spacing w:lineRule="auto" w:line="240" w:before="0" w:after="0"/>
              <w:jc w:val="center"/>
              <w:rPr>
                <w:szCs w:val="22"/>
              </w:rPr>
            </w:pPr>
            <w:r>
              <w:rPr>
                <w:szCs w:val="22"/>
              </w:rPr>
              <w:t>e</w:t>
            </w:r>
          </w:p>
        </w:tc>
        <w:tc>
          <w:tcPr>
            <w:tcW w:w="110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Normal"/>
              <w:spacing w:lineRule="auto" w:line="240" w:before="0" w:after="0"/>
              <w:jc w:val="center"/>
              <w:rPr>
                <w:szCs w:val="22"/>
              </w:rPr>
            </w:pPr>
            <w:r>
              <w:rPr>
                <w:szCs w:val="22"/>
              </w:rPr>
              <w:t>f</w:t>
            </w:r>
          </w:p>
        </w:tc>
        <w:tc>
          <w:tcPr>
            <w:tcW w:w="148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Normal"/>
              <w:spacing w:lineRule="auto" w:line="240" w:before="0" w:after="0"/>
              <w:jc w:val="center"/>
              <w:rPr>
                <w:szCs w:val="22"/>
              </w:rPr>
            </w:pPr>
            <w:r>
              <w:rPr>
                <w:szCs w:val="22"/>
              </w:rPr>
              <w:t>G</w:t>
            </w:r>
          </w:p>
        </w:tc>
      </w:tr>
      <w:tr>
        <w:trPr>
          <w:trHeight w:val="330" w:hRule="atLeast"/>
        </w:trPr>
        <w:tc>
          <w:tcPr>
            <w:tcW w:w="9071" w:type="dxa"/>
            <w:gridSpan w:val="7"/>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32" w:type="dxa"/>
            </w:tcMar>
          </w:tcPr>
          <w:p>
            <w:pPr>
              <w:pStyle w:val="Normal"/>
              <w:spacing w:lineRule="auto" w:line="240" w:before="0" w:after="0"/>
              <w:rPr>
                <w:szCs w:val="22"/>
              </w:rPr>
            </w:pPr>
            <w:r>
              <w:rPr>
                <w:b/>
                <w:bCs/>
                <w:szCs w:val="22"/>
              </w:rPr>
              <w:t>Dlhodobé pôžičky</w:t>
            </w:r>
          </w:p>
        </w:tc>
      </w:tr>
      <w:tr>
        <w:trPr>
          <w:trHeight w:val="397" w:hRule="atLeast"/>
        </w:trPr>
        <w:tc>
          <w:tcPr>
            <w:tcW w:w="2180"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 </w:t>
            </w:r>
          </w:p>
        </w:tc>
        <w:tc>
          <w:tcPr>
            <w:tcW w:w="859"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t> </w:t>
            </w:r>
          </w:p>
        </w:tc>
        <w:tc>
          <w:tcPr>
            <w:tcW w:w="802"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251"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385"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107"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tcPr>
          <w:p>
            <w:pPr>
              <w:pStyle w:val="Normal"/>
              <w:spacing w:lineRule="auto" w:line="240" w:before="0" w:after="0"/>
              <w:rPr>
                <w:szCs w:val="22"/>
              </w:rPr>
            </w:pPr>
            <w:r>
              <w:rPr>
                <w:szCs w:val="22"/>
              </w:rPr>
            </w:r>
          </w:p>
        </w:tc>
        <w:tc>
          <w:tcPr>
            <w:tcW w:w="1487"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t> </w:t>
            </w:r>
          </w:p>
        </w:tc>
      </w:tr>
      <w:tr>
        <w:trPr>
          <w:trHeight w:val="397" w:hRule="atLeast"/>
        </w:trPr>
        <w:tc>
          <w:tcPr>
            <w:tcW w:w="218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 </w:t>
            </w:r>
          </w:p>
        </w:tc>
        <w:tc>
          <w:tcPr>
            <w:tcW w:w="859"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t> </w:t>
            </w:r>
          </w:p>
        </w:tc>
        <w:tc>
          <w:tcPr>
            <w:tcW w:w="80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2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3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10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tcPr>
          <w:p>
            <w:pPr>
              <w:pStyle w:val="Normal"/>
              <w:spacing w:lineRule="auto" w:line="240" w:before="0" w:after="0"/>
              <w:rPr>
                <w:szCs w:val="22"/>
              </w:rPr>
            </w:pPr>
            <w:r>
              <w:rPr>
                <w:szCs w:val="22"/>
              </w:rPr>
            </w:r>
          </w:p>
        </w:tc>
        <w:tc>
          <w:tcPr>
            <w:tcW w:w="148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t> </w:t>
            </w:r>
          </w:p>
        </w:tc>
      </w:tr>
      <w:tr>
        <w:trPr>
          <w:trHeight w:val="397" w:hRule="atLeast"/>
        </w:trPr>
        <w:tc>
          <w:tcPr>
            <w:tcW w:w="218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 </w:t>
            </w:r>
          </w:p>
        </w:tc>
        <w:tc>
          <w:tcPr>
            <w:tcW w:w="859"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t> </w:t>
            </w:r>
          </w:p>
        </w:tc>
        <w:tc>
          <w:tcPr>
            <w:tcW w:w="80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2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3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10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tcPr>
          <w:p>
            <w:pPr>
              <w:pStyle w:val="Normal"/>
              <w:spacing w:lineRule="auto" w:line="240" w:before="0" w:after="0"/>
              <w:rPr>
                <w:szCs w:val="22"/>
              </w:rPr>
            </w:pPr>
            <w:r>
              <w:rPr>
                <w:szCs w:val="22"/>
              </w:rPr>
            </w:r>
          </w:p>
        </w:tc>
        <w:tc>
          <w:tcPr>
            <w:tcW w:w="148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t> </w:t>
            </w:r>
          </w:p>
        </w:tc>
      </w:tr>
      <w:tr>
        <w:trPr>
          <w:trHeight w:val="330" w:hRule="atLeast"/>
        </w:trPr>
        <w:tc>
          <w:tcPr>
            <w:tcW w:w="9071" w:type="dxa"/>
            <w:gridSpan w:val="7"/>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32" w:type="dxa"/>
            </w:tcMar>
          </w:tcPr>
          <w:p>
            <w:pPr>
              <w:pStyle w:val="Normal"/>
              <w:spacing w:lineRule="auto" w:line="240" w:before="0" w:after="0"/>
              <w:rPr>
                <w:szCs w:val="22"/>
              </w:rPr>
            </w:pPr>
            <w:r>
              <w:rPr>
                <w:b/>
                <w:bCs/>
                <w:szCs w:val="22"/>
              </w:rPr>
              <w:t>Krátkodobé pôžičky</w:t>
            </w:r>
          </w:p>
        </w:tc>
      </w:tr>
      <w:tr>
        <w:trPr>
          <w:trHeight w:val="397" w:hRule="atLeast"/>
        </w:trPr>
        <w:tc>
          <w:tcPr>
            <w:tcW w:w="2180"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 </w:t>
            </w:r>
          </w:p>
        </w:tc>
        <w:tc>
          <w:tcPr>
            <w:tcW w:w="859"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t> </w:t>
            </w:r>
          </w:p>
        </w:tc>
        <w:tc>
          <w:tcPr>
            <w:tcW w:w="802"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251"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385"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107"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tcPr>
          <w:p>
            <w:pPr>
              <w:pStyle w:val="Normal"/>
              <w:spacing w:lineRule="auto" w:line="240" w:before="0" w:after="0"/>
              <w:rPr>
                <w:szCs w:val="22"/>
              </w:rPr>
            </w:pPr>
            <w:r>
              <w:rPr>
                <w:szCs w:val="22"/>
              </w:rPr>
            </w:r>
          </w:p>
        </w:tc>
        <w:tc>
          <w:tcPr>
            <w:tcW w:w="1487"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t> </w:t>
            </w:r>
          </w:p>
        </w:tc>
      </w:tr>
      <w:tr>
        <w:trPr>
          <w:trHeight w:val="397" w:hRule="atLeast"/>
        </w:trPr>
        <w:tc>
          <w:tcPr>
            <w:tcW w:w="218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szCs w:val="22"/>
              </w:rPr>
            </w:pPr>
            <w:r>
              <w:rPr>
                <w:szCs w:val="22"/>
              </w:rPr>
              <w:t> </w:t>
            </w:r>
          </w:p>
        </w:tc>
        <w:tc>
          <w:tcPr>
            <w:tcW w:w="859"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t> </w:t>
            </w:r>
          </w:p>
        </w:tc>
        <w:tc>
          <w:tcPr>
            <w:tcW w:w="80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2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3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t> </w:t>
            </w:r>
          </w:p>
        </w:tc>
        <w:tc>
          <w:tcPr>
            <w:tcW w:w="110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tcPr>
          <w:p>
            <w:pPr>
              <w:pStyle w:val="Normal"/>
              <w:spacing w:lineRule="auto" w:line="240" w:before="0" w:after="0"/>
              <w:rPr>
                <w:szCs w:val="22"/>
              </w:rPr>
            </w:pPr>
            <w:r>
              <w:rPr>
                <w:szCs w:val="22"/>
              </w:rPr>
            </w:r>
          </w:p>
        </w:tc>
        <w:tc>
          <w:tcPr>
            <w:tcW w:w="148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t> </w:t>
            </w:r>
          </w:p>
        </w:tc>
      </w:tr>
      <w:tr>
        <w:trPr>
          <w:trHeight w:val="397" w:hRule="atLeast"/>
        </w:trPr>
        <w:tc>
          <w:tcPr>
            <w:tcW w:w="218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b/>
                <w:b/>
                <w:bCs/>
                <w:szCs w:val="22"/>
              </w:rPr>
            </w:pPr>
            <w:r>
              <w:rPr>
                <w:b/>
                <w:bCs/>
                <w:szCs w:val="22"/>
              </w:rPr>
            </w:r>
          </w:p>
        </w:tc>
        <w:tc>
          <w:tcPr>
            <w:tcW w:w="859"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r>
          </w:p>
        </w:tc>
        <w:tc>
          <w:tcPr>
            <w:tcW w:w="80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2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3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10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tcPr>
          <w:p>
            <w:pPr>
              <w:pStyle w:val="Normal"/>
              <w:spacing w:lineRule="auto" w:line="240" w:before="0" w:after="0"/>
              <w:rPr>
                <w:szCs w:val="22"/>
              </w:rPr>
            </w:pPr>
            <w:r>
              <w:rPr>
                <w:szCs w:val="22"/>
              </w:rPr>
            </w:r>
          </w:p>
        </w:tc>
        <w:tc>
          <w:tcPr>
            <w:tcW w:w="148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r>
          </w:p>
        </w:tc>
      </w:tr>
      <w:tr>
        <w:trPr>
          <w:trHeight w:val="345" w:hRule="atLeast"/>
        </w:trPr>
        <w:tc>
          <w:tcPr>
            <w:tcW w:w="9071" w:type="dxa"/>
            <w:gridSpan w:val="7"/>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b/>
                <w:bCs/>
                <w:szCs w:val="22"/>
              </w:rPr>
              <w:t>Krátkodobé finančné výpomoci</w:t>
            </w:r>
          </w:p>
        </w:tc>
      </w:tr>
      <w:tr>
        <w:trPr>
          <w:trHeight w:val="397" w:hRule="atLeast"/>
        </w:trPr>
        <w:tc>
          <w:tcPr>
            <w:tcW w:w="218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32" w:type="dxa"/>
            </w:tcMar>
            <w:vAlign w:val="center"/>
          </w:tcPr>
          <w:p>
            <w:pPr>
              <w:pStyle w:val="Normal"/>
              <w:spacing w:lineRule="auto" w:line="240" w:before="0" w:after="0"/>
              <w:rPr>
                <w:b/>
                <w:b/>
                <w:bCs/>
                <w:szCs w:val="22"/>
              </w:rPr>
            </w:pPr>
            <w:r>
              <w:rPr>
                <w:b/>
                <w:bCs/>
                <w:szCs w:val="22"/>
              </w:rPr>
            </w:r>
          </w:p>
        </w:tc>
        <w:tc>
          <w:tcPr>
            <w:tcW w:w="859"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r>
          </w:p>
        </w:tc>
        <w:tc>
          <w:tcPr>
            <w:tcW w:w="80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2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3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10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92" w:type="dxa"/>
            </w:tcMar>
          </w:tcPr>
          <w:p>
            <w:pPr>
              <w:pStyle w:val="Normal"/>
              <w:spacing w:lineRule="auto" w:line="240" w:before="0" w:after="0"/>
              <w:rPr>
                <w:szCs w:val="22"/>
              </w:rPr>
            </w:pPr>
            <w:r>
              <w:rPr>
                <w:szCs w:val="22"/>
              </w:rPr>
            </w:r>
          </w:p>
        </w:tc>
        <w:tc>
          <w:tcPr>
            <w:tcW w:w="148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r>
          </w:p>
        </w:tc>
      </w:tr>
      <w:tr>
        <w:trPr>
          <w:trHeight w:val="397" w:hRule="atLeast"/>
        </w:trPr>
        <w:tc>
          <w:tcPr>
            <w:tcW w:w="2180"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32" w:type="dxa"/>
            </w:tcMar>
            <w:vAlign w:val="center"/>
          </w:tcPr>
          <w:p>
            <w:pPr>
              <w:pStyle w:val="Normal"/>
              <w:spacing w:lineRule="auto" w:line="240" w:before="0" w:after="0"/>
              <w:rPr>
                <w:b/>
                <w:b/>
                <w:bCs/>
                <w:szCs w:val="22"/>
              </w:rPr>
            </w:pPr>
            <w:r>
              <w:rPr>
                <w:b/>
                <w:bCs/>
                <w:szCs w:val="22"/>
              </w:rPr>
            </w:r>
          </w:p>
        </w:tc>
        <w:tc>
          <w:tcPr>
            <w:tcW w:w="859"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32" w:type="dxa"/>
            </w:tcMar>
            <w:vAlign w:val="center"/>
          </w:tcPr>
          <w:p>
            <w:pPr>
              <w:pStyle w:val="Normal"/>
              <w:spacing w:lineRule="auto" w:line="240" w:before="0" w:after="0"/>
              <w:rPr>
                <w:szCs w:val="22"/>
              </w:rPr>
            </w:pPr>
            <w:r>
              <w:rPr>
                <w:szCs w:val="22"/>
              </w:rPr>
            </w:r>
          </w:p>
        </w:tc>
        <w:tc>
          <w:tcPr>
            <w:tcW w:w="802"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251"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385"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92" w:type="dxa"/>
            </w:tcMar>
            <w:vAlign w:val="center"/>
          </w:tcPr>
          <w:p>
            <w:pPr>
              <w:pStyle w:val="Normal"/>
              <w:spacing w:lineRule="auto" w:line="240" w:before="0" w:after="0"/>
              <w:rPr>
                <w:szCs w:val="22"/>
              </w:rPr>
            </w:pPr>
            <w:r>
              <w:rPr>
                <w:szCs w:val="22"/>
              </w:rPr>
            </w:r>
          </w:p>
        </w:tc>
        <w:tc>
          <w:tcPr>
            <w:tcW w:w="1107"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92" w:type="dxa"/>
            </w:tcMar>
          </w:tcPr>
          <w:p>
            <w:pPr>
              <w:pStyle w:val="Normal"/>
              <w:spacing w:lineRule="auto" w:line="240" w:before="0" w:after="0"/>
              <w:rPr>
                <w:szCs w:val="22"/>
              </w:rPr>
            </w:pPr>
            <w:r>
              <w:rPr>
                <w:szCs w:val="22"/>
              </w:rPr>
            </w:r>
          </w:p>
        </w:tc>
        <w:tc>
          <w:tcPr>
            <w:tcW w:w="1487"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92" w:type="dxa"/>
            </w:tcMar>
            <w:vAlign w:val="center"/>
          </w:tcPr>
          <w:p>
            <w:pPr>
              <w:pStyle w:val="Normal"/>
              <w:spacing w:lineRule="auto" w:line="240" w:before="0" w:after="0"/>
              <w:rPr>
                <w:szCs w:val="22"/>
              </w:rPr>
            </w:pPr>
            <w:r>
              <w:rPr>
                <w:szCs w:val="22"/>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11"/>
        </w:numPr>
        <w:spacing w:lineRule="auto" w:line="240" w:before="0" w:after="0"/>
        <w:rPr>
          <w:rFonts w:ascii="Arial" w:hAnsi="Arial"/>
          <w:sz w:val="24"/>
          <w:szCs w:val="24"/>
          <w:lang w:eastAsia="sk-SK"/>
        </w:rPr>
      </w:pPr>
      <w:r>
        <w:rPr>
          <w:rFonts w:ascii="Arial" w:hAnsi="Arial"/>
          <w:sz w:val="24"/>
          <w:szCs w:val="24"/>
          <w:lang w:eastAsia="sk-SK"/>
        </w:rPr>
        <w:t xml:space="preserve">Významné položky časového rozlíšenia výdavkov budúcich období : </w:t>
        <w:br/>
      </w:r>
    </w:p>
    <w:p>
      <w:pPr>
        <w:pStyle w:val="Normal"/>
        <w:numPr>
          <w:ilvl w:val="0"/>
          <w:numId w:val="11"/>
        </w:numPr>
        <w:spacing w:lineRule="auto" w:line="240" w:before="0" w:after="0"/>
        <w:rPr>
          <w:rFonts w:ascii="Arial" w:hAnsi="Arial"/>
          <w:sz w:val="24"/>
          <w:szCs w:val="24"/>
          <w:lang w:eastAsia="sk-SK"/>
        </w:rPr>
      </w:pPr>
      <w:r>
        <w:rPr>
          <w:rFonts w:ascii="Arial" w:hAnsi="Arial"/>
          <w:sz w:val="24"/>
          <w:szCs w:val="24"/>
          <w:lang w:eastAsia="sk-SK"/>
        </w:rPr>
        <w:t xml:space="preserve">Významné položky derivátov </w:t>
      </w:r>
    </w:p>
    <w:p>
      <w:pPr>
        <w:pStyle w:val="Nzov"/>
        <w:spacing w:beforeAutospacing="0" w:before="0" w:after="0"/>
        <w:jc w:val="left"/>
        <w:rPr>
          <w:szCs w:val="22"/>
        </w:rPr>
      </w:pPr>
      <w:r>
        <w:rPr>
          <w:szCs w:val="22"/>
        </w:rPr>
      </w:r>
    </w:p>
    <w:p>
      <w:pPr>
        <w:pStyle w:val="Nzov"/>
        <w:numPr>
          <w:ilvl w:val="0"/>
          <w:numId w:val="19"/>
        </w:numPr>
        <w:spacing w:beforeAutospacing="0" w:before="0" w:after="0"/>
        <w:ind w:left="284" w:hanging="142"/>
        <w:jc w:val="both"/>
        <w:rPr>
          <w:szCs w:val="22"/>
        </w:rPr>
      </w:pPr>
      <w:r>
        <w:rPr>
          <w:szCs w:val="22"/>
        </w:rPr>
        <w:t xml:space="preserve">Informácie k prílohe č. 3 časti  G. písm. k) o významných položkách derivátov za bežné účtovné obdobie </w:t>
      </w:r>
    </w:p>
    <w:p>
      <w:pPr>
        <w:pStyle w:val="Normal"/>
        <w:spacing w:lineRule="auto" w:line="240" w:before="0" w:after="0"/>
        <w:rPr>
          <w:szCs w:val="22"/>
        </w:rPr>
      </w:pPr>
      <w:r>
        <w:rPr>
          <w:szCs w:val="22"/>
        </w:rPr>
        <w:t>Tabuľka č. 1</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8" w:type="dxa"/>
          <w:bottom w:w="0" w:type="dxa"/>
          <w:right w:w="108" w:type="dxa"/>
        </w:tblCellMar>
        <w:tblLook w:val="00a0"/>
      </w:tblPr>
      <w:tblGrid>
        <w:gridCol w:w="3855"/>
        <w:gridCol w:w="1389"/>
        <w:gridCol w:w="14"/>
        <w:gridCol w:w="1505"/>
        <w:gridCol w:w="2308"/>
      </w:tblGrid>
      <w:tr>
        <w:trPr>
          <w:trHeight w:val="278" w:hRule="atLeast"/>
        </w:trPr>
        <w:tc>
          <w:tcPr>
            <w:tcW w:w="3855" w:type="dxa"/>
            <w:vMerge w:val="restart"/>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Názov položky</w:t>
            </w:r>
          </w:p>
        </w:tc>
        <w:tc>
          <w:tcPr>
            <w:tcW w:w="2908"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Účtovná hodnota</w:t>
            </w:r>
          </w:p>
        </w:tc>
        <w:tc>
          <w:tcPr>
            <w:tcW w:w="2308" w:type="dxa"/>
            <w:vMerge w:val="restart"/>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Dohodnutá cena podkladového nástroja</w:t>
            </w:r>
          </w:p>
        </w:tc>
      </w:tr>
      <w:tr>
        <w:trPr>
          <w:trHeight w:val="284" w:hRule="atLeast"/>
        </w:trPr>
        <w:tc>
          <w:tcPr>
            <w:tcW w:w="3855" w:type="dxa"/>
            <w:vMerge w:val="continue"/>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r>
          </w:p>
        </w:tc>
        <w:tc>
          <w:tcPr>
            <w:tcW w:w="1389"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Normal"/>
              <w:spacing w:lineRule="auto" w:line="240" w:before="0" w:after="0"/>
              <w:jc w:val="center"/>
              <w:rPr>
                <w:b/>
                <w:b/>
                <w:szCs w:val="22"/>
              </w:rPr>
            </w:pPr>
            <w:r>
              <w:rPr>
                <w:b/>
                <w:szCs w:val="22"/>
              </w:rPr>
              <w:t>pohľadávky</w:t>
            </w:r>
          </w:p>
        </w:tc>
        <w:tc>
          <w:tcPr>
            <w:tcW w:w="1519" w:type="dxa"/>
            <w:gridSpan w:val="2"/>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Normal"/>
              <w:spacing w:lineRule="auto" w:line="240" w:before="0" w:after="0"/>
              <w:jc w:val="center"/>
              <w:rPr>
                <w:b/>
                <w:b/>
                <w:szCs w:val="22"/>
              </w:rPr>
            </w:pPr>
            <w:r>
              <w:rPr>
                <w:b/>
                <w:szCs w:val="22"/>
              </w:rPr>
              <w:t>záväzku</w:t>
            </w:r>
          </w:p>
        </w:tc>
        <w:tc>
          <w:tcPr>
            <w:tcW w:w="2308" w:type="dxa"/>
            <w:vMerge w:val="continue"/>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r>
          </w:p>
        </w:tc>
      </w:tr>
      <w:tr>
        <w:trPr>
          <w:trHeight w:val="106" w:hRule="atLeast"/>
        </w:trPr>
        <w:tc>
          <w:tcPr>
            <w:tcW w:w="385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A</w:t>
            </w:r>
          </w:p>
        </w:tc>
        <w:tc>
          <w:tcPr>
            <w:tcW w:w="138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B</w:t>
            </w:r>
          </w:p>
        </w:tc>
        <w:tc>
          <w:tcPr>
            <w:tcW w:w="1519"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c</w:t>
            </w:r>
          </w:p>
        </w:tc>
        <w:tc>
          <w:tcPr>
            <w:tcW w:w="230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D</w:t>
            </w:r>
          </w:p>
        </w:tc>
      </w:tr>
      <w:tr>
        <w:trPr>
          <w:trHeight w:val="330" w:hRule="atLeast"/>
        </w:trPr>
        <w:tc>
          <w:tcPr>
            <w:tcW w:w="385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b/>
                <w:b/>
                <w:szCs w:val="22"/>
              </w:rPr>
            </w:pPr>
            <w:r>
              <w:rPr>
                <w:b/>
                <w:szCs w:val="22"/>
              </w:rPr>
              <w:t>Deriváty určené na obchodovanie, z toho: </w:t>
            </w:r>
          </w:p>
        </w:tc>
        <w:tc>
          <w:tcPr>
            <w:tcW w:w="1389" w:type="dxa"/>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8" w:type="dxa"/>
            </w:tcMar>
            <w:vAlign w:val="center"/>
          </w:tcPr>
          <w:p>
            <w:pPr>
              <w:pStyle w:val="Normal"/>
              <w:spacing w:lineRule="auto" w:line="240" w:before="0" w:after="0"/>
              <w:rPr>
                <w:b/>
                <w:b/>
                <w:szCs w:val="22"/>
              </w:rPr>
            </w:pPr>
            <w:r>
              <w:rPr>
                <w:b/>
                <w:szCs w:val="22"/>
              </w:rPr>
            </w:r>
          </w:p>
        </w:tc>
        <w:tc>
          <w:tcPr>
            <w:tcW w:w="1519"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60" w:type="dxa"/>
            </w:tcMar>
            <w:vAlign w:val="center"/>
          </w:tcPr>
          <w:p>
            <w:pPr>
              <w:pStyle w:val="Normal"/>
              <w:spacing w:lineRule="auto" w:line="240" w:before="0" w:after="0"/>
              <w:rPr>
                <w:b/>
                <w:b/>
                <w:szCs w:val="22"/>
              </w:rPr>
            </w:pPr>
            <w:r>
              <w:rPr>
                <w:b/>
                <w:szCs w:val="22"/>
              </w:rPr>
            </w:r>
          </w:p>
        </w:tc>
        <w:tc>
          <w:tcPr>
            <w:tcW w:w="2308" w:type="dxa"/>
            <w:tcBorders>
              <w:top w:val="single" w:sz="12"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60" w:type="dxa"/>
            </w:tcMar>
            <w:vAlign w:val="center"/>
          </w:tcPr>
          <w:p>
            <w:pPr>
              <w:pStyle w:val="Normal"/>
              <w:spacing w:lineRule="auto" w:line="240" w:before="0" w:after="0"/>
              <w:rPr>
                <w:b/>
                <w:b/>
                <w:szCs w:val="22"/>
              </w:rPr>
            </w:pPr>
            <w:r>
              <w:rPr>
                <w:b/>
                <w:szCs w:val="22"/>
              </w:rPr>
            </w:r>
          </w:p>
        </w:tc>
      </w:tr>
      <w:tr>
        <w:trPr>
          <w:trHeight w:val="397" w:hRule="atLeast"/>
        </w:trPr>
        <w:tc>
          <w:tcPr>
            <w:tcW w:w="3855"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389"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519" w:type="dxa"/>
            <w:gridSpan w:val="2"/>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2308"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3855"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389"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519" w:type="dxa"/>
            <w:gridSpan w:val="2"/>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230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3855"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389"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519" w:type="dxa"/>
            <w:gridSpan w:val="2"/>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230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3855"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389" w:type="dxa"/>
            <w:tcBorders>
              <w:top w:val="single" w:sz="6"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519" w:type="dxa"/>
            <w:gridSpan w:val="2"/>
            <w:tcBorders>
              <w:top w:val="single" w:sz="6"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2308"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385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b/>
                <w:b/>
                <w:szCs w:val="22"/>
              </w:rPr>
            </w:pPr>
            <w:r>
              <w:rPr>
                <w:b/>
                <w:szCs w:val="22"/>
              </w:rPr>
              <w:t>Zabezpečovacie deriváty, z toho:</w:t>
            </w:r>
          </w:p>
        </w:tc>
        <w:tc>
          <w:tcPr>
            <w:tcW w:w="1389"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519" w:type="dxa"/>
            <w:gridSpan w:val="2"/>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230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3855"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403" w:type="dxa"/>
            <w:gridSpan w:val="2"/>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505"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2308"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3855"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403" w:type="dxa"/>
            <w:gridSpan w:val="2"/>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505"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2308"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3855"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403" w:type="dxa"/>
            <w:gridSpan w:val="2"/>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505"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2308"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3855"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b/>
                <w:b/>
                <w:szCs w:val="22"/>
              </w:rPr>
            </w:pPr>
            <w:r>
              <w:rPr>
                <w:b/>
                <w:szCs w:val="22"/>
              </w:rPr>
            </w:r>
          </w:p>
        </w:tc>
        <w:tc>
          <w:tcPr>
            <w:tcW w:w="1403" w:type="dxa"/>
            <w:gridSpan w:val="2"/>
            <w:tcBorders>
              <w:top w:val="single" w:sz="6"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505" w:type="dxa"/>
            <w:tcBorders>
              <w:top w:val="single" w:sz="6"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2308"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r>
          </w:p>
        </w:tc>
      </w:tr>
    </w:tbl>
    <w:p>
      <w:pPr>
        <w:pStyle w:val="Normal"/>
        <w:spacing w:lineRule="auto" w:line="240" w:before="0" w:after="0"/>
        <w:rPr>
          <w:szCs w:val="22"/>
        </w:rPr>
      </w:pPr>
      <w:r>
        <w:rPr>
          <w:szCs w:val="22"/>
        </w:rPr>
      </w:r>
    </w:p>
    <w:p>
      <w:pPr>
        <w:pStyle w:val="Normal"/>
        <w:spacing w:lineRule="auto" w:line="240" w:before="0" w:after="0"/>
        <w:rPr>
          <w:szCs w:val="22"/>
        </w:rPr>
      </w:pPr>
      <w:r>
        <w:rPr>
          <w:szCs w:val="22"/>
        </w:rPr>
        <w:t>Tabuľka č. 2</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8" w:type="dxa"/>
          <w:bottom w:w="0" w:type="dxa"/>
          <w:right w:w="108" w:type="dxa"/>
        </w:tblCellMar>
        <w:tblLook w:val="00a0"/>
      </w:tblPr>
      <w:tblGrid>
        <w:gridCol w:w="3860"/>
        <w:gridCol w:w="1643"/>
        <w:gridCol w:w="968"/>
        <w:gridCol w:w="1662"/>
        <w:gridCol w:w="939"/>
      </w:tblGrid>
      <w:tr>
        <w:trPr>
          <w:trHeight w:val="622" w:hRule="atLeast"/>
        </w:trPr>
        <w:tc>
          <w:tcPr>
            <w:tcW w:w="3860" w:type="dxa"/>
            <w:vMerge w:val="restart"/>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Názov položky</w:t>
            </w:r>
          </w:p>
        </w:tc>
        <w:tc>
          <w:tcPr>
            <w:tcW w:w="2611"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Bežné účtovné obdobie</w:t>
            </w:r>
          </w:p>
        </w:tc>
        <w:tc>
          <w:tcPr>
            <w:tcW w:w="2601"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Bezprostredne predchádzajúce účtovné obdobie</w:t>
            </w:r>
          </w:p>
        </w:tc>
      </w:tr>
      <w:tr>
        <w:trPr>
          <w:trHeight w:val="330" w:hRule="atLeast"/>
        </w:trPr>
        <w:tc>
          <w:tcPr>
            <w:tcW w:w="3860" w:type="dxa"/>
            <w:vMerge w:val="continue"/>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r>
          </w:p>
        </w:tc>
        <w:tc>
          <w:tcPr>
            <w:tcW w:w="2611"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 xml:space="preserve">Zmena reálnej hodnoty </w:t>
              <w:br/>
              <w:t>(+/-) s vplyvom na</w:t>
            </w:r>
          </w:p>
        </w:tc>
        <w:tc>
          <w:tcPr>
            <w:tcW w:w="2601"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Zmena reálnej hodnoty (+/-) s vplyvom na</w:t>
            </w:r>
          </w:p>
        </w:tc>
      </w:tr>
      <w:tr>
        <w:trPr>
          <w:trHeight w:val="345" w:hRule="atLeast"/>
        </w:trPr>
        <w:tc>
          <w:tcPr>
            <w:tcW w:w="3860" w:type="dxa"/>
            <w:vMerge w:val="continue"/>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r>
          </w:p>
        </w:tc>
        <w:tc>
          <w:tcPr>
            <w:tcW w:w="1643"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výsledok hospodárenia</w:t>
            </w:r>
          </w:p>
        </w:tc>
        <w:tc>
          <w:tcPr>
            <w:tcW w:w="968"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vlastné imanie</w:t>
            </w:r>
          </w:p>
        </w:tc>
        <w:tc>
          <w:tcPr>
            <w:tcW w:w="1662"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výsledok hospodárenia</w:t>
            </w:r>
          </w:p>
        </w:tc>
        <w:tc>
          <w:tcPr>
            <w:tcW w:w="939"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vlastné imanie</w:t>
            </w:r>
          </w:p>
        </w:tc>
      </w:tr>
      <w:tr>
        <w:trPr>
          <w:trHeight w:val="149" w:hRule="atLeast"/>
        </w:trPr>
        <w:tc>
          <w:tcPr>
            <w:tcW w:w="386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A</w:t>
            </w:r>
          </w:p>
        </w:tc>
        <w:tc>
          <w:tcPr>
            <w:tcW w:w="164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B</w:t>
            </w:r>
          </w:p>
        </w:tc>
        <w:tc>
          <w:tcPr>
            <w:tcW w:w="96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c</w:t>
            </w:r>
          </w:p>
        </w:tc>
        <w:tc>
          <w:tcPr>
            <w:tcW w:w="166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d</w:t>
            </w:r>
          </w:p>
        </w:tc>
        <w:tc>
          <w:tcPr>
            <w:tcW w:w="93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E</w:t>
            </w:r>
          </w:p>
        </w:tc>
      </w:tr>
      <w:tr>
        <w:trPr>
          <w:trHeight w:val="369" w:hRule="atLeast"/>
        </w:trPr>
        <w:tc>
          <w:tcPr>
            <w:tcW w:w="3860"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b/>
                <w:szCs w:val="22"/>
              </w:rPr>
              <w:t>Deriváty určené na obchodovanie, z toho:</w:t>
            </w:r>
          </w:p>
        </w:tc>
        <w:tc>
          <w:tcPr>
            <w:tcW w:w="1643"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968" w:type="dxa"/>
            <w:tcBorders>
              <w:top w:val="single" w:sz="12"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58" w:type="dxa"/>
            </w:tcMar>
            <w:vAlign w:val="center"/>
          </w:tcPr>
          <w:p>
            <w:pPr>
              <w:pStyle w:val="Normal"/>
              <w:spacing w:lineRule="auto" w:line="240" w:before="0" w:after="0"/>
              <w:rPr>
                <w:szCs w:val="22"/>
              </w:rPr>
            </w:pPr>
            <w:r>
              <w:rPr>
                <w:szCs w:val="22"/>
              </w:rPr>
            </w:r>
          </w:p>
        </w:tc>
        <w:tc>
          <w:tcPr>
            <w:tcW w:w="1662"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93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69" w:hRule="atLeast"/>
        </w:trPr>
        <w:tc>
          <w:tcPr>
            <w:tcW w:w="386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643"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968" w:type="dxa"/>
            <w:tcBorders>
              <w:top w:val="single" w:sz="4"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58" w:type="dxa"/>
            </w:tcMar>
            <w:vAlign w:val="center"/>
          </w:tcPr>
          <w:p>
            <w:pPr>
              <w:pStyle w:val="Normal"/>
              <w:spacing w:lineRule="auto" w:line="240" w:before="0" w:after="0"/>
              <w:rPr>
                <w:szCs w:val="22"/>
              </w:rPr>
            </w:pPr>
            <w:r>
              <w:rPr>
                <w:szCs w:val="22"/>
              </w:rPr>
            </w:r>
          </w:p>
        </w:tc>
        <w:tc>
          <w:tcPr>
            <w:tcW w:w="166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93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69" w:hRule="atLeast"/>
        </w:trPr>
        <w:tc>
          <w:tcPr>
            <w:tcW w:w="386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643"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968" w:type="dxa"/>
            <w:tcBorders>
              <w:top w:val="single" w:sz="4"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58" w:type="dxa"/>
            </w:tcMar>
            <w:vAlign w:val="center"/>
          </w:tcPr>
          <w:p>
            <w:pPr>
              <w:pStyle w:val="Normal"/>
              <w:spacing w:lineRule="auto" w:line="240" w:before="0" w:after="0"/>
              <w:rPr>
                <w:szCs w:val="22"/>
              </w:rPr>
            </w:pPr>
            <w:r>
              <w:rPr>
                <w:szCs w:val="22"/>
              </w:rPr>
            </w:r>
          </w:p>
        </w:tc>
        <w:tc>
          <w:tcPr>
            <w:tcW w:w="166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93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69" w:hRule="atLeast"/>
        </w:trPr>
        <w:tc>
          <w:tcPr>
            <w:tcW w:w="3860"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b/>
                <w:b/>
                <w:szCs w:val="22"/>
              </w:rPr>
            </w:pPr>
            <w:r>
              <w:rPr>
                <w:b/>
                <w:szCs w:val="22"/>
              </w:rPr>
            </w:r>
          </w:p>
        </w:tc>
        <w:tc>
          <w:tcPr>
            <w:tcW w:w="1643"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8" w:type="dxa"/>
            </w:tcMar>
            <w:vAlign w:val="center"/>
          </w:tcPr>
          <w:p>
            <w:pPr>
              <w:pStyle w:val="Normal"/>
              <w:spacing w:lineRule="auto" w:line="240" w:before="0" w:after="0"/>
              <w:rPr>
                <w:b/>
                <w:b/>
                <w:szCs w:val="22"/>
              </w:rPr>
            </w:pPr>
            <w:r>
              <w:rPr>
                <w:b/>
                <w:szCs w:val="22"/>
              </w:rPr>
            </w:r>
          </w:p>
        </w:tc>
        <w:tc>
          <w:tcPr>
            <w:tcW w:w="968" w:type="dxa"/>
            <w:tcBorders>
              <w:top w:val="single" w:sz="4" w:space="0" w:color="00000A"/>
              <w:left w:val="single" w:sz="8" w:space="0" w:color="00000A"/>
              <w:bottom w:val="single" w:sz="12" w:space="0" w:color="00000A"/>
              <w:right w:val="single" w:sz="8" w:space="0" w:color="00000A"/>
              <w:insideH w:val="single" w:sz="12" w:space="0" w:color="00000A"/>
              <w:insideV w:val="single" w:sz="8" w:space="0" w:color="00000A"/>
            </w:tcBorders>
            <w:shd w:fill="auto" w:val="clear"/>
            <w:tcMar>
              <w:left w:w="58" w:type="dxa"/>
            </w:tcMar>
            <w:vAlign w:val="center"/>
          </w:tcPr>
          <w:p>
            <w:pPr>
              <w:pStyle w:val="Normal"/>
              <w:spacing w:lineRule="auto" w:line="240" w:before="0" w:after="0"/>
              <w:rPr>
                <w:b/>
                <w:b/>
                <w:szCs w:val="22"/>
              </w:rPr>
            </w:pPr>
            <w:r>
              <w:rPr>
                <w:b/>
                <w:szCs w:val="22"/>
              </w:rPr>
            </w:r>
          </w:p>
        </w:tc>
        <w:tc>
          <w:tcPr>
            <w:tcW w:w="1662"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b/>
                <w:b/>
                <w:szCs w:val="22"/>
              </w:rPr>
            </w:pPr>
            <w:r>
              <w:rPr>
                <w:b/>
                <w:szCs w:val="22"/>
              </w:rPr>
            </w:r>
          </w:p>
        </w:tc>
        <w:tc>
          <w:tcPr>
            <w:tcW w:w="93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b/>
                <w:b/>
                <w:szCs w:val="22"/>
              </w:rPr>
            </w:pPr>
            <w:r>
              <w:rPr>
                <w:b/>
                <w:szCs w:val="22"/>
              </w:rPr>
            </w:r>
          </w:p>
        </w:tc>
      </w:tr>
      <w:tr>
        <w:trPr>
          <w:trHeight w:val="369" w:hRule="atLeast"/>
        </w:trPr>
        <w:tc>
          <w:tcPr>
            <w:tcW w:w="386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b/>
                <w:szCs w:val="22"/>
              </w:rPr>
              <w:t>Zabezpečovacie deriváty, z toho: </w:t>
            </w:r>
          </w:p>
        </w:tc>
        <w:tc>
          <w:tcPr>
            <w:tcW w:w="1643" w:type="dxa"/>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968" w:type="dxa"/>
            <w:tcBorders>
              <w:top w:val="single" w:sz="12" w:space="0" w:color="00000A"/>
              <w:left w:val="single" w:sz="8" w:space="0" w:color="00000A"/>
              <w:bottom w:val="single" w:sz="12" w:space="0" w:color="00000A"/>
              <w:right w:val="single" w:sz="8" w:space="0" w:color="00000A"/>
              <w:insideH w:val="single" w:sz="12" w:space="0" w:color="00000A"/>
              <w:insideV w:val="single" w:sz="8" w:space="0" w:color="00000A"/>
            </w:tcBorders>
            <w:shd w:fill="auto" w:val="clear"/>
            <w:tcMar>
              <w:left w:w="58" w:type="dxa"/>
            </w:tcMar>
            <w:vAlign w:val="center"/>
          </w:tcPr>
          <w:p>
            <w:pPr>
              <w:pStyle w:val="Normal"/>
              <w:spacing w:lineRule="auto" w:line="240" w:before="0" w:after="0"/>
              <w:rPr>
                <w:szCs w:val="22"/>
              </w:rPr>
            </w:pPr>
            <w:r>
              <w:rPr>
                <w:szCs w:val="22"/>
              </w:rPr>
            </w:r>
          </w:p>
        </w:tc>
        <w:tc>
          <w:tcPr>
            <w:tcW w:w="1662"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93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69" w:hRule="atLeast"/>
        </w:trPr>
        <w:tc>
          <w:tcPr>
            <w:tcW w:w="3860"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643"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968" w:type="dxa"/>
            <w:tcBorders>
              <w:top w:val="single" w:sz="12"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58" w:type="dxa"/>
            </w:tcMar>
            <w:vAlign w:val="center"/>
          </w:tcPr>
          <w:p>
            <w:pPr>
              <w:pStyle w:val="Normal"/>
              <w:spacing w:lineRule="auto" w:line="240" w:before="0" w:after="0"/>
              <w:rPr>
                <w:szCs w:val="22"/>
              </w:rPr>
            </w:pPr>
            <w:r>
              <w:rPr>
                <w:szCs w:val="22"/>
              </w:rPr>
            </w:r>
          </w:p>
        </w:tc>
        <w:tc>
          <w:tcPr>
            <w:tcW w:w="1662"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93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69" w:hRule="atLeast"/>
        </w:trPr>
        <w:tc>
          <w:tcPr>
            <w:tcW w:w="386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r>
          </w:p>
        </w:tc>
        <w:tc>
          <w:tcPr>
            <w:tcW w:w="1643"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968" w:type="dxa"/>
            <w:tcBorders>
              <w:top w:val="single" w:sz="4"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58" w:type="dxa"/>
            </w:tcMar>
            <w:vAlign w:val="center"/>
          </w:tcPr>
          <w:p>
            <w:pPr>
              <w:pStyle w:val="Normal"/>
              <w:spacing w:lineRule="auto" w:line="240" w:before="0" w:after="0"/>
              <w:rPr>
                <w:szCs w:val="22"/>
              </w:rPr>
            </w:pPr>
            <w:r>
              <w:rPr>
                <w:szCs w:val="22"/>
              </w:rPr>
            </w:r>
          </w:p>
        </w:tc>
        <w:tc>
          <w:tcPr>
            <w:tcW w:w="166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93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69" w:hRule="atLeast"/>
        </w:trPr>
        <w:tc>
          <w:tcPr>
            <w:tcW w:w="3860"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b/>
                <w:b/>
                <w:szCs w:val="22"/>
              </w:rPr>
            </w:pPr>
            <w:r>
              <w:rPr>
                <w:b/>
                <w:szCs w:val="22"/>
              </w:rPr>
            </w:r>
          </w:p>
        </w:tc>
        <w:tc>
          <w:tcPr>
            <w:tcW w:w="1643" w:type="dxa"/>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968" w:type="dxa"/>
            <w:tcBorders>
              <w:top w:val="single" w:sz="12" w:space="0" w:color="00000A"/>
              <w:left w:val="single" w:sz="8" w:space="0" w:color="00000A"/>
              <w:bottom w:val="single" w:sz="12" w:space="0" w:color="00000A"/>
              <w:right w:val="single" w:sz="8" w:space="0" w:color="00000A"/>
              <w:insideH w:val="single" w:sz="12" w:space="0" w:color="00000A"/>
              <w:insideV w:val="single" w:sz="8" w:space="0" w:color="00000A"/>
            </w:tcBorders>
            <w:shd w:fill="auto" w:val="clear"/>
            <w:tcMar>
              <w:left w:w="58" w:type="dxa"/>
            </w:tcMar>
            <w:vAlign w:val="center"/>
          </w:tcPr>
          <w:p>
            <w:pPr>
              <w:pStyle w:val="Normal"/>
              <w:spacing w:lineRule="auto" w:line="240" w:before="0" w:after="0"/>
              <w:rPr>
                <w:szCs w:val="22"/>
              </w:rPr>
            </w:pPr>
            <w:r>
              <w:rPr>
                <w:szCs w:val="22"/>
              </w:rPr>
            </w:r>
          </w:p>
        </w:tc>
        <w:tc>
          <w:tcPr>
            <w:tcW w:w="1662"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93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11"/>
        </w:numPr>
        <w:spacing w:lineRule="auto" w:line="240" w:before="0" w:after="0"/>
        <w:rPr>
          <w:rFonts w:ascii="Arial" w:hAnsi="Arial"/>
          <w:sz w:val="24"/>
          <w:szCs w:val="24"/>
          <w:lang w:eastAsia="sk-SK"/>
        </w:rPr>
      </w:pPr>
      <w:r>
        <w:rPr>
          <w:rFonts w:ascii="Arial" w:hAnsi="Arial"/>
          <w:sz w:val="24"/>
          <w:szCs w:val="24"/>
          <w:lang w:eastAsia="sk-SK"/>
        </w:rPr>
        <w:t>Majetok a záväzky zabezpečené derivátmi :</w:t>
      </w:r>
    </w:p>
    <w:p>
      <w:pPr>
        <w:pStyle w:val="Nzov"/>
        <w:keepNext/>
        <w:widowControl w:val="false"/>
        <w:numPr>
          <w:ilvl w:val="0"/>
          <w:numId w:val="19"/>
        </w:numPr>
        <w:spacing w:beforeAutospacing="0" w:before="0" w:after="0"/>
        <w:ind w:left="567" w:hanging="425"/>
        <w:jc w:val="left"/>
        <w:rPr>
          <w:szCs w:val="22"/>
        </w:rPr>
      </w:pPr>
      <w:r>
        <w:rPr>
          <w:szCs w:val="22"/>
        </w:rPr>
        <w:t>Informácie k prílohe č. 3 časti G. písm. l) o položkách zabezpečených derivátmi</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8" w:type="dxa"/>
          <w:bottom w:w="0" w:type="dxa"/>
          <w:right w:w="108" w:type="dxa"/>
        </w:tblCellMar>
        <w:tblLook w:val="00a0"/>
      </w:tblPr>
      <w:tblGrid>
        <w:gridCol w:w="5176"/>
        <w:gridCol w:w="1938"/>
        <w:gridCol w:w="1958"/>
      </w:tblGrid>
      <w:tr>
        <w:trPr>
          <w:trHeight w:val="352" w:hRule="atLeast"/>
        </w:trPr>
        <w:tc>
          <w:tcPr>
            <w:tcW w:w="5176" w:type="dxa"/>
            <w:vMerge w:val="restart"/>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Zabezpečovaná položka</w:t>
            </w:r>
          </w:p>
        </w:tc>
        <w:tc>
          <w:tcPr>
            <w:tcW w:w="3896" w:type="dxa"/>
            <w:gridSpan w:val="2"/>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Reálna hodnota</w:t>
            </w:r>
          </w:p>
        </w:tc>
      </w:tr>
      <w:tr>
        <w:trPr>
          <w:trHeight w:val="808" w:hRule="atLeast"/>
        </w:trPr>
        <w:tc>
          <w:tcPr>
            <w:tcW w:w="5176" w:type="dxa"/>
            <w:vMerge w:val="continue"/>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r>
          </w:p>
        </w:tc>
        <w:tc>
          <w:tcPr>
            <w:tcW w:w="1938"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Bežné účtovné obdobie</w:t>
            </w:r>
          </w:p>
        </w:tc>
        <w:tc>
          <w:tcPr>
            <w:tcW w:w="1958"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Bezprostredne predchádzajúce účtovné obdobie</w:t>
            </w:r>
          </w:p>
        </w:tc>
      </w:tr>
      <w:tr>
        <w:trPr>
          <w:trHeight w:val="167" w:hRule="atLeast"/>
        </w:trPr>
        <w:tc>
          <w:tcPr>
            <w:tcW w:w="517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A</w:t>
            </w:r>
          </w:p>
        </w:tc>
        <w:tc>
          <w:tcPr>
            <w:tcW w:w="193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B</w:t>
            </w:r>
          </w:p>
        </w:tc>
        <w:tc>
          <w:tcPr>
            <w:tcW w:w="195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C</w:t>
            </w:r>
          </w:p>
        </w:tc>
      </w:tr>
      <w:tr>
        <w:trPr>
          <w:trHeight w:val="369" w:hRule="atLeast"/>
        </w:trPr>
        <w:tc>
          <w:tcPr>
            <w:tcW w:w="5176"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Majetok vykázaný v súvahe</w:t>
            </w:r>
          </w:p>
        </w:tc>
        <w:tc>
          <w:tcPr>
            <w:tcW w:w="1938" w:type="dxa"/>
            <w:tcBorders>
              <w:top w:val="single" w:sz="12"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958"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78" w:type="dxa"/>
            </w:tcMar>
            <w:vAlign w:val="center"/>
          </w:tcPr>
          <w:p>
            <w:pPr>
              <w:pStyle w:val="Normal"/>
              <w:spacing w:lineRule="auto" w:line="240" w:before="0" w:after="0"/>
              <w:rPr>
                <w:szCs w:val="22"/>
              </w:rPr>
            </w:pPr>
            <w:r>
              <w:rPr>
                <w:szCs w:val="22"/>
              </w:rPr>
              <w:t> </w:t>
            </w:r>
          </w:p>
        </w:tc>
      </w:tr>
      <w:tr>
        <w:trPr>
          <w:trHeight w:val="369" w:hRule="atLeast"/>
        </w:trPr>
        <w:tc>
          <w:tcPr>
            <w:tcW w:w="517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Záväzok vykázaný v súvahe</w:t>
            </w:r>
          </w:p>
        </w:tc>
        <w:tc>
          <w:tcPr>
            <w:tcW w:w="1938" w:type="dxa"/>
            <w:tcBorders>
              <w:top w:val="single" w:sz="4"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958"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78" w:type="dxa"/>
            </w:tcMar>
            <w:vAlign w:val="center"/>
          </w:tcPr>
          <w:p>
            <w:pPr>
              <w:pStyle w:val="Normal"/>
              <w:spacing w:lineRule="auto" w:line="240" w:before="0" w:after="0"/>
              <w:rPr>
                <w:szCs w:val="22"/>
              </w:rPr>
            </w:pPr>
            <w:r>
              <w:rPr>
                <w:szCs w:val="22"/>
              </w:rPr>
              <w:t> </w:t>
            </w:r>
          </w:p>
        </w:tc>
      </w:tr>
      <w:tr>
        <w:trPr>
          <w:trHeight w:val="369" w:hRule="atLeast"/>
        </w:trPr>
        <w:tc>
          <w:tcPr>
            <w:tcW w:w="5176"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Zmluvy, ktoré sa neúčtujú na súvahových účtoch</w:t>
            </w:r>
          </w:p>
        </w:tc>
        <w:tc>
          <w:tcPr>
            <w:tcW w:w="1938" w:type="dxa"/>
            <w:tcBorders>
              <w:top w:val="single" w:sz="6" w:space="0" w:color="00000A"/>
              <w:left w:val="single" w:sz="12" w:space="0" w:color="00000A"/>
              <w:bottom w:val="single" w:sz="6" w:space="0" w:color="00000A"/>
              <w:right w:val="single" w:sz="8" w:space="0" w:color="00000A"/>
              <w:insideH w:val="single" w:sz="6"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958" w:type="dxa"/>
            <w:tcBorders>
              <w:top w:val="single" w:sz="6"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78" w:type="dxa"/>
            </w:tcMar>
            <w:vAlign w:val="center"/>
          </w:tcPr>
          <w:p>
            <w:pPr>
              <w:pStyle w:val="Normal"/>
              <w:spacing w:lineRule="auto" w:line="240" w:before="0" w:after="0"/>
              <w:rPr>
                <w:szCs w:val="22"/>
              </w:rPr>
            </w:pPr>
            <w:r>
              <w:rPr>
                <w:szCs w:val="22"/>
              </w:rPr>
              <w:t> </w:t>
            </w:r>
          </w:p>
        </w:tc>
      </w:tr>
      <w:tr>
        <w:trPr>
          <w:trHeight w:val="369" w:hRule="atLeast"/>
        </w:trPr>
        <w:tc>
          <w:tcPr>
            <w:tcW w:w="5176"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Očakávané budúce obchody dosiaľ zmluvne nezabezpečené</w:t>
            </w:r>
          </w:p>
        </w:tc>
        <w:tc>
          <w:tcPr>
            <w:tcW w:w="1938" w:type="dxa"/>
            <w:tcBorders>
              <w:top w:val="single" w:sz="6"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958" w:type="dxa"/>
            <w:tcBorders>
              <w:top w:val="single" w:sz="6"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78" w:type="dxa"/>
            </w:tcMar>
            <w:vAlign w:val="center"/>
          </w:tcPr>
          <w:p>
            <w:pPr>
              <w:pStyle w:val="Normal"/>
              <w:spacing w:lineRule="auto" w:line="240" w:before="0" w:after="0"/>
              <w:rPr>
                <w:szCs w:val="22"/>
              </w:rPr>
            </w:pPr>
            <w:r>
              <w:rPr>
                <w:szCs w:val="22"/>
              </w:rPr>
              <w:t> </w:t>
            </w:r>
          </w:p>
        </w:tc>
      </w:tr>
      <w:tr>
        <w:trPr>
          <w:trHeight w:val="369" w:hRule="atLeast"/>
        </w:trPr>
        <w:tc>
          <w:tcPr>
            <w:tcW w:w="5176"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b/>
                <w:b/>
                <w:szCs w:val="22"/>
              </w:rPr>
            </w:pPr>
            <w:r>
              <w:rPr>
                <w:b/>
                <w:szCs w:val="22"/>
              </w:rPr>
              <w:t>Spolu</w:t>
            </w:r>
          </w:p>
        </w:tc>
        <w:tc>
          <w:tcPr>
            <w:tcW w:w="1938" w:type="dxa"/>
            <w:tcBorders>
              <w:top w:val="single" w:sz="12" w:space="0" w:color="00000A"/>
              <w:left w:val="single" w:sz="12" w:space="0" w:color="00000A"/>
              <w:bottom w:val="single" w:sz="12" w:space="0" w:color="00000A"/>
              <w:right w:val="single" w:sz="8" w:space="0" w:color="00000A"/>
              <w:insideH w:val="single" w:sz="12" w:space="0" w:color="00000A"/>
              <w:insideV w:val="single" w:sz="8"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958" w:type="dxa"/>
            <w:tcBorders>
              <w:top w:val="single" w:sz="12"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78" w:type="dxa"/>
            </w:tcMar>
            <w:vAlign w:val="center"/>
          </w:tcPr>
          <w:p>
            <w:pPr>
              <w:pStyle w:val="Normal"/>
              <w:spacing w:lineRule="auto" w:line="240" w:before="0" w:after="0"/>
              <w:rPr>
                <w:szCs w:val="22"/>
              </w:rPr>
            </w:pPr>
            <w:r>
              <w:rPr>
                <w:szCs w:val="22"/>
              </w:rPr>
              <w:t> </w:t>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11"/>
        </w:numPr>
        <w:spacing w:lineRule="auto" w:line="240" w:before="0" w:after="0"/>
        <w:rPr>
          <w:rFonts w:ascii="Arial" w:hAnsi="Arial"/>
          <w:sz w:val="24"/>
          <w:szCs w:val="24"/>
          <w:lang w:eastAsia="sk-SK"/>
        </w:rPr>
      </w:pPr>
      <w:r>
        <w:rPr>
          <w:rFonts w:ascii="Arial" w:hAnsi="Arial"/>
          <w:sz w:val="24"/>
          <w:szCs w:val="24"/>
          <w:lang w:eastAsia="sk-SK"/>
        </w:rPr>
        <w:t>Majetok obstaraný formou finančného prenájmu u nájomcu</w:t>
      </w:r>
    </w:p>
    <w:p>
      <w:pPr>
        <w:pStyle w:val="Nzov"/>
        <w:keepNext/>
        <w:widowControl w:val="false"/>
        <w:numPr>
          <w:ilvl w:val="0"/>
          <w:numId w:val="19"/>
        </w:numPr>
        <w:spacing w:beforeAutospacing="0" w:before="0" w:after="0"/>
        <w:ind w:left="567" w:hanging="425"/>
        <w:jc w:val="left"/>
        <w:rPr>
          <w:szCs w:val="22"/>
        </w:rPr>
      </w:pPr>
      <w:r>
        <w:rPr>
          <w:szCs w:val="22"/>
        </w:rPr>
        <w:t>Informácie k prílohe č. 3 časti G. písm. m) o majetku prenajatom formou finančného prenájmu</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8" w:type="dxa"/>
          <w:bottom w:w="0" w:type="dxa"/>
          <w:right w:w="108" w:type="dxa"/>
        </w:tblCellMar>
        <w:tblLook w:val="00a0"/>
      </w:tblPr>
      <w:tblGrid>
        <w:gridCol w:w="1563"/>
        <w:gridCol w:w="1188"/>
        <w:gridCol w:w="1437"/>
        <w:gridCol w:w="1085"/>
        <w:gridCol w:w="5"/>
        <w:gridCol w:w="1203"/>
        <w:gridCol w:w="1485"/>
        <w:gridCol w:w="1105"/>
      </w:tblGrid>
      <w:tr>
        <w:trPr>
          <w:trHeight w:val="571" w:hRule="atLeast"/>
        </w:trPr>
        <w:tc>
          <w:tcPr>
            <w:tcW w:w="1563" w:type="dxa"/>
            <w:vMerge w:val="restart"/>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Názov</w:t>
              <w:br/>
              <w:t>položky</w:t>
            </w:r>
          </w:p>
        </w:tc>
        <w:tc>
          <w:tcPr>
            <w:tcW w:w="3715" w:type="dxa"/>
            <w:gridSpan w:val="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Bežné účtovné obdobie</w:t>
            </w:r>
          </w:p>
        </w:tc>
        <w:tc>
          <w:tcPr>
            <w:tcW w:w="3793"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Bezprostredne predchádzajúce účtovné obdobie</w:t>
            </w:r>
          </w:p>
        </w:tc>
      </w:tr>
      <w:tr>
        <w:trPr>
          <w:trHeight w:val="330" w:hRule="atLeast"/>
        </w:trPr>
        <w:tc>
          <w:tcPr>
            <w:tcW w:w="1563" w:type="dxa"/>
            <w:vMerge w:val="continue"/>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r>
          </w:p>
        </w:tc>
        <w:tc>
          <w:tcPr>
            <w:tcW w:w="3715" w:type="dxa"/>
            <w:gridSpan w:val="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Splatnosť</w:t>
            </w:r>
          </w:p>
        </w:tc>
        <w:tc>
          <w:tcPr>
            <w:tcW w:w="3793"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Splatnosť</w:t>
            </w:r>
          </w:p>
        </w:tc>
      </w:tr>
      <w:tr>
        <w:trPr>
          <w:trHeight w:val="345" w:hRule="atLeast"/>
        </w:trPr>
        <w:tc>
          <w:tcPr>
            <w:tcW w:w="1563" w:type="dxa"/>
            <w:vMerge w:val="continue"/>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r>
          </w:p>
        </w:tc>
        <w:tc>
          <w:tcPr>
            <w:tcW w:w="1188"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do jedného roka vrátane</w:t>
            </w:r>
          </w:p>
        </w:tc>
        <w:tc>
          <w:tcPr>
            <w:tcW w:w="1437"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od jedného roka do piatich rokov vrátane</w:t>
            </w:r>
          </w:p>
        </w:tc>
        <w:tc>
          <w:tcPr>
            <w:tcW w:w="1085"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viac ako päť rokov</w:t>
            </w:r>
          </w:p>
        </w:tc>
        <w:tc>
          <w:tcPr>
            <w:tcW w:w="1208" w:type="dxa"/>
            <w:gridSpan w:val="2"/>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do jedného roka vrátane</w:t>
            </w:r>
          </w:p>
        </w:tc>
        <w:tc>
          <w:tcPr>
            <w:tcW w:w="1485"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od jedného roka do piatich rokov vrátane</w:t>
            </w:r>
          </w:p>
        </w:tc>
        <w:tc>
          <w:tcPr>
            <w:tcW w:w="1105"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viac ako päť rokov</w:t>
            </w:r>
          </w:p>
        </w:tc>
      </w:tr>
      <w:tr>
        <w:trPr>
          <w:trHeight w:val="151" w:hRule="atLeast"/>
        </w:trPr>
        <w:tc>
          <w:tcPr>
            <w:tcW w:w="156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A</w:t>
            </w:r>
          </w:p>
        </w:tc>
        <w:tc>
          <w:tcPr>
            <w:tcW w:w="118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b</w:t>
            </w:r>
          </w:p>
        </w:tc>
        <w:tc>
          <w:tcPr>
            <w:tcW w:w="143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c</w:t>
            </w:r>
          </w:p>
        </w:tc>
        <w:tc>
          <w:tcPr>
            <w:tcW w:w="108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D</w:t>
            </w:r>
          </w:p>
        </w:tc>
        <w:tc>
          <w:tcPr>
            <w:tcW w:w="1208"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e</w:t>
            </w:r>
          </w:p>
        </w:tc>
        <w:tc>
          <w:tcPr>
            <w:tcW w:w="148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F</w:t>
            </w:r>
          </w:p>
        </w:tc>
        <w:tc>
          <w:tcPr>
            <w:tcW w:w="110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G</w:t>
            </w:r>
          </w:p>
        </w:tc>
      </w:tr>
      <w:tr>
        <w:trPr>
          <w:trHeight w:val="397" w:hRule="atLeast"/>
        </w:trPr>
        <w:tc>
          <w:tcPr>
            <w:tcW w:w="1563"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Istina</w:t>
            </w:r>
          </w:p>
        </w:tc>
        <w:tc>
          <w:tcPr>
            <w:tcW w:w="1188"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2361</w:t>
            </w:r>
          </w:p>
        </w:tc>
        <w:tc>
          <w:tcPr>
            <w:tcW w:w="1437"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r>
              <w:rPr>
                <w:szCs w:val="22"/>
              </w:rPr>
              <w:t>4574</w:t>
            </w:r>
          </w:p>
        </w:tc>
        <w:tc>
          <w:tcPr>
            <w:tcW w:w="1085" w:type="dxa"/>
            <w:tcBorders>
              <w:top w:val="single" w:sz="12"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58" w:type="dxa"/>
            </w:tcMar>
            <w:vAlign w:val="center"/>
          </w:tcPr>
          <w:p>
            <w:pPr>
              <w:pStyle w:val="Normal"/>
              <w:spacing w:lineRule="auto" w:line="240" w:before="0" w:after="0"/>
              <w:rPr>
                <w:szCs w:val="22"/>
              </w:rPr>
            </w:pPr>
            <w:r>
              <w:rPr>
                <w:szCs w:val="22"/>
              </w:rPr>
              <w:t> </w:t>
            </w:r>
          </w:p>
        </w:tc>
        <w:tc>
          <w:tcPr>
            <w:tcW w:w="1208" w:type="dxa"/>
            <w:gridSpan w:val="2"/>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r>
              <w:rPr>
                <w:szCs w:val="22"/>
              </w:rPr>
              <w:t>401</w:t>
            </w:r>
          </w:p>
        </w:tc>
        <w:tc>
          <w:tcPr>
            <w:tcW w:w="1485"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xml:space="preserve">11605  </w:t>
            </w:r>
          </w:p>
        </w:tc>
        <w:tc>
          <w:tcPr>
            <w:tcW w:w="1105" w:type="dxa"/>
            <w:tcBorders>
              <w:top w:val="single" w:sz="12"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58" w:type="dxa"/>
            </w:tcMar>
            <w:vAlign w:val="center"/>
          </w:tcPr>
          <w:p>
            <w:pPr>
              <w:pStyle w:val="Normal"/>
              <w:spacing w:lineRule="auto" w:line="240" w:before="0" w:after="0"/>
              <w:rPr>
                <w:szCs w:val="22"/>
              </w:rPr>
            </w:pPr>
            <w:r>
              <w:rPr>
                <w:szCs w:val="22"/>
              </w:rPr>
              <w:t> </w:t>
            </w:r>
          </w:p>
        </w:tc>
      </w:tr>
      <w:tr>
        <w:trPr>
          <w:trHeight w:val="397" w:hRule="atLeast"/>
        </w:trPr>
        <w:tc>
          <w:tcPr>
            <w:tcW w:w="156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Finančný náklad</w:t>
            </w:r>
          </w:p>
        </w:tc>
        <w:tc>
          <w:tcPr>
            <w:tcW w:w="1188"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229</w:t>
            </w:r>
          </w:p>
        </w:tc>
        <w:tc>
          <w:tcPr>
            <w:tcW w:w="143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xml:space="preserve">      </w:t>
            </w:r>
            <w:r>
              <w:rPr>
                <w:szCs w:val="22"/>
              </w:rPr>
              <w:t>173</w:t>
            </w:r>
          </w:p>
        </w:tc>
        <w:tc>
          <w:tcPr>
            <w:tcW w:w="1085" w:type="dxa"/>
            <w:tcBorders>
              <w:top w:val="single" w:sz="4"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58" w:type="dxa"/>
            </w:tcMar>
            <w:vAlign w:val="center"/>
          </w:tcPr>
          <w:p>
            <w:pPr>
              <w:pStyle w:val="Normal"/>
              <w:spacing w:lineRule="auto" w:line="240" w:before="0" w:after="0"/>
              <w:rPr>
                <w:szCs w:val="22"/>
              </w:rPr>
            </w:pPr>
            <w:r>
              <w:rPr>
                <w:szCs w:val="22"/>
              </w:rPr>
              <w:t> </w:t>
            </w:r>
          </w:p>
        </w:tc>
        <w:tc>
          <w:tcPr>
            <w:tcW w:w="1208" w:type="dxa"/>
            <w:gridSpan w:val="2"/>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 xml:space="preserve">30 </w:t>
            </w:r>
          </w:p>
        </w:tc>
        <w:tc>
          <w:tcPr>
            <w:tcW w:w="14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r>
              <w:rPr>
                <w:szCs w:val="22"/>
              </w:rPr>
              <w:t>721</w:t>
            </w:r>
          </w:p>
        </w:tc>
        <w:tc>
          <w:tcPr>
            <w:tcW w:w="1105" w:type="dxa"/>
            <w:tcBorders>
              <w:top w:val="single" w:sz="4"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58" w:type="dxa"/>
            </w:tcMar>
            <w:vAlign w:val="center"/>
          </w:tcPr>
          <w:p>
            <w:pPr>
              <w:pStyle w:val="Normal"/>
              <w:spacing w:lineRule="auto" w:line="240" w:before="0" w:after="0"/>
              <w:rPr>
                <w:szCs w:val="22"/>
              </w:rPr>
            </w:pPr>
            <w:r>
              <w:rPr>
                <w:szCs w:val="22"/>
              </w:rPr>
            </w:r>
          </w:p>
        </w:tc>
      </w:tr>
      <w:tr>
        <w:trPr>
          <w:trHeight w:val="397" w:hRule="atLeast"/>
        </w:trPr>
        <w:tc>
          <w:tcPr>
            <w:tcW w:w="1563"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b/>
                <w:b/>
                <w:szCs w:val="22"/>
              </w:rPr>
            </w:pPr>
            <w:r>
              <w:rPr>
                <w:b/>
                <w:szCs w:val="22"/>
              </w:rPr>
              <w:t>Spolu</w:t>
            </w:r>
          </w:p>
        </w:tc>
        <w:tc>
          <w:tcPr>
            <w:tcW w:w="1188"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2590</w:t>
            </w:r>
          </w:p>
        </w:tc>
        <w:tc>
          <w:tcPr>
            <w:tcW w:w="1437"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r>
              <w:rPr>
                <w:szCs w:val="22"/>
              </w:rPr>
              <w:t>4747</w:t>
            </w:r>
          </w:p>
        </w:tc>
        <w:tc>
          <w:tcPr>
            <w:tcW w:w="1085" w:type="dxa"/>
            <w:tcBorders>
              <w:top w:val="single" w:sz="4" w:space="0" w:color="00000A"/>
              <w:left w:val="single" w:sz="8" w:space="0" w:color="00000A"/>
              <w:bottom w:val="single" w:sz="12" w:space="0" w:color="00000A"/>
              <w:right w:val="single" w:sz="8" w:space="0" w:color="00000A"/>
              <w:insideH w:val="single" w:sz="12" w:space="0" w:color="00000A"/>
              <w:insideV w:val="single" w:sz="8" w:space="0" w:color="00000A"/>
            </w:tcBorders>
            <w:shd w:fill="auto" w:val="clear"/>
            <w:tcMar>
              <w:left w:w="58" w:type="dxa"/>
            </w:tcMar>
            <w:vAlign w:val="center"/>
          </w:tcPr>
          <w:p>
            <w:pPr>
              <w:pStyle w:val="Normal"/>
              <w:spacing w:lineRule="auto" w:line="240" w:before="0" w:after="0"/>
              <w:rPr>
                <w:szCs w:val="22"/>
              </w:rPr>
            </w:pPr>
            <w:r>
              <w:rPr>
                <w:szCs w:val="22"/>
              </w:rPr>
              <w:t> </w:t>
            </w:r>
          </w:p>
        </w:tc>
        <w:tc>
          <w:tcPr>
            <w:tcW w:w="1208" w:type="dxa"/>
            <w:gridSpan w:val="2"/>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r>
              <w:rPr>
                <w:szCs w:val="22"/>
              </w:rPr>
              <w:t>431</w:t>
            </w:r>
          </w:p>
        </w:tc>
        <w:tc>
          <w:tcPr>
            <w:tcW w:w="1485"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r>
              <w:rPr>
                <w:szCs w:val="22"/>
              </w:rPr>
              <w:t>12326</w:t>
            </w:r>
          </w:p>
        </w:tc>
        <w:tc>
          <w:tcPr>
            <w:tcW w:w="1105" w:type="dxa"/>
            <w:tcBorders>
              <w:top w:val="single" w:sz="12" w:space="0" w:color="00000A"/>
              <w:left w:val="single" w:sz="8" w:space="0" w:color="00000A"/>
              <w:bottom w:val="single" w:sz="12" w:space="0" w:color="00000A"/>
              <w:right w:val="single" w:sz="8" w:space="0" w:color="00000A"/>
              <w:insideH w:val="single" w:sz="12" w:space="0" w:color="00000A"/>
              <w:insideV w:val="single" w:sz="8" w:space="0" w:color="00000A"/>
            </w:tcBorders>
            <w:shd w:fill="auto" w:val="clear"/>
            <w:tcMar>
              <w:left w:w="58" w:type="dxa"/>
            </w:tcMar>
            <w:vAlign w:val="center"/>
          </w:tcPr>
          <w:p>
            <w:pPr>
              <w:pStyle w:val="Normal"/>
              <w:spacing w:lineRule="auto" w:line="240" w:before="0" w:after="0"/>
              <w:rPr>
                <w:szCs w:val="22"/>
              </w:rPr>
            </w:pPr>
            <w:r>
              <w:rPr>
                <w:szCs w:val="22"/>
              </w:rPr>
              <w:t> </w:t>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3"/>
        </w:numPr>
        <w:spacing w:lineRule="auto" w:line="240" w:before="0" w:after="0"/>
        <w:rPr>
          <w:rFonts w:ascii="Arial" w:hAnsi="Arial"/>
          <w:b/>
          <w:b/>
          <w:bCs/>
          <w:sz w:val="24"/>
          <w:szCs w:val="24"/>
          <w:lang w:eastAsia="sk-SK"/>
        </w:rPr>
      </w:pPr>
      <w:r>
        <w:rPr>
          <w:rFonts w:ascii="Arial" w:hAnsi="Arial"/>
          <w:b/>
          <w:sz w:val="24"/>
          <w:szCs w:val="24"/>
          <w:lang w:eastAsia="sk-SK"/>
        </w:rPr>
        <w:t xml:space="preserve">Informácie o výnosoch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12"/>
        </w:numPr>
        <w:spacing w:lineRule="auto" w:line="240" w:before="0" w:after="0"/>
        <w:rPr/>
      </w:pPr>
      <w:r>
        <w:rPr>
          <w:rFonts w:ascii="Arial" w:hAnsi="Arial"/>
          <w:sz w:val="24"/>
          <w:szCs w:val="24"/>
          <w:lang w:eastAsia="sk-SK"/>
        </w:rPr>
        <w:t>Tržby za vlastné výkony a tovar      639237 €</w:t>
        <w:br/>
      </w:r>
    </w:p>
    <w:p>
      <w:pPr>
        <w:pStyle w:val="Normal"/>
        <w:numPr>
          <w:ilvl w:val="0"/>
          <w:numId w:val="12"/>
        </w:numPr>
        <w:spacing w:lineRule="auto" w:line="240" w:before="0" w:after="0"/>
        <w:rPr/>
      </w:pPr>
      <w:r>
        <w:rPr>
          <w:rFonts w:ascii="Arial" w:hAnsi="Arial"/>
          <w:sz w:val="24"/>
          <w:szCs w:val="24"/>
          <w:lang w:eastAsia="sk-SK"/>
        </w:rPr>
        <w:t>Zmeny stavu</w:t>
        <w:tab/>
        <w:t xml:space="preserve"> vnútroorganizačných  zásob   - 48886 €</w:t>
      </w:r>
    </w:p>
    <w:p>
      <w:pPr>
        <w:pStyle w:val="Normal"/>
        <w:widowControl w:val="false"/>
        <w:numPr>
          <w:ilvl w:val="0"/>
          <w:numId w:val="0"/>
        </w:numPr>
        <w:spacing w:lineRule="auto" w:line="240" w:before="0" w:after="60"/>
        <w:ind w:left="360" w:hanging="0"/>
        <w:jc w:val="both"/>
        <w:outlineLvl w:val="0"/>
        <w:rPr>
          <w:szCs w:val="22"/>
        </w:rPr>
      </w:pPr>
      <w:r>
        <w:rPr>
          <w:szCs w:val="22"/>
        </w:rPr>
      </w:r>
    </w:p>
    <w:p>
      <w:pPr>
        <w:pStyle w:val="Nzov"/>
        <w:keepNext/>
        <w:widowControl w:val="false"/>
        <w:numPr>
          <w:ilvl w:val="0"/>
          <w:numId w:val="19"/>
        </w:numPr>
        <w:spacing w:beforeAutospacing="0" w:before="0" w:after="0"/>
        <w:ind w:left="567" w:hanging="425"/>
        <w:jc w:val="both"/>
        <w:rPr>
          <w:szCs w:val="22"/>
        </w:rPr>
      </w:pPr>
      <w:r>
        <w:rPr>
          <w:szCs w:val="22"/>
        </w:rPr>
        <w:t>Informácie k prílohe č. 3 časti H. písm. b) o zmene stavu vnútroorganizačných zásob</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8" w:type="dxa"/>
          <w:bottom w:w="0" w:type="dxa"/>
          <w:right w:w="108" w:type="dxa"/>
        </w:tblCellMar>
        <w:tblLook w:val="00a0"/>
      </w:tblPr>
      <w:tblGrid>
        <w:gridCol w:w="2443"/>
        <w:gridCol w:w="1103"/>
        <w:gridCol w:w="1214"/>
        <w:gridCol w:w="1368"/>
        <w:gridCol w:w="1094"/>
        <w:gridCol w:w="1849"/>
      </w:tblGrid>
      <w:tr>
        <w:trPr>
          <w:trHeight w:val="990" w:hRule="atLeast"/>
        </w:trPr>
        <w:tc>
          <w:tcPr>
            <w:tcW w:w="2443" w:type="dxa"/>
            <w:vMerge w:val="restart"/>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Názov položky</w:t>
            </w:r>
          </w:p>
        </w:tc>
        <w:tc>
          <w:tcPr>
            <w:tcW w:w="110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Bežné účtovné obdobie</w:t>
            </w:r>
          </w:p>
        </w:tc>
        <w:tc>
          <w:tcPr>
            <w:tcW w:w="2582"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Bezprostredne predchádzajúce účtovné obdobie</w:t>
            </w:r>
          </w:p>
        </w:tc>
        <w:tc>
          <w:tcPr>
            <w:tcW w:w="2943"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 xml:space="preserve">Zmena stavu vnútroorganizačných </w:t>
            </w:r>
          </w:p>
          <w:p>
            <w:pPr>
              <w:pStyle w:val="TopHeader"/>
              <w:rPr/>
            </w:pPr>
            <w:r>
              <w:rPr/>
              <w:t xml:space="preserve">zásob </w:t>
            </w:r>
          </w:p>
        </w:tc>
      </w:tr>
      <w:tr>
        <w:trPr>
          <w:trHeight w:val="930" w:hRule="atLeast"/>
        </w:trPr>
        <w:tc>
          <w:tcPr>
            <w:tcW w:w="2443" w:type="dxa"/>
            <w:vMerge w:val="continue"/>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r>
          </w:p>
        </w:tc>
        <w:tc>
          <w:tcPr>
            <w:tcW w:w="1103"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Konečný zostatok</w:t>
            </w:r>
          </w:p>
        </w:tc>
        <w:tc>
          <w:tcPr>
            <w:tcW w:w="1214"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Konečný zostatok</w:t>
            </w:r>
          </w:p>
        </w:tc>
        <w:tc>
          <w:tcPr>
            <w:tcW w:w="1368"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Začiatočný stav</w:t>
            </w:r>
          </w:p>
        </w:tc>
        <w:tc>
          <w:tcPr>
            <w:tcW w:w="1094"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Bežné účtovné obdobie</w:t>
            </w:r>
          </w:p>
        </w:tc>
        <w:tc>
          <w:tcPr>
            <w:tcW w:w="1849"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Bezprostredne predchádzajúce účtovné obdobie</w:t>
            </w:r>
          </w:p>
        </w:tc>
      </w:tr>
      <w:tr>
        <w:trPr>
          <w:trHeight w:val="144" w:hRule="atLeast"/>
        </w:trPr>
        <w:tc>
          <w:tcPr>
            <w:tcW w:w="244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A</w:t>
            </w:r>
          </w:p>
        </w:tc>
        <w:tc>
          <w:tcPr>
            <w:tcW w:w="110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b</w:t>
            </w:r>
          </w:p>
        </w:tc>
        <w:tc>
          <w:tcPr>
            <w:tcW w:w="1214"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C</w:t>
            </w:r>
          </w:p>
        </w:tc>
        <w:tc>
          <w:tcPr>
            <w:tcW w:w="13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D</w:t>
            </w:r>
          </w:p>
        </w:tc>
        <w:tc>
          <w:tcPr>
            <w:tcW w:w="1094"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e</w:t>
            </w:r>
          </w:p>
        </w:tc>
        <w:tc>
          <w:tcPr>
            <w:tcW w:w="18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F</w:t>
            </w:r>
          </w:p>
        </w:tc>
      </w:tr>
      <w:tr>
        <w:trPr>
          <w:trHeight w:val="567" w:hRule="atLeast"/>
        </w:trPr>
        <w:tc>
          <w:tcPr>
            <w:tcW w:w="2443"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Nedokončená výroba </w:t>
              <w:br/>
              <w:t>a polotovary vlastnej výroby</w:t>
            </w:r>
          </w:p>
        </w:tc>
        <w:tc>
          <w:tcPr>
            <w:tcW w:w="1103" w:type="dxa"/>
            <w:tcBorders>
              <w:top w:val="single" w:sz="12" w:space="0" w:color="00000A"/>
              <w:left w:val="single" w:sz="12" w:space="0" w:color="00000A"/>
              <w:bottom w:val="single" w:sz="4" w:space="0" w:color="00000A"/>
              <w:right w:val="single" w:sz="6" w:space="0" w:color="00000A"/>
              <w:insideH w:val="single" w:sz="4" w:space="0" w:color="00000A"/>
              <w:insideV w:val="single" w:sz="6" w:space="0" w:color="00000A"/>
            </w:tcBorders>
            <w:shd w:fill="auto" w:val="clear"/>
            <w:tcMar>
              <w:left w:w="18" w:type="dxa"/>
            </w:tcMar>
            <w:vAlign w:val="center"/>
          </w:tcPr>
          <w:p>
            <w:pPr>
              <w:pStyle w:val="Normal"/>
              <w:spacing w:lineRule="auto" w:line="240" w:before="0" w:after="0"/>
              <w:rPr/>
            </w:pPr>
            <w:r>
              <w:rPr>
                <w:szCs w:val="22"/>
              </w:rPr>
              <w:t> </w:t>
            </w:r>
            <w:r>
              <w:rPr>
                <w:szCs w:val="22"/>
              </w:rPr>
              <w:t>89335</w:t>
            </w:r>
          </w:p>
        </w:tc>
        <w:tc>
          <w:tcPr>
            <w:tcW w:w="1214" w:type="dxa"/>
            <w:tcBorders>
              <w:top w:val="single" w:sz="12" w:space="0" w:color="00000A"/>
              <w:left w:val="single" w:sz="6" w:space="0" w:color="00000A"/>
              <w:bottom w:val="single" w:sz="4" w:space="0" w:color="00000A"/>
              <w:right w:val="single" w:sz="4" w:space="0" w:color="00000A"/>
              <w:insideH w:val="single" w:sz="4" w:space="0" w:color="00000A"/>
              <w:insideV w:val="single" w:sz="4" w:space="0" w:color="00000A"/>
            </w:tcBorders>
            <w:shd w:fill="auto" w:val="clear"/>
            <w:tcMar>
              <w:left w:w="60" w:type="dxa"/>
            </w:tcMar>
            <w:vAlign w:val="center"/>
          </w:tcPr>
          <w:p>
            <w:pPr>
              <w:pStyle w:val="Normal"/>
              <w:spacing w:lineRule="auto" w:line="240" w:before="0" w:after="0"/>
              <w:rPr/>
            </w:pPr>
            <w:r>
              <w:rPr>
                <w:szCs w:val="22"/>
              </w:rPr>
              <w:t xml:space="preserve"> </w:t>
            </w:r>
            <w:r>
              <w:rPr>
                <w:szCs w:val="22"/>
              </w:rPr>
              <w:t xml:space="preserve">75358         </w:t>
            </w:r>
          </w:p>
        </w:tc>
        <w:tc>
          <w:tcPr>
            <w:tcW w:w="1368"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116 271</w:t>
            </w:r>
          </w:p>
        </w:tc>
        <w:tc>
          <w:tcPr>
            <w:tcW w:w="1094"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pPr>
            <w:r>
              <w:rPr>
                <w:szCs w:val="22"/>
              </w:rPr>
              <w:t> </w:t>
            </w:r>
            <w:r>
              <w:rPr>
                <w:szCs w:val="22"/>
              </w:rPr>
              <w:t>-48886</w:t>
            </w:r>
          </w:p>
        </w:tc>
        <w:tc>
          <w:tcPr>
            <w:tcW w:w="184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pPr>
            <w:r>
              <w:rPr>
                <w:szCs w:val="22"/>
              </w:rPr>
              <w:t xml:space="preserve">   </w:t>
            </w:r>
            <w:r>
              <w:rPr>
                <w:szCs w:val="22"/>
              </w:rPr>
              <w:t>23773</w:t>
            </w:r>
          </w:p>
        </w:tc>
      </w:tr>
      <w:tr>
        <w:trPr>
          <w:trHeight w:val="397" w:hRule="atLeast"/>
        </w:trPr>
        <w:tc>
          <w:tcPr>
            <w:tcW w:w="2443"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Výrobky</w:t>
            </w:r>
          </w:p>
        </w:tc>
        <w:tc>
          <w:tcPr>
            <w:tcW w:w="1103" w:type="dxa"/>
            <w:tcBorders>
              <w:top w:val="single" w:sz="4"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8" w:type="dxa"/>
            </w:tcMar>
            <w:vAlign w:val="center"/>
          </w:tcPr>
          <w:p>
            <w:pPr>
              <w:pStyle w:val="Normal"/>
              <w:spacing w:lineRule="auto" w:line="240" w:before="0" w:after="0"/>
              <w:rPr>
                <w:szCs w:val="22"/>
              </w:rPr>
            </w:pPr>
            <w:r>
              <w:rPr>
                <w:szCs w:val="22"/>
              </w:rPr>
              <w:t xml:space="preserve">  </w:t>
            </w:r>
          </w:p>
        </w:tc>
        <w:tc>
          <w:tcPr>
            <w:tcW w:w="1214" w:type="dxa"/>
            <w:tcBorders>
              <w:top w:val="single" w:sz="4" w:space="0" w:color="00000A"/>
              <w:left w:val="single" w:sz="6" w:space="0" w:color="00000A"/>
              <w:bottom w:val="single" w:sz="6" w:space="0" w:color="00000A"/>
              <w:right w:val="single" w:sz="4" w:space="0" w:color="00000A"/>
              <w:insideH w:val="single" w:sz="6" w:space="0" w:color="00000A"/>
              <w:insideV w:val="single" w:sz="4" w:space="0" w:color="00000A"/>
            </w:tcBorders>
            <w:shd w:fill="auto" w:val="clear"/>
            <w:tcMar>
              <w:left w:w="60" w:type="dxa"/>
            </w:tcMar>
            <w:vAlign w:val="center"/>
          </w:tcPr>
          <w:p>
            <w:pPr>
              <w:pStyle w:val="Normal"/>
              <w:spacing w:lineRule="auto" w:line="240" w:before="0" w:after="0"/>
              <w:rPr/>
            </w:pPr>
            <w:r>
              <w:rPr>
                <w:szCs w:val="22"/>
              </w:rPr>
              <w:t> </w:t>
            </w:r>
            <w:r>
              <w:rPr>
                <w:szCs w:val="22"/>
              </w:rPr>
              <w:t>62863</w:t>
            </w:r>
          </w:p>
        </w:tc>
        <w:tc>
          <w:tcPr>
            <w:tcW w:w="1368"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w:t>
            </w:r>
          </w:p>
        </w:tc>
        <w:tc>
          <w:tcPr>
            <w:tcW w:w="1094"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849"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r>
      <w:tr>
        <w:trPr>
          <w:trHeight w:val="397" w:hRule="atLeast"/>
        </w:trPr>
        <w:tc>
          <w:tcPr>
            <w:tcW w:w="2443" w:type="dxa"/>
            <w:tcBorders>
              <w:top w:val="single" w:sz="6" w:space="0" w:color="00000A"/>
              <w:left w:val="single" w:sz="12" w:space="0" w:color="00000A"/>
              <w:right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Zvieratá</w:t>
            </w:r>
          </w:p>
        </w:tc>
        <w:tc>
          <w:tcPr>
            <w:tcW w:w="1103" w:type="dxa"/>
            <w:tcBorders>
              <w:top w:val="single" w:sz="6" w:space="0" w:color="00000A"/>
              <w:left w:val="single" w:sz="12" w:space="0" w:color="00000A"/>
              <w:bottom w:val="single" w:sz="4" w:space="0" w:color="00000A"/>
              <w:right w:val="single" w:sz="6" w:space="0" w:color="00000A"/>
              <w:insideH w:val="single" w:sz="4" w:space="0" w:color="00000A"/>
              <w:insideV w:val="single" w:sz="6"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214" w:type="dxa"/>
            <w:tcBorders>
              <w:top w:val="single" w:sz="6" w:space="0" w:color="00000A"/>
              <w:left w:val="single" w:sz="6" w:space="0" w:color="00000A"/>
              <w:bottom w:val="single" w:sz="4" w:space="0" w:color="00000A"/>
              <w:right w:val="single" w:sz="4" w:space="0" w:color="00000A"/>
              <w:insideH w:val="single" w:sz="4" w:space="0" w:color="00000A"/>
              <w:insideV w:val="single" w:sz="4" w:space="0" w:color="00000A"/>
            </w:tcBorders>
            <w:shd w:fill="auto" w:val="clear"/>
            <w:tcMar>
              <w:left w:w="60" w:type="dxa"/>
            </w:tcMar>
            <w:vAlign w:val="center"/>
          </w:tcPr>
          <w:p>
            <w:pPr>
              <w:pStyle w:val="Normal"/>
              <w:spacing w:lineRule="auto" w:line="240" w:before="0" w:after="0"/>
              <w:rPr>
                <w:szCs w:val="22"/>
              </w:rPr>
            </w:pPr>
            <w:r>
              <w:rPr>
                <w:szCs w:val="22"/>
              </w:rPr>
              <w:t> </w:t>
            </w:r>
          </w:p>
        </w:tc>
        <w:tc>
          <w:tcPr>
            <w:tcW w:w="136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c>
          <w:tcPr>
            <w:tcW w:w="1094"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849"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r>
      <w:tr>
        <w:trPr>
          <w:trHeight w:val="397" w:hRule="atLeast"/>
        </w:trPr>
        <w:tc>
          <w:tcPr>
            <w:tcW w:w="2443"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t>Spolu</w:t>
            </w:r>
          </w:p>
        </w:tc>
        <w:tc>
          <w:tcPr>
            <w:tcW w:w="1103" w:type="dxa"/>
            <w:tcBorders>
              <w:top w:val="single" w:sz="4"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8" w:type="dxa"/>
            </w:tcMar>
            <w:vAlign w:val="center"/>
          </w:tcPr>
          <w:p>
            <w:pPr>
              <w:pStyle w:val="Normal"/>
              <w:spacing w:lineRule="auto" w:line="240" w:before="0" w:after="0"/>
              <w:rPr/>
            </w:pPr>
            <w:r>
              <w:rPr>
                <w:szCs w:val="22"/>
              </w:rPr>
              <w:t> </w:t>
            </w:r>
            <w:r>
              <w:rPr>
                <w:szCs w:val="22"/>
              </w:rPr>
              <w:t>89335</w:t>
            </w:r>
          </w:p>
        </w:tc>
        <w:tc>
          <w:tcPr>
            <w:tcW w:w="1214" w:type="dxa"/>
            <w:tcBorders>
              <w:top w:val="single" w:sz="4" w:space="0" w:color="00000A"/>
              <w:left w:val="single" w:sz="6" w:space="0" w:color="00000A"/>
              <w:bottom w:val="single" w:sz="6" w:space="0" w:color="00000A"/>
              <w:right w:val="single" w:sz="4" w:space="0" w:color="00000A"/>
              <w:insideH w:val="single" w:sz="6" w:space="0" w:color="00000A"/>
              <w:insideV w:val="single" w:sz="4" w:space="0" w:color="00000A"/>
            </w:tcBorders>
            <w:shd w:fill="auto" w:val="clear"/>
            <w:tcMar>
              <w:left w:w="60" w:type="dxa"/>
            </w:tcMar>
            <w:vAlign w:val="center"/>
          </w:tcPr>
          <w:p>
            <w:pPr>
              <w:pStyle w:val="Normal"/>
              <w:spacing w:lineRule="auto" w:line="240" w:before="0" w:after="0"/>
              <w:rPr/>
            </w:pPr>
            <w:r>
              <w:rPr>
                <w:szCs w:val="22"/>
              </w:rPr>
              <w:t>138221</w:t>
            </w:r>
          </w:p>
        </w:tc>
        <w:tc>
          <w:tcPr>
            <w:tcW w:w="1368"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116 271 </w:t>
            </w:r>
          </w:p>
        </w:tc>
        <w:tc>
          <w:tcPr>
            <w:tcW w:w="1094"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pPr>
            <w:r>
              <w:rPr>
                <w:szCs w:val="22"/>
              </w:rPr>
              <w:t xml:space="preserve"> </w:t>
            </w:r>
            <w:r>
              <w:rPr>
                <w:szCs w:val="22"/>
              </w:rPr>
              <w:t>-48886 </w:t>
            </w:r>
          </w:p>
        </w:tc>
        <w:tc>
          <w:tcPr>
            <w:tcW w:w="1849"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pPr>
            <w:r>
              <w:rPr>
                <w:szCs w:val="22"/>
              </w:rPr>
              <w:t xml:space="preserve">  </w:t>
            </w:r>
            <w:r>
              <w:rPr>
                <w:szCs w:val="22"/>
              </w:rPr>
              <w:t>23773 </w:t>
            </w:r>
          </w:p>
        </w:tc>
      </w:tr>
      <w:tr>
        <w:trPr>
          <w:trHeight w:val="397" w:hRule="atLeast"/>
        </w:trPr>
        <w:tc>
          <w:tcPr>
            <w:tcW w:w="2443"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Manká a škody</w:t>
            </w:r>
          </w:p>
        </w:tc>
        <w:tc>
          <w:tcPr>
            <w:tcW w:w="1103"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8" w:type="dxa"/>
            </w:tcMar>
            <w:vAlign w:val="center"/>
          </w:tcPr>
          <w:p>
            <w:pPr>
              <w:pStyle w:val="Normal"/>
              <w:spacing w:lineRule="auto" w:line="240" w:before="0" w:after="0"/>
              <w:jc w:val="center"/>
              <w:rPr>
                <w:szCs w:val="22"/>
              </w:rPr>
            </w:pPr>
            <w:r>
              <w:rPr>
                <w:szCs w:val="22"/>
              </w:rPr>
              <w:t>x</w:t>
            </w:r>
          </w:p>
        </w:tc>
        <w:tc>
          <w:tcPr>
            <w:tcW w:w="121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0" w:type="dxa"/>
            </w:tcMar>
            <w:vAlign w:val="center"/>
          </w:tcPr>
          <w:p>
            <w:pPr>
              <w:pStyle w:val="Normal"/>
              <w:spacing w:lineRule="auto" w:line="240" w:before="0" w:after="0"/>
              <w:jc w:val="center"/>
              <w:rPr>
                <w:szCs w:val="22"/>
              </w:rPr>
            </w:pPr>
            <w:r>
              <w:rPr>
                <w:szCs w:val="22"/>
              </w:rPr>
              <w:t>x</w:t>
            </w:r>
          </w:p>
        </w:tc>
        <w:tc>
          <w:tcPr>
            <w:tcW w:w="136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60" w:type="dxa"/>
            </w:tcMar>
            <w:vAlign w:val="center"/>
          </w:tcPr>
          <w:p>
            <w:pPr>
              <w:pStyle w:val="Normal"/>
              <w:spacing w:lineRule="auto" w:line="240" w:before="0" w:after="0"/>
              <w:jc w:val="center"/>
              <w:rPr>
                <w:szCs w:val="22"/>
              </w:rPr>
            </w:pPr>
            <w:r>
              <w:rPr>
                <w:szCs w:val="22"/>
              </w:rPr>
              <w:t>X</w:t>
            </w:r>
          </w:p>
        </w:tc>
        <w:tc>
          <w:tcPr>
            <w:tcW w:w="1094"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849"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r>
      <w:tr>
        <w:trPr>
          <w:trHeight w:val="397" w:hRule="atLeast"/>
        </w:trPr>
        <w:tc>
          <w:tcPr>
            <w:tcW w:w="244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Reprezentačné</w:t>
            </w:r>
          </w:p>
        </w:tc>
        <w:tc>
          <w:tcPr>
            <w:tcW w:w="1103"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8" w:type="dxa"/>
            </w:tcMar>
            <w:vAlign w:val="center"/>
          </w:tcPr>
          <w:p>
            <w:pPr>
              <w:pStyle w:val="Normal"/>
              <w:spacing w:lineRule="auto" w:line="240" w:before="0" w:after="0"/>
              <w:jc w:val="center"/>
              <w:rPr>
                <w:szCs w:val="22"/>
              </w:rPr>
            </w:pPr>
            <w:r>
              <w:rPr>
                <w:szCs w:val="22"/>
              </w:rPr>
              <w:t>x</w:t>
            </w:r>
          </w:p>
        </w:tc>
        <w:tc>
          <w:tcPr>
            <w:tcW w:w="121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0" w:type="dxa"/>
            </w:tcMar>
            <w:vAlign w:val="center"/>
          </w:tcPr>
          <w:p>
            <w:pPr>
              <w:pStyle w:val="Normal"/>
              <w:spacing w:lineRule="auto" w:line="240" w:before="0" w:after="0"/>
              <w:jc w:val="center"/>
              <w:rPr>
                <w:szCs w:val="22"/>
              </w:rPr>
            </w:pPr>
            <w:r>
              <w:rPr>
                <w:szCs w:val="22"/>
              </w:rPr>
              <w:t>x</w:t>
            </w:r>
          </w:p>
        </w:tc>
        <w:tc>
          <w:tcPr>
            <w:tcW w:w="136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60" w:type="dxa"/>
            </w:tcMar>
            <w:vAlign w:val="center"/>
          </w:tcPr>
          <w:p>
            <w:pPr>
              <w:pStyle w:val="Normal"/>
              <w:spacing w:lineRule="auto" w:line="240" w:before="0" w:after="0"/>
              <w:jc w:val="center"/>
              <w:rPr>
                <w:szCs w:val="22"/>
              </w:rPr>
            </w:pPr>
            <w:r>
              <w:rPr>
                <w:szCs w:val="22"/>
              </w:rPr>
              <w:t>X</w:t>
            </w:r>
          </w:p>
        </w:tc>
        <w:tc>
          <w:tcPr>
            <w:tcW w:w="1094"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8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r>
      <w:tr>
        <w:trPr>
          <w:trHeight w:val="397" w:hRule="atLeast"/>
        </w:trPr>
        <w:tc>
          <w:tcPr>
            <w:tcW w:w="244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Dary</w:t>
            </w:r>
          </w:p>
        </w:tc>
        <w:tc>
          <w:tcPr>
            <w:tcW w:w="1103"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8" w:type="dxa"/>
            </w:tcMar>
          </w:tcPr>
          <w:p>
            <w:pPr>
              <w:pStyle w:val="Normal"/>
              <w:spacing w:lineRule="auto" w:line="240" w:before="0" w:after="0"/>
              <w:jc w:val="center"/>
              <w:rPr>
                <w:szCs w:val="22"/>
              </w:rPr>
            </w:pPr>
            <w:r>
              <w:rPr>
                <w:szCs w:val="22"/>
              </w:rPr>
              <w:t>x</w:t>
            </w:r>
          </w:p>
        </w:tc>
        <w:tc>
          <w:tcPr>
            <w:tcW w:w="121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60" w:type="dxa"/>
            </w:tcMar>
          </w:tcPr>
          <w:p>
            <w:pPr>
              <w:pStyle w:val="Normal"/>
              <w:spacing w:lineRule="auto" w:line="240" w:before="0" w:after="0"/>
              <w:jc w:val="center"/>
              <w:rPr>
                <w:szCs w:val="22"/>
              </w:rPr>
            </w:pPr>
            <w:r>
              <w:rPr>
                <w:szCs w:val="22"/>
              </w:rPr>
              <w:t>x</w:t>
            </w:r>
          </w:p>
        </w:tc>
        <w:tc>
          <w:tcPr>
            <w:tcW w:w="136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60" w:type="dxa"/>
            </w:tcMar>
          </w:tcPr>
          <w:p>
            <w:pPr>
              <w:pStyle w:val="Normal"/>
              <w:spacing w:lineRule="auto" w:line="240" w:before="0" w:after="0"/>
              <w:jc w:val="center"/>
              <w:rPr>
                <w:szCs w:val="22"/>
              </w:rPr>
            </w:pPr>
            <w:r>
              <w:rPr>
                <w:szCs w:val="22"/>
              </w:rPr>
              <w:t>x</w:t>
            </w:r>
          </w:p>
        </w:tc>
        <w:tc>
          <w:tcPr>
            <w:tcW w:w="1094"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8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r>
      <w:tr>
        <w:trPr>
          <w:trHeight w:val="397" w:hRule="atLeast"/>
        </w:trPr>
        <w:tc>
          <w:tcPr>
            <w:tcW w:w="2443"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Iné</w:t>
            </w:r>
          </w:p>
        </w:tc>
        <w:tc>
          <w:tcPr>
            <w:tcW w:w="1103"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8" w:type="dxa"/>
            </w:tcMar>
          </w:tcPr>
          <w:p>
            <w:pPr>
              <w:pStyle w:val="Normal"/>
              <w:spacing w:lineRule="auto" w:line="240" w:before="0" w:after="0"/>
              <w:jc w:val="center"/>
              <w:rPr>
                <w:szCs w:val="22"/>
              </w:rPr>
            </w:pPr>
            <w:r>
              <w:rPr>
                <w:szCs w:val="22"/>
              </w:rPr>
              <w:t>x</w:t>
            </w:r>
          </w:p>
        </w:tc>
        <w:tc>
          <w:tcPr>
            <w:tcW w:w="1214"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60" w:type="dxa"/>
            </w:tcMar>
          </w:tcPr>
          <w:p>
            <w:pPr>
              <w:pStyle w:val="Normal"/>
              <w:spacing w:lineRule="auto" w:line="240" w:before="0" w:after="0"/>
              <w:jc w:val="center"/>
              <w:rPr>
                <w:szCs w:val="22"/>
              </w:rPr>
            </w:pPr>
            <w:r>
              <w:rPr>
                <w:szCs w:val="22"/>
              </w:rPr>
              <w:t>x</w:t>
            </w:r>
          </w:p>
        </w:tc>
        <w:tc>
          <w:tcPr>
            <w:tcW w:w="1368"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60" w:type="dxa"/>
            </w:tcMar>
          </w:tcPr>
          <w:p>
            <w:pPr>
              <w:pStyle w:val="Normal"/>
              <w:spacing w:lineRule="auto" w:line="240" w:before="0" w:after="0"/>
              <w:jc w:val="center"/>
              <w:rPr>
                <w:szCs w:val="22"/>
              </w:rPr>
            </w:pPr>
            <w:r>
              <w:rPr>
                <w:szCs w:val="22"/>
              </w:rPr>
              <w:t>x</w:t>
            </w:r>
          </w:p>
        </w:tc>
        <w:tc>
          <w:tcPr>
            <w:tcW w:w="1094"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84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r>
      <w:tr>
        <w:trPr>
          <w:trHeight w:val="705" w:hRule="atLeast"/>
        </w:trPr>
        <w:tc>
          <w:tcPr>
            <w:tcW w:w="244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t>Zmena stavu vnútroorganizačných zásob vo výkaze ziskov a strát</w:t>
            </w:r>
          </w:p>
        </w:tc>
        <w:tc>
          <w:tcPr>
            <w:tcW w:w="1103" w:type="dxa"/>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8" w:type="dxa"/>
            </w:tcMar>
            <w:vAlign w:val="center"/>
          </w:tcPr>
          <w:p>
            <w:pPr>
              <w:pStyle w:val="Normal"/>
              <w:spacing w:lineRule="auto" w:line="240" w:before="0" w:after="0"/>
              <w:jc w:val="center"/>
              <w:rPr>
                <w:szCs w:val="22"/>
              </w:rPr>
            </w:pPr>
            <w:r>
              <w:rPr>
                <w:szCs w:val="22"/>
              </w:rPr>
              <w:t>x</w:t>
            </w:r>
          </w:p>
        </w:tc>
        <w:tc>
          <w:tcPr>
            <w:tcW w:w="1214" w:type="dxa"/>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60" w:type="dxa"/>
            </w:tcMar>
            <w:vAlign w:val="center"/>
          </w:tcPr>
          <w:p>
            <w:pPr>
              <w:pStyle w:val="Normal"/>
              <w:spacing w:lineRule="auto" w:line="240" w:before="0" w:after="0"/>
              <w:jc w:val="center"/>
              <w:rPr>
                <w:szCs w:val="22"/>
              </w:rPr>
            </w:pPr>
            <w:r>
              <w:rPr>
                <w:szCs w:val="22"/>
              </w:rPr>
              <w:t>x</w:t>
            </w:r>
          </w:p>
        </w:tc>
        <w:tc>
          <w:tcPr>
            <w:tcW w:w="1368" w:type="dxa"/>
            <w:tcBorders>
              <w:top w:val="single" w:sz="12"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60" w:type="dxa"/>
            </w:tcMar>
            <w:vAlign w:val="center"/>
          </w:tcPr>
          <w:p>
            <w:pPr>
              <w:pStyle w:val="Normal"/>
              <w:spacing w:lineRule="auto" w:line="240" w:before="0" w:after="0"/>
              <w:jc w:val="center"/>
              <w:rPr>
                <w:szCs w:val="22"/>
              </w:rPr>
            </w:pPr>
            <w:r>
              <w:rPr>
                <w:szCs w:val="22"/>
              </w:rPr>
              <w:t>x</w:t>
            </w:r>
          </w:p>
        </w:tc>
        <w:tc>
          <w:tcPr>
            <w:tcW w:w="109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pPr>
            <w:r>
              <w:rPr>
                <w:szCs w:val="22"/>
              </w:rPr>
              <w:t> </w:t>
            </w:r>
            <w:r>
              <w:rPr>
                <w:szCs w:val="22"/>
              </w:rPr>
              <w:t>-48886</w:t>
            </w:r>
          </w:p>
        </w:tc>
        <w:tc>
          <w:tcPr>
            <w:tcW w:w="184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pPr>
            <w:r>
              <w:rPr>
                <w:szCs w:val="22"/>
              </w:rPr>
              <w:t>23773</w:t>
            </w:r>
          </w:p>
        </w:tc>
      </w:tr>
    </w:tbl>
    <w:p>
      <w:pPr>
        <w:pStyle w:val="Normal"/>
        <w:numPr>
          <w:ilvl w:val="0"/>
          <w:numId w:val="12"/>
        </w:numPr>
        <w:spacing w:lineRule="auto" w:line="240" w:before="0" w:after="0"/>
        <w:rPr>
          <w:rFonts w:ascii="Arial" w:hAnsi="Arial"/>
          <w:sz w:val="24"/>
          <w:szCs w:val="24"/>
          <w:lang w:eastAsia="sk-SK"/>
        </w:rPr>
      </w:pPr>
      <w:r>
        <w:rPr>
          <w:rFonts w:ascii="Arial" w:hAnsi="Arial"/>
          <w:sz w:val="24"/>
          <w:szCs w:val="24"/>
          <w:lang w:eastAsia="sk-SK"/>
        </w:rPr>
        <w:t xml:space="preserve">Významné položky výnosov pri aktivácii nákladov : </w:t>
      </w:r>
    </w:p>
    <w:p>
      <w:pPr>
        <w:pStyle w:val="Normal"/>
        <w:numPr>
          <w:ilvl w:val="0"/>
          <w:numId w:val="12"/>
        </w:numPr>
        <w:spacing w:lineRule="auto" w:line="240" w:before="0" w:after="0"/>
        <w:jc w:val="both"/>
        <w:rPr>
          <w:rFonts w:ascii="Arial" w:hAnsi="Arial"/>
          <w:sz w:val="24"/>
          <w:szCs w:val="24"/>
          <w:lang w:eastAsia="sk-SK"/>
        </w:rPr>
      </w:pPr>
      <w:r>
        <w:rPr>
          <w:rFonts w:ascii="Arial" w:hAnsi="Arial"/>
          <w:sz w:val="24"/>
          <w:szCs w:val="24"/>
          <w:lang w:eastAsia="sk-SK"/>
        </w:rPr>
        <w:t>Ostatné významné položky výnosov z hospodárskej činnosti</w:t>
      </w:r>
    </w:p>
    <w:p>
      <w:pPr>
        <w:pStyle w:val="Normal"/>
        <w:numPr>
          <w:ilvl w:val="0"/>
          <w:numId w:val="12"/>
        </w:numPr>
        <w:spacing w:lineRule="auto" w:line="240" w:before="0" w:after="0"/>
        <w:rPr>
          <w:rFonts w:ascii="Arial" w:hAnsi="Arial"/>
          <w:sz w:val="24"/>
          <w:szCs w:val="24"/>
          <w:lang w:eastAsia="sk-SK"/>
        </w:rPr>
      </w:pPr>
      <w:r>
        <w:rPr>
          <w:rFonts w:ascii="Arial" w:hAnsi="Arial"/>
          <w:sz w:val="24"/>
          <w:szCs w:val="24"/>
          <w:lang w:eastAsia="sk-SK"/>
        </w:rPr>
        <w:t xml:space="preserve">Významné položky finančných výnosov: </w:t>
        <w:br/>
        <w:tab/>
        <w:t xml:space="preserve">Celková suma kurzových ziskov : </w:t>
        <w:br/>
        <w:tab/>
        <w:t xml:space="preserve">- v tom hodnota kurzových ziskov účtovaná ku dňu, ku ktorému sa zostavuje </w:t>
        <w:tab/>
        <w:t xml:space="preserve">účtovná závierka : </w:t>
      </w:r>
    </w:p>
    <w:p>
      <w:pPr>
        <w:pStyle w:val="Normal"/>
        <w:numPr>
          <w:ilvl w:val="0"/>
          <w:numId w:val="12"/>
        </w:numPr>
        <w:spacing w:lineRule="auto" w:line="240" w:before="0" w:after="0"/>
        <w:rPr>
          <w:rFonts w:ascii="Arial" w:hAnsi="Arial"/>
          <w:sz w:val="24"/>
          <w:szCs w:val="24"/>
          <w:lang w:eastAsia="sk-SK"/>
        </w:rPr>
      </w:pPr>
      <w:r>
        <w:rPr>
          <w:rFonts w:ascii="Arial" w:hAnsi="Arial"/>
          <w:sz w:val="24"/>
          <w:szCs w:val="24"/>
          <w:lang w:eastAsia="sk-SK"/>
        </w:rPr>
        <w:t xml:space="preserve"> </w:t>
      </w:r>
      <w:r>
        <w:rPr>
          <w:rFonts w:ascii="Arial" w:hAnsi="Arial"/>
          <w:sz w:val="24"/>
          <w:szCs w:val="24"/>
          <w:lang w:eastAsia="sk-SK"/>
        </w:rPr>
        <w:t>Výnosy, ktoré majú výnimočný rozsah alebo výskyt</w:t>
      </w:r>
    </w:p>
    <w:p>
      <w:pPr>
        <w:pStyle w:val="Normal"/>
        <w:numPr>
          <w:ilvl w:val="0"/>
          <w:numId w:val="12"/>
        </w:numPr>
        <w:spacing w:lineRule="auto" w:line="240" w:before="0" w:after="0"/>
        <w:rPr>
          <w:rFonts w:ascii="Arial" w:hAnsi="Arial"/>
          <w:sz w:val="24"/>
          <w:szCs w:val="24"/>
        </w:rPr>
      </w:pPr>
      <w:r>
        <w:rPr>
          <w:rFonts w:ascii="Arial" w:hAnsi="Arial"/>
          <w:sz w:val="24"/>
          <w:szCs w:val="24"/>
        </w:rPr>
        <w:t>Suma čistého obratu (osobitne sa uvádza suma a opis iných výnosov súvisiacich s bežnou činnosťou, ktorú účtovná jednotka vykonáva ako svoju bežnú prevádzkovú činnosť súvisiacu s predmetom podnikania a ktoré vplýva na schopnosť účtovnej jednotky generovať peňažné prostriedky a ekvivalenty peňažných prostriedkov v budúcnosti  napr. úrokové výnosy, dividendy, výnosy z predaja finančného majetku)</w:t>
      </w:r>
    </w:p>
    <w:p>
      <w:pPr>
        <w:pStyle w:val="Normal"/>
        <w:spacing w:lineRule="auto" w:line="240" w:before="0" w:after="0"/>
        <w:rPr>
          <w:szCs w:val="22"/>
        </w:rPr>
      </w:pPr>
      <w:r>
        <w:rPr>
          <w:szCs w:val="22"/>
        </w:rPr>
      </w:r>
    </w:p>
    <w:p>
      <w:pPr>
        <w:pStyle w:val="Nzov"/>
        <w:numPr>
          <w:ilvl w:val="0"/>
          <w:numId w:val="19"/>
        </w:numPr>
        <w:spacing w:beforeAutospacing="0" w:before="0" w:after="0"/>
        <w:ind w:left="567" w:hanging="425"/>
        <w:jc w:val="left"/>
        <w:rPr>
          <w:szCs w:val="22"/>
        </w:rPr>
      </w:pPr>
      <w:r>
        <w:rPr>
          <w:szCs w:val="22"/>
        </w:rPr>
        <w:t>Informácie k prílohe č. 3 časti H. písm. g) o čistom obrate</w:t>
      </w:r>
    </w:p>
    <w:tbl>
      <w:tblPr>
        <w:tblW w:w="5000" w:type="pct"/>
        <w:jc w:val="center"/>
        <w:tblInd w:w="0"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top w:w="0" w:type="dxa"/>
          <w:left w:w="18" w:type="dxa"/>
          <w:bottom w:w="0" w:type="dxa"/>
          <w:right w:w="108" w:type="dxa"/>
        </w:tblCellMar>
        <w:tblLook w:val="00a0"/>
      </w:tblPr>
      <w:tblGrid>
        <w:gridCol w:w="5747"/>
        <w:gridCol w:w="1662"/>
        <w:gridCol w:w="1663"/>
      </w:tblGrid>
      <w:tr>
        <w:trPr>
          <w:trHeight w:val="1005" w:hRule="atLeast"/>
        </w:trPr>
        <w:tc>
          <w:tcPr>
            <w:tcW w:w="574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Názov položky</w:t>
            </w:r>
          </w:p>
        </w:tc>
        <w:tc>
          <w:tcPr>
            <w:tcW w:w="166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Bežné účtovné obdobie</w:t>
            </w:r>
          </w:p>
        </w:tc>
        <w:tc>
          <w:tcPr>
            <w:tcW w:w="166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Bezprostredne predchádzajúce účtovné obdobie</w:t>
            </w:r>
          </w:p>
        </w:tc>
      </w:tr>
      <w:tr>
        <w:trPr>
          <w:trHeight w:val="369" w:hRule="atLeast"/>
        </w:trPr>
        <w:tc>
          <w:tcPr>
            <w:tcW w:w="5747"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Tržby za vlastné výrobky</w:t>
            </w:r>
          </w:p>
        </w:tc>
        <w:tc>
          <w:tcPr>
            <w:tcW w:w="1662"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328904</w:t>
            </w:r>
          </w:p>
        </w:tc>
        <w:tc>
          <w:tcPr>
            <w:tcW w:w="1663"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143950 </w:t>
            </w:r>
          </w:p>
        </w:tc>
      </w:tr>
      <w:tr>
        <w:trPr>
          <w:trHeight w:val="369" w:hRule="atLeast"/>
        </w:trPr>
        <w:tc>
          <w:tcPr>
            <w:tcW w:w="574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Tržby z predaja služieb</w:t>
            </w:r>
          </w:p>
        </w:tc>
        <w:tc>
          <w:tcPr>
            <w:tcW w:w="1662"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 xml:space="preserve">66283 </w:t>
            </w:r>
          </w:p>
        </w:tc>
        <w:tc>
          <w:tcPr>
            <w:tcW w:w="166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127081</w:t>
            </w:r>
          </w:p>
        </w:tc>
      </w:tr>
      <w:tr>
        <w:trPr>
          <w:trHeight w:val="369" w:hRule="atLeast"/>
        </w:trPr>
        <w:tc>
          <w:tcPr>
            <w:tcW w:w="574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Tržby za tovar</w:t>
            </w:r>
          </w:p>
        </w:tc>
        <w:tc>
          <w:tcPr>
            <w:tcW w:w="1662"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pPr>
            <w:r>
              <w:rPr>
                <w:szCs w:val="22"/>
              </w:rPr>
              <w:t xml:space="preserve">    </w:t>
            </w:r>
            <w:r>
              <w:rPr>
                <w:szCs w:val="22"/>
              </w:rPr>
              <w:t>233576</w:t>
            </w:r>
          </w:p>
        </w:tc>
        <w:tc>
          <w:tcPr>
            <w:tcW w:w="166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513488</w:t>
            </w:r>
          </w:p>
        </w:tc>
      </w:tr>
      <w:tr>
        <w:trPr>
          <w:trHeight w:val="369" w:hRule="atLeast"/>
        </w:trPr>
        <w:tc>
          <w:tcPr>
            <w:tcW w:w="574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Výnosy zo zákazky</w:t>
            </w:r>
          </w:p>
        </w:tc>
        <w:tc>
          <w:tcPr>
            <w:tcW w:w="1662"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66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r>
      <w:tr>
        <w:trPr>
          <w:trHeight w:val="369" w:hRule="atLeast"/>
        </w:trPr>
        <w:tc>
          <w:tcPr>
            <w:tcW w:w="574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Výnosy z nehnuteľnosti na predaj</w:t>
            </w:r>
          </w:p>
        </w:tc>
        <w:tc>
          <w:tcPr>
            <w:tcW w:w="1662"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66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r>
      <w:tr>
        <w:trPr>
          <w:trHeight w:val="369" w:hRule="atLeast"/>
        </w:trPr>
        <w:tc>
          <w:tcPr>
            <w:tcW w:w="574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Iné výnosy súvisiace s bežnou činnosťou</w:t>
            </w:r>
          </w:p>
        </w:tc>
        <w:tc>
          <w:tcPr>
            <w:tcW w:w="1662"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66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r>
      <w:tr>
        <w:trPr>
          <w:trHeight w:val="369" w:hRule="atLeast"/>
        </w:trPr>
        <w:tc>
          <w:tcPr>
            <w:tcW w:w="5747"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t>Čistý obrat celkom</w:t>
            </w:r>
          </w:p>
        </w:tc>
        <w:tc>
          <w:tcPr>
            <w:tcW w:w="166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pPr>
            <w:r>
              <w:rPr>
                <w:szCs w:val="22"/>
              </w:rPr>
              <w:t xml:space="preserve">   </w:t>
            </w:r>
            <w:r>
              <w:rPr>
                <w:szCs w:val="22"/>
              </w:rPr>
              <w:t>639238</w:t>
            </w:r>
          </w:p>
        </w:tc>
        <w:tc>
          <w:tcPr>
            <w:tcW w:w="166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pPr>
            <w:r>
              <w:rPr>
                <w:szCs w:val="22"/>
              </w:rPr>
              <w:t xml:space="preserve">   </w:t>
            </w:r>
            <w:r>
              <w:rPr>
                <w:szCs w:val="22"/>
              </w:rPr>
              <w:t>800215</w:t>
            </w:r>
          </w:p>
        </w:tc>
      </w:tr>
    </w:tbl>
    <w:p>
      <w:pPr>
        <w:pStyle w:val="Normal"/>
        <w:numPr>
          <w:ilvl w:val="0"/>
          <w:numId w:val="3"/>
        </w:numPr>
        <w:spacing w:lineRule="auto" w:line="240" w:before="0" w:after="0"/>
        <w:rPr>
          <w:rFonts w:ascii="Arial" w:hAnsi="Arial"/>
          <w:b/>
          <w:b/>
          <w:sz w:val="24"/>
          <w:szCs w:val="24"/>
          <w:lang w:eastAsia="sk-SK"/>
        </w:rPr>
      </w:pPr>
      <w:r>
        <w:rPr>
          <w:rFonts w:ascii="Arial" w:hAnsi="Arial"/>
          <w:b/>
          <w:sz w:val="24"/>
          <w:szCs w:val="24"/>
          <w:lang w:eastAsia="sk-SK"/>
        </w:rPr>
      </w:r>
    </w:p>
    <w:p>
      <w:pPr>
        <w:pStyle w:val="Normal"/>
        <w:numPr>
          <w:ilvl w:val="0"/>
          <w:numId w:val="3"/>
        </w:numPr>
        <w:spacing w:lineRule="auto" w:line="240" w:before="0" w:after="0"/>
        <w:rPr/>
      </w:pPr>
      <w:r>
        <w:rPr>
          <w:rFonts w:ascii="Arial" w:hAnsi="Arial"/>
          <w:b/>
          <w:sz w:val="24"/>
          <w:szCs w:val="24"/>
          <w:lang w:eastAsia="sk-SK"/>
        </w:rPr>
        <w:t xml:space="preserve">Informácie o nákladoch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13"/>
        </w:numPr>
        <w:spacing w:lineRule="auto" w:line="240" w:before="0" w:after="0"/>
        <w:rPr>
          <w:rFonts w:ascii="Arial" w:hAnsi="Arial"/>
          <w:sz w:val="24"/>
          <w:szCs w:val="24"/>
          <w:lang w:eastAsia="sk-SK"/>
        </w:rPr>
      </w:pPr>
      <w:r>
        <w:rPr>
          <w:rFonts w:ascii="Arial" w:hAnsi="Arial"/>
          <w:sz w:val="24"/>
          <w:szCs w:val="24"/>
          <w:lang w:eastAsia="sk-SK"/>
        </w:rPr>
        <w:t>Významné položky nákladov za poskytnuté služby :sejba, preprava 10722 €  zber, čistenie, sušenie obilia 10403 €, nájom za pôdu 19807 € , nájom za kombajn 40782 €</w:t>
      </w:r>
    </w:p>
    <w:p>
      <w:pPr>
        <w:pStyle w:val="Normal"/>
        <w:numPr>
          <w:ilvl w:val="0"/>
          <w:numId w:val="13"/>
        </w:numPr>
        <w:spacing w:lineRule="auto" w:line="240" w:before="0" w:after="0"/>
        <w:rPr>
          <w:rFonts w:ascii="Arial" w:hAnsi="Arial"/>
          <w:sz w:val="24"/>
          <w:szCs w:val="24"/>
          <w:lang w:eastAsia="sk-SK"/>
        </w:rPr>
      </w:pPr>
      <w:r>
        <w:rPr>
          <w:rFonts w:ascii="Arial" w:hAnsi="Arial"/>
          <w:sz w:val="24"/>
          <w:szCs w:val="24"/>
          <w:lang w:eastAsia="sk-SK"/>
        </w:rPr>
        <w:t xml:space="preserve">Významné položky ostatných nákladov z hospodárskej činnosti </w:t>
      </w:r>
    </w:p>
    <w:p>
      <w:pPr>
        <w:pStyle w:val="Normal"/>
        <w:numPr>
          <w:ilvl w:val="0"/>
          <w:numId w:val="13"/>
        </w:numPr>
        <w:spacing w:lineRule="auto" w:line="240" w:before="0" w:after="0"/>
        <w:rPr>
          <w:rFonts w:ascii="Arial" w:hAnsi="Arial"/>
          <w:sz w:val="24"/>
          <w:szCs w:val="24"/>
          <w:lang w:eastAsia="sk-SK"/>
        </w:rPr>
      </w:pPr>
      <w:r>
        <w:rPr>
          <w:rFonts w:ascii="Arial" w:hAnsi="Arial"/>
          <w:sz w:val="24"/>
          <w:szCs w:val="24"/>
          <w:lang w:eastAsia="sk-SK"/>
        </w:rPr>
        <w:t xml:space="preserve">Významné položky finančných nákladov </w:t>
      </w:r>
    </w:p>
    <w:p>
      <w:pPr>
        <w:pStyle w:val="Normal"/>
        <w:spacing w:lineRule="auto" w:line="240" w:before="0" w:after="0"/>
        <w:rPr>
          <w:rFonts w:ascii="Arial" w:hAnsi="Arial"/>
          <w:sz w:val="24"/>
          <w:szCs w:val="24"/>
          <w:lang w:eastAsia="sk-SK"/>
        </w:rPr>
      </w:pPr>
      <w:r>
        <w:rPr>
          <w:rFonts w:ascii="Arial" w:hAnsi="Arial"/>
          <w:sz w:val="24"/>
          <w:szCs w:val="24"/>
          <w:lang w:eastAsia="sk-SK"/>
        </w:rPr>
        <w:tab/>
        <w:t xml:space="preserve">Celková suma kurzových strát : </w:t>
      </w:r>
    </w:p>
    <w:p>
      <w:pPr>
        <w:pStyle w:val="Normal"/>
        <w:spacing w:lineRule="auto" w:line="240" w:before="0" w:after="0"/>
        <w:rPr>
          <w:rFonts w:ascii="Arial" w:hAnsi="Arial"/>
          <w:sz w:val="24"/>
          <w:szCs w:val="24"/>
          <w:lang w:eastAsia="sk-SK"/>
        </w:rPr>
      </w:pPr>
      <w:r>
        <w:rPr>
          <w:rFonts w:ascii="Arial" w:hAnsi="Arial"/>
          <w:sz w:val="24"/>
          <w:szCs w:val="24"/>
          <w:lang w:eastAsia="sk-SK"/>
        </w:rPr>
        <w:tab/>
        <w:t xml:space="preserve">- v tom suma kurzových strát účtovaná ku dňu, ku ktorému sa zostavuje </w:t>
        <w:tab/>
        <w:t xml:space="preserve">účtovná závierka :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13"/>
        </w:numPr>
        <w:spacing w:lineRule="auto" w:line="240" w:before="0" w:after="0"/>
        <w:rPr>
          <w:rFonts w:ascii="Arial" w:hAnsi="Arial"/>
          <w:sz w:val="24"/>
          <w:szCs w:val="24"/>
          <w:lang w:eastAsia="sk-SK"/>
        </w:rPr>
      </w:pPr>
      <w:r>
        <w:rPr>
          <w:rFonts w:ascii="Arial" w:hAnsi="Arial"/>
          <w:sz w:val="24"/>
          <w:szCs w:val="24"/>
          <w:lang w:eastAsia="sk-SK"/>
        </w:rPr>
        <w:t xml:space="preserve">Náklady, ktoré majú výnimočný rozsah alebo výskyt </w:t>
      </w:r>
    </w:p>
    <w:p>
      <w:pPr>
        <w:pStyle w:val="Normal"/>
        <w:numPr>
          <w:ilvl w:val="0"/>
          <w:numId w:val="13"/>
        </w:numPr>
        <w:spacing w:lineRule="auto" w:line="240" w:before="0" w:after="0"/>
        <w:rPr>
          <w:rFonts w:ascii="Arial" w:hAnsi="Arial"/>
          <w:sz w:val="24"/>
          <w:szCs w:val="24"/>
          <w:lang w:eastAsia="sk-SK"/>
        </w:rPr>
      </w:pPr>
      <w:r>
        <w:rPr>
          <w:rFonts w:ascii="Arial" w:hAnsi="Arial"/>
          <w:sz w:val="24"/>
          <w:szCs w:val="24"/>
          <w:lang w:eastAsia="sk-SK"/>
        </w:rPr>
        <w:t xml:space="preserve">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w:t>
      </w:r>
    </w:p>
    <w:p>
      <w:pPr>
        <w:pStyle w:val="Nzov"/>
        <w:spacing w:beforeAutospacing="0" w:before="0" w:after="0"/>
        <w:jc w:val="left"/>
        <w:rPr>
          <w:rFonts w:ascii="Arial" w:hAnsi="Arial"/>
          <w:b w:val="false"/>
          <w:b w:val="false"/>
          <w:bCs w:val="false"/>
          <w:sz w:val="24"/>
          <w:szCs w:val="24"/>
          <w:lang w:eastAsia="sk-SK"/>
        </w:rPr>
      </w:pPr>
      <w:r>
        <w:rPr>
          <w:rFonts w:ascii="Arial" w:hAnsi="Arial"/>
          <w:b w:val="false"/>
          <w:bCs w:val="false"/>
          <w:sz w:val="24"/>
          <w:szCs w:val="24"/>
          <w:lang w:eastAsia="sk-SK"/>
        </w:rPr>
      </w:r>
    </w:p>
    <w:p>
      <w:pPr>
        <w:pStyle w:val="Normal"/>
        <w:rPr>
          <w:lang w:eastAsia="sk-SK"/>
        </w:rPr>
      </w:pPr>
      <w:r>
        <w:rPr>
          <w:lang w:eastAsia="sk-SK"/>
        </w:rPr>
      </w:r>
    </w:p>
    <w:p>
      <w:pPr>
        <w:pStyle w:val="Nzov"/>
        <w:numPr>
          <w:ilvl w:val="0"/>
          <w:numId w:val="19"/>
        </w:numPr>
        <w:spacing w:beforeAutospacing="0" w:before="0" w:after="0"/>
        <w:ind w:left="567" w:hanging="425"/>
        <w:jc w:val="left"/>
        <w:rPr>
          <w:szCs w:val="22"/>
        </w:rPr>
      </w:pPr>
      <w:r>
        <w:rPr>
          <w:szCs w:val="22"/>
        </w:rPr>
        <w:t>Informácie k prílohe č. 3 časti I. o nákladoch voči audítorovi, audítorskej spoločnosti</w:t>
      </w:r>
    </w:p>
    <w:tbl>
      <w:tblPr>
        <w:tblW w:w="5000" w:type="pct"/>
        <w:jc w:val="center"/>
        <w:tblInd w:w="0"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top w:w="0" w:type="dxa"/>
          <w:left w:w="18" w:type="dxa"/>
          <w:bottom w:w="0" w:type="dxa"/>
          <w:right w:w="108" w:type="dxa"/>
        </w:tblCellMar>
        <w:tblLook w:val="00a0"/>
      </w:tblPr>
      <w:tblGrid>
        <w:gridCol w:w="5306"/>
        <w:gridCol w:w="1729"/>
        <w:gridCol w:w="2037"/>
      </w:tblGrid>
      <w:tr>
        <w:trPr>
          <w:trHeight w:val="1005" w:hRule="atLeast"/>
        </w:trPr>
        <w:tc>
          <w:tcPr>
            <w:tcW w:w="530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Názov položky</w:t>
            </w:r>
          </w:p>
        </w:tc>
        <w:tc>
          <w:tcPr>
            <w:tcW w:w="172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Bežné účtovné obdobie</w:t>
            </w:r>
          </w:p>
        </w:tc>
        <w:tc>
          <w:tcPr>
            <w:tcW w:w="203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Bezprostredne predchádzajúce účtovné obdobie</w:t>
            </w:r>
          </w:p>
        </w:tc>
      </w:tr>
      <w:tr>
        <w:trPr>
          <w:trHeight w:val="369" w:hRule="atLeast"/>
        </w:trPr>
        <w:tc>
          <w:tcPr>
            <w:tcW w:w="530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b/>
                <w:b/>
                <w:szCs w:val="22"/>
              </w:rPr>
            </w:pPr>
            <w:r>
              <w:rPr>
                <w:b/>
                <w:szCs w:val="22"/>
              </w:rPr>
              <w:t>Náklady voči audítorovi, audítorskej spoločnosti, z toho:</w:t>
            </w:r>
          </w:p>
        </w:tc>
        <w:tc>
          <w:tcPr>
            <w:tcW w:w="172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b/>
                <w:b/>
                <w:szCs w:val="22"/>
              </w:rPr>
            </w:pPr>
            <w:r>
              <w:rPr>
                <w:b/>
                <w:szCs w:val="22"/>
              </w:rPr>
              <w:t xml:space="preserve">        </w:t>
            </w:r>
            <w:r>
              <w:rPr>
                <w:b/>
                <w:szCs w:val="22"/>
              </w:rPr>
              <w:t xml:space="preserve">400 </w:t>
            </w:r>
          </w:p>
        </w:tc>
        <w:tc>
          <w:tcPr>
            <w:tcW w:w="203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b/>
                <w:b/>
                <w:szCs w:val="22"/>
              </w:rPr>
            </w:pPr>
            <w:r>
              <w:rPr>
                <w:b/>
                <w:szCs w:val="22"/>
              </w:rPr>
              <w:t xml:space="preserve">            </w:t>
            </w:r>
            <w:r>
              <w:rPr>
                <w:b/>
                <w:szCs w:val="22"/>
              </w:rPr>
              <w:t>300 </w:t>
            </w:r>
          </w:p>
        </w:tc>
      </w:tr>
      <w:tr>
        <w:trPr>
          <w:trHeight w:val="369" w:hRule="atLeast"/>
        </w:trPr>
        <w:tc>
          <w:tcPr>
            <w:tcW w:w="5306"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náklady za overenie individuálnej účtovnej závierky</w:t>
            </w:r>
          </w:p>
        </w:tc>
        <w:tc>
          <w:tcPr>
            <w:tcW w:w="172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400</w:t>
            </w:r>
          </w:p>
        </w:tc>
        <w:tc>
          <w:tcPr>
            <w:tcW w:w="2037"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300</w:t>
            </w:r>
          </w:p>
        </w:tc>
      </w:tr>
      <w:tr>
        <w:trPr>
          <w:trHeight w:val="369" w:hRule="atLeast"/>
        </w:trPr>
        <w:tc>
          <w:tcPr>
            <w:tcW w:w="5306"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Iné uisťovacie audítorské služby</w:t>
            </w:r>
          </w:p>
        </w:tc>
        <w:tc>
          <w:tcPr>
            <w:tcW w:w="1729"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037"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r>
      <w:tr>
        <w:trPr>
          <w:trHeight w:val="369" w:hRule="atLeast"/>
        </w:trPr>
        <w:tc>
          <w:tcPr>
            <w:tcW w:w="530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súvisiace audítorské služby</w:t>
            </w:r>
          </w:p>
        </w:tc>
        <w:tc>
          <w:tcPr>
            <w:tcW w:w="172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03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r>
      <w:tr>
        <w:trPr>
          <w:trHeight w:val="369" w:hRule="atLeast"/>
        </w:trPr>
        <w:tc>
          <w:tcPr>
            <w:tcW w:w="530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daňové poradenstvo</w:t>
            </w:r>
          </w:p>
        </w:tc>
        <w:tc>
          <w:tcPr>
            <w:tcW w:w="172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03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r>
      <w:tr>
        <w:trPr>
          <w:trHeight w:val="369" w:hRule="atLeast"/>
        </w:trPr>
        <w:tc>
          <w:tcPr>
            <w:tcW w:w="5306"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ostatné neaudítorské služby</w:t>
            </w:r>
          </w:p>
        </w:tc>
        <w:tc>
          <w:tcPr>
            <w:tcW w:w="172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2037"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3"/>
        </w:numPr>
        <w:spacing w:lineRule="auto" w:line="240" w:before="0" w:after="0"/>
        <w:rPr>
          <w:rFonts w:ascii="Arial" w:hAnsi="Arial"/>
          <w:b/>
          <w:b/>
          <w:bCs/>
          <w:sz w:val="24"/>
          <w:szCs w:val="24"/>
          <w:lang w:eastAsia="sk-SK"/>
        </w:rPr>
      </w:pPr>
      <w:r>
        <w:rPr>
          <w:rFonts w:ascii="Arial" w:hAnsi="Arial"/>
          <w:b/>
          <w:sz w:val="24"/>
          <w:szCs w:val="24"/>
          <w:lang w:eastAsia="sk-SK"/>
        </w:rPr>
        <w:t>Informácie o daniach z príjmov</w:t>
      </w:r>
    </w:p>
    <w:p>
      <w:pPr>
        <w:pStyle w:val="Normal"/>
        <w:spacing w:lineRule="auto" w:line="240" w:before="0" w:after="0"/>
        <w:rPr>
          <w:rFonts w:ascii="Arial" w:hAnsi="Arial"/>
          <w:b/>
          <w:b/>
          <w:sz w:val="24"/>
          <w:szCs w:val="24"/>
          <w:lang w:eastAsia="sk-SK"/>
        </w:rPr>
      </w:pPr>
      <w:r>
        <w:rPr>
          <w:rFonts w:ascii="Arial" w:hAnsi="Arial"/>
          <w:b/>
          <w:sz w:val="24"/>
          <w:szCs w:val="24"/>
          <w:lang w:eastAsia="sk-SK"/>
        </w:rPr>
      </w:r>
    </w:p>
    <w:p>
      <w:pPr>
        <w:pStyle w:val="Normal"/>
        <w:numPr>
          <w:ilvl w:val="0"/>
          <w:numId w:val="14"/>
        </w:numPr>
        <w:spacing w:lineRule="auto" w:line="240" w:before="0" w:after="0"/>
        <w:jc w:val="both"/>
        <w:rPr>
          <w:rFonts w:ascii="Arial" w:hAnsi="Arial"/>
          <w:sz w:val="24"/>
          <w:szCs w:val="24"/>
          <w:lang w:eastAsia="sk-SK"/>
        </w:rPr>
      </w:pPr>
      <w:r>
        <w:rPr>
          <w:rFonts w:ascii="Arial" w:hAnsi="Arial"/>
          <w:sz w:val="24"/>
          <w:szCs w:val="24"/>
          <w:lang w:eastAsia="sk-SK"/>
        </w:rPr>
        <w:t xml:space="preserve">suma odložených daní z príjmov účtovaných v bežnom účtovnom období ako náklad alebo výnos vyplývajúca zo zmeny sadzby dane z príjmov : </w:t>
      </w:r>
    </w:p>
    <w:p>
      <w:pPr>
        <w:pStyle w:val="Normal"/>
        <w:spacing w:lineRule="auto" w:line="240" w:before="0" w:after="0"/>
        <w:ind w:left="720" w:hanging="0"/>
        <w:jc w:val="both"/>
        <w:rPr>
          <w:rFonts w:ascii="Arial" w:hAnsi="Arial"/>
          <w:sz w:val="24"/>
          <w:szCs w:val="24"/>
          <w:lang w:eastAsia="sk-SK"/>
        </w:rPr>
      </w:pPr>
      <w:r>
        <w:rPr>
          <w:rFonts w:ascii="Arial" w:hAnsi="Arial"/>
          <w:sz w:val="24"/>
          <w:szCs w:val="24"/>
          <w:lang w:eastAsia="sk-SK"/>
        </w:rPr>
      </w:r>
    </w:p>
    <w:p>
      <w:pPr>
        <w:pStyle w:val="Normal"/>
        <w:numPr>
          <w:ilvl w:val="0"/>
          <w:numId w:val="14"/>
        </w:numPr>
        <w:spacing w:lineRule="auto" w:line="240" w:before="0" w:after="0"/>
        <w:jc w:val="both"/>
        <w:rPr>
          <w:rFonts w:ascii="Arial" w:hAnsi="Arial"/>
          <w:bCs/>
          <w:sz w:val="24"/>
          <w:szCs w:val="24"/>
          <w:lang w:eastAsia="sk-SK"/>
        </w:rPr>
      </w:pPr>
      <w:r>
        <w:rPr>
          <w:rFonts w:ascii="Arial" w:hAnsi="Arial"/>
          <w:sz w:val="24"/>
          <w:szCs w:val="24"/>
          <w:lang w:eastAsia="sk-SK"/>
        </w:rPr>
        <w:t xml:space="preserve">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 </w:t>
      </w:r>
    </w:p>
    <w:p>
      <w:pPr>
        <w:pStyle w:val="Normal"/>
        <w:spacing w:lineRule="auto" w:line="240" w:before="0" w:after="0"/>
        <w:jc w:val="both"/>
        <w:rPr>
          <w:rFonts w:ascii="Arial" w:hAnsi="Arial"/>
          <w:bCs/>
          <w:sz w:val="24"/>
          <w:szCs w:val="24"/>
          <w:lang w:eastAsia="sk-SK"/>
        </w:rPr>
      </w:pPr>
      <w:r>
        <w:rPr>
          <w:rFonts w:ascii="Arial" w:hAnsi="Arial"/>
          <w:bCs/>
          <w:sz w:val="24"/>
          <w:szCs w:val="24"/>
          <w:lang w:eastAsia="sk-SK"/>
        </w:rPr>
      </w:r>
    </w:p>
    <w:p>
      <w:pPr>
        <w:pStyle w:val="Normal"/>
        <w:numPr>
          <w:ilvl w:val="0"/>
          <w:numId w:val="14"/>
        </w:numPr>
        <w:spacing w:lineRule="auto" w:line="240" w:before="0" w:after="0"/>
        <w:jc w:val="both"/>
        <w:rPr>
          <w:rFonts w:ascii="Arial" w:hAnsi="Arial"/>
          <w:bCs/>
          <w:sz w:val="24"/>
          <w:szCs w:val="24"/>
          <w:lang w:eastAsia="sk-SK"/>
        </w:rPr>
      </w:pPr>
      <w:r>
        <w:rPr>
          <w:rFonts w:ascii="Arial" w:hAnsi="Arial"/>
          <w:sz w:val="24"/>
          <w:szCs w:val="24"/>
          <w:lang w:eastAsia="sk-SK"/>
        </w:rPr>
        <w:t xml:space="preserve">suma odloženého daňového záväzku, ktorý vznikol z dôvodu neúčtovania tej časti odloženej daňovej pohľadávky v bežnom účtovnom období, o ktorej sa účtovalo v predchádzajúcich účtovných obdobiach: </w:t>
      </w:r>
    </w:p>
    <w:p>
      <w:pPr>
        <w:pStyle w:val="Normal"/>
        <w:spacing w:lineRule="auto" w:line="240" w:before="0" w:after="0"/>
        <w:jc w:val="both"/>
        <w:rPr>
          <w:rFonts w:ascii="Arial" w:hAnsi="Arial"/>
          <w:bCs/>
          <w:sz w:val="24"/>
          <w:szCs w:val="24"/>
          <w:lang w:eastAsia="sk-SK"/>
        </w:rPr>
      </w:pPr>
      <w:r>
        <w:rPr>
          <w:rFonts w:ascii="Arial" w:hAnsi="Arial"/>
          <w:bCs/>
          <w:sz w:val="24"/>
          <w:szCs w:val="24"/>
          <w:lang w:eastAsia="sk-SK"/>
        </w:rPr>
      </w:r>
    </w:p>
    <w:p>
      <w:pPr>
        <w:pStyle w:val="Normal"/>
        <w:numPr>
          <w:ilvl w:val="0"/>
          <w:numId w:val="14"/>
        </w:numPr>
        <w:spacing w:lineRule="auto" w:line="240" w:before="0" w:after="0"/>
        <w:jc w:val="both"/>
        <w:rPr>
          <w:rFonts w:ascii="Arial" w:hAnsi="Arial"/>
          <w:bCs/>
          <w:sz w:val="24"/>
          <w:szCs w:val="24"/>
          <w:lang w:eastAsia="sk-SK"/>
        </w:rPr>
      </w:pPr>
      <w:r>
        <w:rPr>
          <w:rFonts w:ascii="Arial" w:hAnsi="Arial"/>
          <w:bCs/>
          <w:sz w:val="24"/>
          <w:szCs w:val="24"/>
          <w:lang w:eastAsia="sk-SK"/>
        </w:rPr>
        <w:t xml:space="preserve">suma neuplatneného umorenia daňovej straty, nevyužitých daňových odpoč-tov a iných nárokov a odpočítateľných dočasných rozdielov, ku ktorým nebola účtovaná odložená daňová pohľadávka : </w:t>
      </w:r>
    </w:p>
    <w:p>
      <w:pPr>
        <w:pStyle w:val="Normal"/>
        <w:spacing w:lineRule="auto" w:line="240" w:before="0" w:after="0"/>
        <w:jc w:val="both"/>
        <w:rPr>
          <w:rFonts w:ascii="Arial" w:hAnsi="Arial"/>
          <w:bCs/>
          <w:sz w:val="24"/>
          <w:szCs w:val="24"/>
          <w:lang w:eastAsia="sk-SK"/>
        </w:rPr>
      </w:pPr>
      <w:r>
        <w:rPr>
          <w:rFonts w:ascii="Arial" w:hAnsi="Arial"/>
          <w:bCs/>
          <w:sz w:val="24"/>
          <w:szCs w:val="24"/>
          <w:lang w:eastAsia="sk-SK"/>
        </w:rPr>
      </w:r>
    </w:p>
    <w:p>
      <w:pPr>
        <w:pStyle w:val="Normal"/>
        <w:numPr>
          <w:ilvl w:val="0"/>
          <w:numId w:val="14"/>
        </w:numPr>
        <w:spacing w:lineRule="auto" w:line="240" w:before="0" w:after="0"/>
        <w:jc w:val="both"/>
        <w:rPr>
          <w:rFonts w:ascii="Arial" w:hAnsi="Arial"/>
          <w:bCs/>
          <w:sz w:val="24"/>
          <w:szCs w:val="24"/>
          <w:lang w:eastAsia="sk-SK"/>
        </w:rPr>
      </w:pPr>
      <w:r>
        <w:rPr>
          <w:rFonts w:ascii="Arial" w:hAnsi="Arial"/>
          <w:bCs/>
          <w:sz w:val="24"/>
          <w:szCs w:val="24"/>
          <w:lang w:eastAsia="sk-SK"/>
        </w:rPr>
        <w:t>odložená daň z príjmov, ktorá sa vzťahuje k položkám účtovaným priamo na účty vlastného imania bez účtovania na účty nákladov a výnosov:</w:t>
      </w:r>
    </w:p>
    <w:p>
      <w:pPr>
        <w:pStyle w:val="Nzov"/>
        <w:spacing w:beforeAutospacing="0" w:before="0" w:after="0"/>
        <w:jc w:val="left"/>
        <w:rPr>
          <w:szCs w:val="22"/>
        </w:rPr>
      </w:pPr>
      <w:r>
        <w:rPr>
          <w:szCs w:val="22"/>
        </w:rPr>
      </w:r>
    </w:p>
    <w:p>
      <w:pPr>
        <w:pStyle w:val="Nzov"/>
        <w:numPr>
          <w:ilvl w:val="0"/>
          <w:numId w:val="19"/>
        </w:numPr>
        <w:spacing w:beforeAutospacing="0" w:before="0" w:after="0"/>
        <w:ind w:left="567" w:hanging="425"/>
        <w:jc w:val="left"/>
        <w:rPr>
          <w:szCs w:val="22"/>
        </w:rPr>
      </w:pPr>
      <w:r>
        <w:rPr>
          <w:szCs w:val="22"/>
        </w:rPr>
        <w:t>Informácie k prílohe č. 3 časti J. písm. a) až e) o daniach z príjmov</w:t>
      </w:r>
    </w:p>
    <w:tbl>
      <w:tblPr>
        <w:tblW w:w="5000" w:type="pct"/>
        <w:jc w:val="center"/>
        <w:tblInd w:w="0"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top w:w="0" w:type="dxa"/>
          <w:left w:w="18" w:type="dxa"/>
          <w:bottom w:w="0" w:type="dxa"/>
          <w:right w:w="108" w:type="dxa"/>
        </w:tblCellMar>
        <w:tblLook w:val="00a0"/>
      </w:tblPr>
      <w:tblGrid>
        <w:gridCol w:w="5571"/>
        <w:gridCol w:w="1554"/>
        <w:gridCol w:w="1947"/>
      </w:tblGrid>
      <w:tr>
        <w:trPr>
          <w:trHeight w:val="840" w:hRule="atLeast"/>
        </w:trPr>
        <w:tc>
          <w:tcPr>
            <w:tcW w:w="557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Názov položky</w:t>
            </w:r>
          </w:p>
        </w:tc>
        <w:tc>
          <w:tcPr>
            <w:tcW w:w="155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Bežné účtovné obdobie</w:t>
            </w:r>
          </w:p>
        </w:tc>
        <w:tc>
          <w:tcPr>
            <w:tcW w:w="194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Bezprostredne predchádzajúce účtovné obdobie</w:t>
            </w:r>
          </w:p>
        </w:tc>
      </w:tr>
      <w:tr>
        <w:trPr>
          <w:trHeight w:val="567" w:hRule="atLeast"/>
        </w:trPr>
        <w:tc>
          <w:tcPr>
            <w:tcW w:w="557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Suma odloženej daňovej pohľadávky účtovanej ako náklad alebo výnos vyplývajúca zo zmeny sadzby dane z príjmov</w:t>
            </w:r>
          </w:p>
        </w:tc>
        <w:tc>
          <w:tcPr>
            <w:tcW w:w="1554"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947"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r>
      <w:tr>
        <w:trPr>
          <w:trHeight w:val="567" w:hRule="atLeast"/>
        </w:trPr>
        <w:tc>
          <w:tcPr>
            <w:tcW w:w="5571" w:type="dxa"/>
            <w:tcBorders>
              <w:top w:val="single" w:sz="8"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Suma odloženého daňového záväzku účtovaného ako náklad alebo výnos vyplývajúci zo zmeny sadzby dane z príjmov</w:t>
            </w:r>
          </w:p>
        </w:tc>
        <w:tc>
          <w:tcPr>
            <w:tcW w:w="1554"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94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r>
      <w:tr>
        <w:trPr>
          <w:trHeight w:val="567" w:hRule="atLeast"/>
        </w:trPr>
        <w:tc>
          <w:tcPr>
            <w:tcW w:w="5571"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554"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947"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r>
      <w:tr>
        <w:trPr>
          <w:trHeight w:val="567" w:hRule="atLeast"/>
        </w:trPr>
        <w:tc>
          <w:tcPr>
            <w:tcW w:w="5571"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xml:space="preserve">Suma odloženého daňového záväzku, ktorý vznikol </w:t>
              <w:br/>
              <w:t>z dôvodu neúčtovania tej časti odloženej daňovej pohľadávky v bežnom účtovnom období, o ktorej sa účtovalo v predchádzajúcich účtovných obdobiach</w:t>
            </w:r>
          </w:p>
        </w:tc>
        <w:tc>
          <w:tcPr>
            <w:tcW w:w="1554"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947"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r>
      <w:tr>
        <w:trPr>
          <w:trHeight w:val="567" w:hRule="atLeast"/>
        </w:trPr>
        <w:tc>
          <w:tcPr>
            <w:tcW w:w="557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Suma neuplatneného umorenia daňovej straty, nevyužitých daňových odpočtov a iných nárokov a odpočítateľných dočasných rozdielov, ku ktorým nebola účtovaná odložená daňová pohľadávka</w:t>
            </w:r>
          </w:p>
        </w:tc>
        <w:tc>
          <w:tcPr>
            <w:tcW w:w="1554"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94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r>
      <w:tr>
        <w:trPr>
          <w:trHeight w:val="567" w:hRule="atLeast"/>
        </w:trPr>
        <w:tc>
          <w:tcPr>
            <w:tcW w:w="557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Suma odloženej dani z príjmov, ktorá sa vzťahuje na položky účtované priamo na účty vlastného imania bez účtovania na účty nákladov a výnosov</w:t>
            </w:r>
          </w:p>
        </w:tc>
        <w:tc>
          <w:tcPr>
            <w:tcW w:w="155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94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p>
        </w:tc>
      </w:tr>
    </w:tbl>
    <w:p>
      <w:pPr>
        <w:pStyle w:val="Normal"/>
        <w:numPr>
          <w:ilvl w:val="0"/>
          <w:numId w:val="14"/>
        </w:numPr>
        <w:spacing w:lineRule="auto" w:line="240" w:before="0" w:after="0"/>
        <w:jc w:val="both"/>
        <w:rPr>
          <w:rFonts w:ascii="Arial" w:hAnsi="Arial"/>
          <w:bCs/>
          <w:sz w:val="24"/>
          <w:szCs w:val="24"/>
          <w:lang w:eastAsia="sk-SK"/>
        </w:rPr>
      </w:pPr>
      <w:r>
        <w:rPr>
          <w:rFonts w:ascii="Arial" w:hAnsi="Arial"/>
          <w:bCs/>
          <w:sz w:val="24"/>
          <w:szCs w:val="24"/>
          <w:lang w:eastAsia="sk-SK"/>
        </w:rPr>
        <w:t xml:space="preserve">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sadbou dane z príjmov: </w:t>
      </w:r>
    </w:p>
    <w:p>
      <w:pPr>
        <w:pStyle w:val="Normal"/>
        <w:numPr>
          <w:ilvl w:val="0"/>
          <w:numId w:val="14"/>
        </w:numPr>
        <w:spacing w:lineRule="auto" w:line="240" w:before="0" w:after="0"/>
        <w:jc w:val="both"/>
        <w:rPr>
          <w:rFonts w:ascii="Arial" w:hAnsi="Arial"/>
          <w:bCs/>
          <w:sz w:val="24"/>
          <w:szCs w:val="24"/>
          <w:lang w:eastAsia="sk-SK"/>
        </w:rPr>
      </w:pPr>
      <w:r>
        <w:rPr>
          <w:rFonts w:ascii="Arial" w:hAnsi="Arial"/>
          <w:bCs/>
          <w:sz w:val="24"/>
          <w:szCs w:val="24"/>
          <w:lang w:eastAsia="sk-SK"/>
        </w:rPr>
        <w:t xml:space="preserve">zmena sadzby dane z príjmov : </w:t>
      </w:r>
    </w:p>
    <w:p>
      <w:pPr>
        <w:pStyle w:val="Nzov"/>
        <w:keepNext/>
        <w:widowControl w:val="false"/>
        <w:numPr>
          <w:ilvl w:val="0"/>
          <w:numId w:val="19"/>
        </w:numPr>
        <w:spacing w:beforeAutospacing="0" w:before="0" w:after="0"/>
        <w:ind w:left="567" w:hanging="425"/>
        <w:jc w:val="left"/>
        <w:rPr>
          <w:szCs w:val="22"/>
        </w:rPr>
      </w:pPr>
      <w:r>
        <w:rPr>
          <w:szCs w:val="22"/>
        </w:rPr>
        <w:t>Informácie k prílohe č. 3  časti J.  písm. f) a g) o daniach z príjmov</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8" w:type="dxa"/>
          <w:bottom w:w="0" w:type="dxa"/>
          <w:right w:w="108" w:type="dxa"/>
        </w:tblCellMar>
        <w:tblLook w:val="00a0"/>
      </w:tblPr>
      <w:tblGrid>
        <w:gridCol w:w="2736"/>
        <w:gridCol w:w="1662"/>
        <w:gridCol w:w="776"/>
        <w:gridCol w:w="651"/>
        <w:gridCol w:w="1897"/>
        <w:gridCol w:w="700"/>
        <w:gridCol w:w="649"/>
      </w:tblGrid>
      <w:tr>
        <w:trPr>
          <w:trHeight w:val="642" w:hRule="atLeast"/>
        </w:trPr>
        <w:tc>
          <w:tcPr>
            <w:tcW w:w="2736" w:type="dxa"/>
            <w:vMerge w:val="restart"/>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Názov položky</w:t>
            </w:r>
          </w:p>
        </w:tc>
        <w:tc>
          <w:tcPr>
            <w:tcW w:w="3089"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Bežné účtovné obdobie</w:t>
            </w:r>
          </w:p>
        </w:tc>
        <w:tc>
          <w:tcPr>
            <w:tcW w:w="3246"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Bezprostredne predchádzajúce</w:t>
            </w:r>
          </w:p>
          <w:p>
            <w:pPr>
              <w:pStyle w:val="TopHeader"/>
              <w:rPr/>
            </w:pPr>
            <w:r>
              <w:rPr/>
              <w:t xml:space="preserve"> </w:t>
            </w:r>
            <w:r>
              <w:rPr/>
              <w:t>účtovné obdobie</w:t>
            </w:r>
          </w:p>
        </w:tc>
      </w:tr>
      <w:tr>
        <w:trPr>
          <w:trHeight w:val="345" w:hRule="atLeast"/>
        </w:trPr>
        <w:tc>
          <w:tcPr>
            <w:tcW w:w="2736" w:type="dxa"/>
            <w:vMerge w:val="continue"/>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r>
          </w:p>
        </w:tc>
        <w:tc>
          <w:tcPr>
            <w:tcW w:w="1662"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Základ dane</w:t>
            </w:r>
          </w:p>
        </w:tc>
        <w:tc>
          <w:tcPr>
            <w:tcW w:w="776"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Daň</w:t>
            </w:r>
          </w:p>
        </w:tc>
        <w:tc>
          <w:tcPr>
            <w:tcW w:w="651"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Daň v %</w:t>
            </w:r>
          </w:p>
        </w:tc>
        <w:tc>
          <w:tcPr>
            <w:tcW w:w="1897"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Základ dane</w:t>
            </w:r>
          </w:p>
        </w:tc>
        <w:tc>
          <w:tcPr>
            <w:tcW w:w="700"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Daň</w:t>
            </w:r>
          </w:p>
        </w:tc>
        <w:tc>
          <w:tcPr>
            <w:tcW w:w="649"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Daň v %</w:t>
            </w:r>
          </w:p>
        </w:tc>
      </w:tr>
      <w:tr>
        <w:trPr>
          <w:trHeight w:val="330" w:hRule="atLeast"/>
        </w:trPr>
        <w:tc>
          <w:tcPr>
            <w:tcW w:w="273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A</w:t>
            </w:r>
          </w:p>
        </w:tc>
        <w:tc>
          <w:tcPr>
            <w:tcW w:w="166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b</w:t>
            </w:r>
          </w:p>
        </w:tc>
        <w:tc>
          <w:tcPr>
            <w:tcW w:w="77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C</w:t>
            </w:r>
          </w:p>
        </w:tc>
        <w:tc>
          <w:tcPr>
            <w:tcW w:w="65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d</w:t>
            </w:r>
          </w:p>
        </w:tc>
        <w:tc>
          <w:tcPr>
            <w:tcW w:w="189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e</w:t>
            </w:r>
          </w:p>
        </w:tc>
        <w:tc>
          <w:tcPr>
            <w:tcW w:w="70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f</w:t>
            </w:r>
          </w:p>
        </w:tc>
        <w:tc>
          <w:tcPr>
            <w:tcW w:w="64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jc w:val="center"/>
              <w:rPr>
                <w:szCs w:val="22"/>
              </w:rPr>
            </w:pPr>
            <w:r>
              <w:rPr>
                <w:szCs w:val="22"/>
              </w:rPr>
              <w:t>G</w:t>
            </w:r>
          </w:p>
        </w:tc>
      </w:tr>
      <w:tr>
        <w:trPr>
          <w:trHeight w:val="397" w:hRule="atLeast"/>
        </w:trPr>
        <w:tc>
          <w:tcPr>
            <w:tcW w:w="2736"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Výsledok hospodárenia </w:t>
              <w:br/>
              <w:t>pred zdanením, z toho:</w:t>
            </w:r>
          </w:p>
        </w:tc>
        <w:tc>
          <w:tcPr>
            <w:tcW w:w="1662"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pPr>
            <w:r>
              <w:rPr>
                <w:szCs w:val="22"/>
              </w:rPr>
              <w:t xml:space="preserve">  </w:t>
            </w:r>
            <w:r>
              <w:rPr>
                <w:szCs w:val="22"/>
              </w:rPr>
              <w:t>11351</w:t>
            </w:r>
          </w:p>
        </w:tc>
        <w:tc>
          <w:tcPr>
            <w:tcW w:w="776"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jc w:val="center"/>
              <w:rPr/>
            </w:pPr>
            <w:r>
              <w:rPr>
                <w:szCs w:val="22"/>
              </w:rPr>
              <w:t>X</w:t>
            </w:r>
          </w:p>
        </w:tc>
        <w:tc>
          <w:tcPr>
            <w:tcW w:w="651"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jc w:val="center"/>
              <w:rPr>
                <w:szCs w:val="22"/>
              </w:rPr>
            </w:pPr>
            <w:r>
              <w:rPr>
                <w:szCs w:val="22"/>
              </w:rPr>
              <w:t>x</w:t>
            </w:r>
          </w:p>
        </w:tc>
        <w:tc>
          <w:tcPr>
            <w:tcW w:w="1897"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pPr>
            <w:r>
              <w:rPr>
                <w:szCs w:val="22"/>
              </w:rPr>
              <w:t xml:space="preserve">       </w:t>
            </w:r>
            <w:r>
              <w:rPr>
                <w:szCs w:val="22"/>
              </w:rPr>
              <w:t>6464</w:t>
            </w:r>
          </w:p>
        </w:tc>
        <w:tc>
          <w:tcPr>
            <w:tcW w:w="700"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jc w:val="center"/>
              <w:rPr>
                <w:szCs w:val="22"/>
              </w:rPr>
            </w:pPr>
            <w:r>
              <w:rPr>
                <w:szCs w:val="22"/>
              </w:rPr>
              <w:t>x</w:t>
            </w:r>
          </w:p>
        </w:tc>
        <w:tc>
          <w:tcPr>
            <w:tcW w:w="64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jc w:val="center"/>
              <w:rPr>
                <w:szCs w:val="22"/>
              </w:rPr>
            </w:pPr>
            <w:r>
              <w:rPr>
                <w:szCs w:val="22"/>
              </w:rPr>
              <w:t>X</w:t>
            </w:r>
          </w:p>
        </w:tc>
      </w:tr>
      <w:tr>
        <w:trPr>
          <w:trHeight w:val="397" w:hRule="atLeast"/>
        </w:trPr>
        <w:tc>
          <w:tcPr>
            <w:tcW w:w="2736"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xml:space="preserve">Teoretická daň </w:t>
            </w:r>
          </w:p>
        </w:tc>
        <w:tc>
          <w:tcPr>
            <w:tcW w:w="1662"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8" w:type="dxa"/>
            </w:tcMar>
            <w:vAlign w:val="center"/>
          </w:tcPr>
          <w:p>
            <w:pPr>
              <w:pStyle w:val="Normal"/>
              <w:spacing w:lineRule="auto" w:line="240" w:before="0" w:after="0"/>
              <w:jc w:val="center"/>
              <w:rPr>
                <w:szCs w:val="22"/>
              </w:rPr>
            </w:pPr>
            <w:r>
              <w:rPr>
                <w:szCs w:val="22"/>
              </w:rPr>
              <w:t>x</w:t>
            </w:r>
          </w:p>
        </w:tc>
        <w:tc>
          <w:tcPr>
            <w:tcW w:w="776"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5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8" w:type="dxa"/>
            </w:tcMar>
            <w:vAlign w:val="center"/>
          </w:tcPr>
          <w:p>
            <w:pPr>
              <w:pStyle w:val="Normal"/>
              <w:spacing w:lineRule="auto" w:line="240" w:before="0" w:after="0"/>
              <w:jc w:val="center"/>
              <w:rPr>
                <w:szCs w:val="22"/>
              </w:rPr>
            </w:pPr>
            <w:r>
              <w:rPr>
                <w:szCs w:val="22"/>
              </w:rPr>
              <w:t>X</w:t>
            </w:r>
          </w:p>
        </w:tc>
        <w:tc>
          <w:tcPr>
            <w:tcW w:w="700"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4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Daňovo neuznané náklady</w:t>
            </w:r>
          </w:p>
        </w:tc>
        <w:tc>
          <w:tcPr>
            <w:tcW w:w="1662"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8" w:type="dxa"/>
            </w:tcMar>
            <w:vAlign w:val="center"/>
          </w:tcPr>
          <w:p>
            <w:pPr>
              <w:pStyle w:val="Normal"/>
              <w:spacing w:lineRule="auto" w:line="240" w:before="0" w:after="0"/>
              <w:rPr/>
            </w:pPr>
            <w:r>
              <w:rPr>
                <w:szCs w:val="22"/>
              </w:rPr>
              <w:t xml:space="preserve">    </w:t>
            </w:r>
            <w:r>
              <w:rPr>
                <w:szCs w:val="22"/>
              </w:rPr>
              <w:t>28187</w:t>
            </w:r>
          </w:p>
        </w:tc>
        <w:tc>
          <w:tcPr>
            <w:tcW w:w="776"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5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8" w:type="dxa"/>
            </w:tcMar>
            <w:vAlign w:val="center"/>
          </w:tcPr>
          <w:p>
            <w:pPr>
              <w:pStyle w:val="Normal"/>
              <w:spacing w:lineRule="auto" w:line="240" w:before="0" w:after="0"/>
              <w:rPr/>
            </w:pPr>
            <w:r>
              <w:rPr>
                <w:szCs w:val="22"/>
              </w:rPr>
              <w:t xml:space="preserve">         </w:t>
            </w:r>
            <w:r>
              <w:rPr>
                <w:szCs w:val="22"/>
              </w:rPr>
              <w:t>25993</w:t>
            </w:r>
          </w:p>
        </w:tc>
        <w:tc>
          <w:tcPr>
            <w:tcW w:w="700"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4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Výnosy nepodliehajúce dani</w:t>
            </w:r>
          </w:p>
        </w:tc>
        <w:tc>
          <w:tcPr>
            <w:tcW w:w="1662"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8" w:type="dxa"/>
            </w:tcMar>
            <w:vAlign w:val="center"/>
          </w:tcPr>
          <w:p>
            <w:pPr>
              <w:pStyle w:val="Normal"/>
              <w:spacing w:lineRule="auto" w:line="240" w:before="0" w:after="0"/>
              <w:rPr/>
            </w:pPr>
            <w:r>
              <w:rPr>
                <w:szCs w:val="22"/>
              </w:rPr>
              <w:t xml:space="preserve">      </w:t>
            </w:r>
            <w:r>
              <w:rPr>
                <w:szCs w:val="22"/>
              </w:rPr>
              <w:t>302</w:t>
            </w:r>
          </w:p>
        </w:tc>
        <w:tc>
          <w:tcPr>
            <w:tcW w:w="776"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5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8" w:type="dxa"/>
            </w:tcMar>
            <w:vAlign w:val="center"/>
          </w:tcPr>
          <w:p>
            <w:pPr>
              <w:pStyle w:val="Normal"/>
              <w:spacing w:lineRule="auto" w:line="240" w:before="0" w:after="0"/>
              <w:rPr/>
            </w:pPr>
            <w:r>
              <w:rPr>
                <w:szCs w:val="22"/>
              </w:rPr>
              <w:t xml:space="preserve">               </w:t>
            </w:r>
            <w:r>
              <w:rPr>
                <w:szCs w:val="22"/>
              </w:rPr>
              <w:t>5</w:t>
            </w:r>
          </w:p>
        </w:tc>
        <w:tc>
          <w:tcPr>
            <w:tcW w:w="700"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4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Vplyv nevykázanej odloženej daňovej pohľadávky</w:t>
            </w:r>
          </w:p>
        </w:tc>
        <w:tc>
          <w:tcPr>
            <w:tcW w:w="1662"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776"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5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700"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4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Umorenie daňovej straty</w:t>
            </w:r>
          </w:p>
        </w:tc>
        <w:tc>
          <w:tcPr>
            <w:tcW w:w="1662"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25 077</w:t>
            </w:r>
          </w:p>
        </w:tc>
        <w:tc>
          <w:tcPr>
            <w:tcW w:w="776"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51"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25 077</w:t>
            </w:r>
          </w:p>
        </w:tc>
        <w:tc>
          <w:tcPr>
            <w:tcW w:w="700"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49"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Zmena sadzby dane</w:t>
            </w:r>
          </w:p>
        </w:tc>
        <w:tc>
          <w:tcPr>
            <w:tcW w:w="1662"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77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5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7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Iné</w:t>
            </w:r>
          </w:p>
        </w:tc>
        <w:tc>
          <w:tcPr>
            <w:tcW w:w="1662"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77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5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7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Spolu</w:t>
            </w:r>
          </w:p>
        </w:tc>
        <w:tc>
          <w:tcPr>
            <w:tcW w:w="1662"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pPr>
            <w:r>
              <w:rPr>
                <w:szCs w:val="22"/>
              </w:rPr>
              <w:t xml:space="preserve"> </w:t>
            </w:r>
            <w:r>
              <w:rPr>
                <w:szCs w:val="22"/>
              </w:rPr>
              <w:t>14159</w:t>
            </w:r>
          </w:p>
        </w:tc>
        <w:tc>
          <w:tcPr>
            <w:tcW w:w="77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5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pPr>
            <w:r>
              <w:rPr>
                <w:szCs w:val="22"/>
              </w:rPr>
              <w:t xml:space="preserve">      </w:t>
            </w:r>
            <w:r>
              <w:rPr>
                <w:szCs w:val="22"/>
              </w:rPr>
              <w:t>7375</w:t>
            </w:r>
          </w:p>
        </w:tc>
        <w:tc>
          <w:tcPr>
            <w:tcW w:w="7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Splatná daň z príjmov</w:t>
            </w:r>
          </w:p>
        </w:tc>
        <w:tc>
          <w:tcPr>
            <w:tcW w:w="1662"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jc w:val="center"/>
              <w:rPr>
                <w:szCs w:val="22"/>
              </w:rPr>
            </w:pPr>
            <w:r>
              <w:rPr>
                <w:szCs w:val="22"/>
              </w:rPr>
              <w:t>x</w:t>
            </w:r>
          </w:p>
        </w:tc>
        <w:tc>
          <w:tcPr>
            <w:tcW w:w="77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5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jc w:val="center"/>
              <w:rPr>
                <w:szCs w:val="22"/>
              </w:rPr>
            </w:pPr>
            <w:r>
              <w:rPr>
                <w:szCs w:val="22"/>
              </w:rPr>
              <w:t>x</w:t>
            </w:r>
          </w:p>
        </w:tc>
        <w:tc>
          <w:tcPr>
            <w:tcW w:w="7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Odložená daň z príjmov</w:t>
            </w:r>
          </w:p>
        </w:tc>
        <w:tc>
          <w:tcPr>
            <w:tcW w:w="1662"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jc w:val="center"/>
              <w:rPr>
                <w:szCs w:val="22"/>
              </w:rPr>
            </w:pPr>
            <w:r>
              <w:rPr>
                <w:szCs w:val="22"/>
              </w:rPr>
              <w:t>x</w:t>
            </w:r>
          </w:p>
        </w:tc>
        <w:tc>
          <w:tcPr>
            <w:tcW w:w="77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5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jc w:val="center"/>
              <w:rPr>
                <w:szCs w:val="22"/>
              </w:rPr>
            </w:pPr>
            <w:r>
              <w:rPr>
                <w:szCs w:val="22"/>
              </w:rPr>
              <w:t>x</w:t>
            </w:r>
          </w:p>
        </w:tc>
        <w:tc>
          <w:tcPr>
            <w:tcW w:w="7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xml:space="preserve">Celková daň z príjmov </w:t>
            </w:r>
          </w:p>
        </w:tc>
        <w:tc>
          <w:tcPr>
            <w:tcW w:w="1662" w:type="dxa"/>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8" w:type="dxa"/>
            </w:tcMar>
            <w:vAlign w:val="center"/>
          </w:tcPr>
          <w:p>
            <w:pPr>
              <w:pStyle w:val="Normal"/>
              <w:spacing w:lineRule="auto" w:line="240" w:before="0" w:after="0"/>
              <w:jc w:val="center"/>
              <w:rPr>
                <w:szCs w:val="22"/>
              </w:rPr>
            </w:pPr>
            <w:r>
              <w:rPr>
                <w:szCs w:val="22"/>
              </w:rPr>
              <w:t>3114,85</w:t>
            </w:r>
          </w:p>
        </w:tc>
        <w:tc>
          <w:tcPr>
            <w:tcW w:w="776"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5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8" w:type="dxa"/>
            </w:tcMar>
            <w:vAlign w:val="center"/>
          </w:tcPr>
          <w:p>
            <w:pPr>
              <w:pStyle w:val="Normal"/>
              <w:spacing w:lineRule="auto" w:line="240" w:before="0" w:after="0"/>
              <w:jc w:val="center"/>
              <w:rPr>
                <w:szCs w:val="22"/>
              </w:rPr>
            </w:pPr>
            <w:r>
              <w:rPr>
                <w:szCs w:val="22"/>
              </w:rPr>
              <w:t>x</w:t>
            </w:r>
          </w:p>
        </w:tc>
        <w:tc>
          <w:tcPr>
            <w:tcW w:w="700"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64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r>
          </w:p>
        </w:tc>
      </w:tr>
    </w:tbl>
    <w:p>
      <w:pPr>
        <w:pStyle w:val="Normal"/>
        <w:spacing w:lineRule="auto" w:line="240" w:before="0" w:after="0"/>
        <w:jc w:val="both"/>
        <w:rPr>
          <w:rFonts w:ascii="Arial" w:hAnsi="Arial"/>
          <w:bCs/>
          <w:sz w:val="24"/>
          <w:szCs w:val="24"/>
          <w:lang w:eastAsia="sk-SK"/>
        </w:rPr>
      </w:pPr>
      <w:r>
        <w:rPr>
          <w:rFonts w:ascii="Arial" w:hAnsi="Arial"/>
          <w:bCs/>
          <w:sz w:val="24"/>
          <w:szCs w:val="24"/>
          <w:lang w:eastAsia="sk-SK"/>
        </w:rPr>
      </w:r>
    </w:p>
    <w:p>
      <w:pPr>
        <w:pStyle w:val="Normal"/>
        <w:numPr>
          <w:ilvl w:val="0"/>
          <w:numId w:val="3"/>
        </w:numPr>
        <w:spacing w:lineRule="auto" w:line="240" w:before="0" w:after="0"/>
        <w:rPr>
          <w:rFonts w:ascii="Arial" w:hAnsi="Arial"/>
          <w:b/>
          <w:b/>
          <w:sz w:val="24"/>
          <w:szCs w:val="24"/>
          <w:lang w:eastAsia="sk-SK"/>
        </w:rPr>
      </w:pPr>
      <w:r>
        <w:rPr>
          <w:rFonts w:ascii="Arial" w:hAnsi="Arial"/>
          <w:b/>
          <w:sz w:val="24"/>
          <w:szCs w:val="24"/>
          <w:lang w:eastAsia="sk-SK"/>
        </w:rPr>
        <w:t xml:space="preserve">Údaje na podsúvahových účtoch </w:t>
        <w:br/>
      </w:r>
    </w:p>
    <w:p>
      <w:pPr>
        <w:pStyle w:val="Normal"/>
        <w:spacing w:lineRule="auto" w:line="240" w:before="0" w:after="0"/>
        <w:rPr>
          <w:rFonts w:ascii="Arial" w:hAnsi="Arial"/>
          <w:b/>
          <w:b/>
          <w:bCs/>
          <w:sz w:val="24"/>
          <w:szCs w:val="24"/>
          <w:lang w:eastAsia="sk-SK"/>
        </w:rPr>
      </w:pPr>
      <w:r>
        <w:rPr>
          <w:rFonts w:ascii="Arial" w:hAnsi="Arial"/>
          <w:b/>
          <w:bCs/>
          <w:sz w:val="24"/>
          <w:szCs w:val="24"/>
          <w:lang w:eastAsia="sk-SK"/>
        </w:rPr>
      </w:r>
    </w:p>
    <w:p>
      <w:pPr>
        <w:pStyle w:val="Normal"/>
        <w:numPr>
          <w:ilvl w:val="0"/>
          <w:numId w:val="3"/>
        </w:numPr>
        <w:spacing w:lineRule="auto" w:line="240" w:before="0" w:after="0"/>
        <w:rPr>
          <w:rFonts w:ascii="Arial" w:hAnsi="Arial"/>
          <w:b/>
          <w:b/>
          <w:bCs/>
          <w:sz w:val="24"/>
          <w:szCs w:val="24"/>
          <w:lang w:eastAsia="sk-SK"/>
        </w:rPr>
      </w:pPr>
      <w:r>
        <w:rPr>
          <w:rFonts w:ascii="Arial" w:hAnsi="Arial"/>
          <w:b/>
          <w:sz w:val="24"/>
          <w:szCs w:val="24"/>
          <w:lang w:eastAsia="sk-SK"/>
        </w:rPr>
        <w:t>Informácie o iných aktívach a iných pasívach</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15"/>
        </w:numPr>
        <w:spacing w:lineRule="auto" w:line="240" w:before="0" w:after="0"/>
        <w:rPr>
          <w:rFonts w:ascii="Arial" w:hAnsi="Arial"/>
          <w:sz w:val="24"/>
          <w:szCs w:val="24"/>
          <w:lang w:eastAsia="sk-SK"/>
        </w:rPr>
      </w:pPr>
      <w:r>
        <w:rPr>
          <w:rFonts w:ascii="Arial" w:hAnsi="Arial"/>
          <w:sz w:val="24"/>
          <w:szCs w:val="24"/>
          <w:lang w:eastAsia="sk-SK"/>
        </w:rPr>
        <w:t>Podmienené záväzky nevykázané v súvahe</w:t>
      </w:r>
    </w:p>
    <w:p>
      <w:pPr>
        <w:pStyle w:val="Normal"/>
        <w:numPr>
          <w:ilvl w:val="0"/>
          <w:numId w:val="15"/>
        </w:numPr>
        <w:spacing w:lineRule="auto" w:line="240" w:before="0" w:after="0"/>
        <w:jc w:val="both"/>
        <w:rPr>
          <w:rFonts w:ascii="Arial" w:hAnsi="Arial"/>
          <w:sz w:val="24"/>
          <w:szCs w:val="24"/>
          <w:lang w:eastAsia="sk-SK"/>
        </w:rPr>
      </w:pPr>
      <w:r>
        <w:rPr>
          <w:rFonts w:ascii="Arial" w:hAnsi="Arial"/>
          <w:sz w:val="24"/>
          <w:szCs w:val="24"/>
          <w:lang w:eastAsia="sk-SK"/>
        </w:rPr>
        <w:t>Opis a hodnota podmienených záväzkov voči spriazneným osobám</w:t>
      </w:r>
    </w:p>
    <w:p>
      <w:pPr>
        <w:pStyle w:val="Normal"/>
        <w:numPr>
          <w:ilvl w:val="0"/>
          <w:numId w:val="15"/>
        </w:numPr>
        <w:spacing w:lineRule="auto" w:line="240" w:before="0" w:after="0"/>
        <w:jc w:val="both"/>
        <w:rPr>
          <w:rFonts w:ascii="Arial" w:hAnsi="Arial"/>
          <w:sz w:val="24"/>
          <w:szCs w:val="24"/>
          <w:lang w:eastAsia="sk-SK"/>
        </w:rPr>
      </w:pPr>
      <w:r>
        <w:rPr>
          <w:rFonts w:ascii="Arial" w:hAnsi="Arial"/>
          <w:sz w:val="24"/>
          <w:szCs w:val="24"/>
          <w:lang w:eastAsia="sk-SK"/>
        </w:rPr>
        <w:t>Opis a hodnota podmieneného majetku</w:t>
      </w:r>
    </w:p>
    <w:p>
      <w:pPr>
        <w:pStyle w:val="Normal"/>
        <w:spacing w:lineRule="auto" w:line="240" w:before="0" w:after="0"/>
        <w:jc w:val="both"/>
        <w:rPr>
          <w:rFonts w:ascii="Arial" w:hAnsi="Arial"/>
          <w:szCs w:val="22"/>
          <w:lang w:eastAsia="sk-SK"/>
        </w:rPr>
      </w:pPr>
      <w:r>
        <w:rPr>
          <w:rFonts w:ascii="Arial" w:hAnsi="Arial"/>
          <w:szCs w:val="22"/>
          <w:lang w:eastAsia="sk-SK"/>
        </w:rPr>
      </w:r>
    </w:p>
    <w:p>
      <w:pPr>
        <w:pStyle w:val="Normal"/>
        <w:spacing w:lineRule="auto" w:line="240" w:before="0" w:after="0"/>
        <w:ind w:left="360" w:hanging="0"/>
        <w:jc w:val="both"/>
        <w:rPr>
          <w:rFonts w:ascii="Arial" w:hAnsi="Arial"/>
          <w:szCs w:val="22"/>
          <w:lang w:eastAsia="sk-SK"/>
        </w:rPr>
      </w:pPr>
      <w:r>
        <w:rPr>
          <w:rFonts w:ascii="Arial" w:hAnsi="Arial"/>
          <w:szCs w:val="22"/>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t xml:space="preserve">     </w:t>
      </w:r>
      <w:r>
        <w:rPr>
          <w:rFonts w:ascii="Arial" w:hAnsi="Arial"/>
          <w:sz w:val="24"/>
          <w:szCs w:val="24"/>
          <w:lang w:eastAsia="sk-SK"/>
        </w:rPr>
        <w:t xml:space="preserve">Budúce práva a povinností účtovnej jednotky nevykázané v súvahe týkajúce sa spriaznených osôb :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3"/>
        </w:numPr>
        <w:spacing w:lineRule="auto" w:line="240" w:before="0" w:after="0"/>
        <w:rPr>
          <w:rFonts w:ascii="Arial" w:hAnsi="Arial"/>
          <w:b/>
          <w:b/>
          <w:bCs/>
          <w:sz w:val="24"/>
          <w:szCs w:val="24"/>
          <w:lang w:eastAsia="sk-SK"/>
        </w:rPr>
      </w:pPr>
      <w:r>
        <w:rPr>
          <w:rFonts w:ascii="Arial" w:hAnsi="Arial"/>
          <w:b/>
          <w:sz w:val="24"/>
          <w:szCs w:val="24"/>
          <w:lang w:eastAsia="sk-SK"/>
        </w:rPr>
        <w:t>Príjmy a výhody členov štatutárnych orgánov, dozorných orgánov a iných orgánov účtovnej jednotky</w:t>
      </w:r>
    </w:p>
    <w:p>
      <w:pPr>
        <w:pStyle w:val="Normal"/>
        <w:spacing w:lineRule="auto" w:line="240" w:before="0" w:after="0"/>
        <w:ind w:left="1065" w:hanging="0"/>
        <w:rPr>
          <w:rFonts w:ascii="Arial" w:hAnsi="Arial"/>
          <w:b/>
          <w:b/>
          <w:bCs/>
          <w:sz w:val="24"/>
          <w:szCs w:val="24"/>
          <w:lang w:eastAsia="sk-SK"/>
        </w:rPr>
      </w:pPr>
      <w:r>
        <w:rPr>
          <w:rFonts w:ascii="Arial" w:hAnsi="Arial"/>
          <w:b/>
          <w:bCs/>
          <w:sz w:val="24"/>
          <w:szCs w:val="24"/>
          <w:lang w:eastAsia="sk-SK"/>
        </w:rPr>
      </w:r>
    </w:p>
    <w:p>
      <w:pPr>
        <w:pStyle w:val="Default"/>
        <w:numPr>
          <w:ilvl w:val="0"/>
          <w:numId w:val="16"/>
        </w:numPr>
        <w:spacing w:before="0" w:after="14"/>
        <w:rPr>
          <w:szCs w:val="22"/>
        </w:rPr>
      </w:pPr>
      <w:r>
        <w:rPr>
          <w:bCs/>
          <w:szCs w:val="22"/>
        </w:rPr>
        <w:t>výška priznaných odmien za účtovné obdobie pre členov štatutárneho orgánu, dozorného orgánu a iného orgánu účtovnej jednotky z dôvodu výkonu ich funkcie vrátane plnení vyplývajúcich z dôchodkových programov pre bývalých členov týchto orgánov:</w:t>
      </w:r>
    </w:p>
    <w:p>
      <w:pPr>
        <w:pStyle w:val="Default"/>
        <w:spacing w:before="0" w:after="14"/>
        <w:ind w:left="720" w:hanging="0"/>
        <w:rPr>
          <w:szCs w:val="22"/>
        </w:rPr>
      </w:pPr>
      <w:r>
        <w:rPr>
          <w:bCs/>
          <w:szCs w:val="22"/>
        </w:rPr>
        <w:t xml:space="preserve"> </w:t>
      </w:r>
    </w:p>
    <w:p>
      <w:pPr>
        <w:pStyle w:val="Default"/>
        <w:numPr>
          <w:ilvl w:val="0"/>
          <w:numId w:val="16"/>
        </w:numPr>
        <w:spacing w:before="0" w:after="14"/>
        <w:rPr>
          <w:szCs w:val="22"/>
        </w:rPr>
      </w:pPr>
      <w:r>
        <w:rPr>
          <w:bCs/>
          <w:szCs w:val="22"/>
        </w:rPr>
        <w:t xml:space="preserve">výška jednotlivých druhov záruk alebo iných zabezpečení poskytnutých pre členov štatutárneho orgánu, dozorného orgánu a iného orgánu účtovnej jednotky: </w:t>
      </w:r>
    </w:p>
    <w:p>
      <w:pPr>
        <w:pStyle w:val="Default"/>
        <w:spacing w:before="0" w:after="14"/>
        <w:rPr>
          <w:szCs w:val="22"/>
        </w:rPr>
      </w:pPr>
      <w:r>
        <w:rPr>
          <w:szCs w:val="22"/>
        </w:rPr>
      </w:r>
    </w:p>
    <w:p>
      <w:pPr>
        <w:pStyle w:val="Default"/>
        <w:numPr>
          <w:ilvl w:val="0"/>
          <w:numId w:val="16"/>
        </w:numPr>
        <w:rPr>
          <w:szCs w:val="22"/>
        </w:rPr>
      </w:pPr>
      <w:r>
        <w:rPr>
          <w:bCs/>
          <w:szCs w:val="22"/>
        </w:rPr>
        <w:t xml:space="preserve">pôžičky poskytnuté členom štatutárneho orgánu, dozorného orgánu a iného orgánu účtovnej jednotky: </w:t>
      </w:r>
    </w:p>
    <w:p>
      <w:pPr>
        <w:pStyle w:val="Default"/>
        <w:numPr>
          <w:ilvl w:val="1"/>
          <w:numId w:val="15"/>
        </w:numPr>
        <w:rPr>
          <w:bCs/>
          <w:szCs w:val="22"/>
        </w:rPr>
      </w:pPr>
      <w:r>
        <w:rPr>
          <w:bCs/>
          <w:szCs w:val="22"/>
        </w:rPr>
        <w:t>celková suma poskytnutých pôžičiek k poslednému dňu účtovného obdobia v členení za jednotlivé orgány:</w:t>
      </w:r>
    </w:p>
    <w:p>
      <w:pPr>
        <w:pStyle w:val="Default"/>
        <w:ind w:left="1440" w:hanging="0"/>
        <w:rPr>
          <w:szCs w:val="22"/>
        </w:rPr>
      </w:pPr>
      <w:r>
        <w:rPr>
          <w:szCs w:val="22"/>
        </w:rPr>
      </w:r>
    </w:p>
    <w:p>
      <w:pPr>
        <w:pStyle w:val="Default"/>
        <w:numPr>
          <w:ilvl w:val="1"/>
          <w:numId w:val="15"/>
        </w:numPr>
        <w:rPr>
          <w:bCs/>
          <w:szCs w:val="22"/>
        </w:rPr>
      </w:pPr>
      <w:r>
        <w:rPr>
          <w:bCs/>
          <w:szCs w:val="22"/>
        </w:rPr>
        <w:t>celková suma splatených pôžičiek k poslednému dňu účtovného obdobia v členení za jednotlivé orgány:</w:t>
      </w:r>
    </w:p>
    <w:p>
      <w:pPr>
        <w:pStyle w:val="Default"/>
        <w:rPr>
          <w:szCs w:val="22"/>
        </w:rPr>
      </w:pPr>
      <w:r>
        <w:rPr>
          <w:szCs w:val="22"/>
        </w:rPr>
      </w:r>
    </w:p>
    <w:p>
      <w:pPr>
        <w:pStyle w:val="Default"/>
        <w:numPr>
          <w:ilvl w:val="1"/>
          <w:numId w:val="15"/>
        </w:numPr>
        <w:rPr>
          <w:bCs/>
          <w:szCs w:val="22"/>
        </w:rPr>
      </w:pPr>
      <w:r>
        <w:rPr>
          <w:bCs/>
          <w:szCs w:val="22"/>
        </w:rPr>
        <w:t>celková suma odpustených pôžičiek a odpísaných pôžičiek k poslednému dňu účtovného obdobia v členení za jednotlivé orgány:</w:t>
      </w:r>
    </w:p>
    <w:p>
      <w:pPr>
        <w:pStyle w:val="Default"/>
        <w:rPr>
          <w:szCs w:val="22"/>
        </w:rPr>
      </w:pPr>
      <w:r>
        <w:rPr>
          <w:bCs/>
          <w:szCs w:val="22"/>
        </w:rPr>
        <w:t xml:space="preserve"> </w:t>
      </w:r>
    </w:p>
    <w:p>
      <w:pPr>
        <w:pStyle w:val="Default"/>
        <w:numPr>
          <w:ilvl w:val="0"/>
          <w:numId w:val="16"/>
        </w:numPr>
        <w:spacing w:before="0" w:after="17"/>
        <w:rPr>
          <w:szCs w:val="22"/>
        </w:rPr>
      </w:pPr>
      <w:r>
        <w:rPr>
          <w:bCs/>
          <w:szCs w:val="22"/>
        </w:rPr>
        <w:t>hlavné podmienky, na základe ktorých im boli záruky alebo iné zabezpečenia a pôžičky poskytnuté:</w:t>
      </w:r>
    </w:p>
    <w:p>
      <w:pPr>
        <w:pStyle w:val="Default"/>
        <w:spacing w:before="0" w:after="17"/>
        <w:ind w:left="720" w:hanging="0"/>
        <w:rPr>
          <w:szCs w:val="22"/>
        </w:rPr>
      </w:pPr>
      <w:r>
        <w:rPr>
          <w:bCs/>
          <w:szCs w:val="22"/>
        </w:rPr>
        <w:t xml:space="preserve"> </w:t>
      </w:r>
    </w:p>
    <w:p>
      <w:pPr>
        <w:pStyle w:val="Default"/>
        <w:numPr>
          <w:ilvl w:val="0"/>
          <w:numId w:val="16"/>
        </w:numPr>
        <w:rPr>
          <w:szCs w:val="22"/>
        </w:rPr>
      </w:pPr>
      <w:r>
        <w:rPr>
          <w:bCs/>
          <w:szCs w:val="22"/>
        </w:rPr>
        <w:t xml:space="preserve">celková suma použitých finančných prostriedkov alebo iného plnenia na súkromné účely členmi štatutárneho orgánu, dozorného orgánu a iného orgánu účtovnej jednotky, ktoré sa vyúčtovávajú: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3"/>
        </w:numPr>
        <w:spacing w:lineRule="auto" w:line="240" w:before="0" w:after="0"/>
        <w:rPr/>
      </w:pPr>
      <w:r>
        <w:rPr>
          <w:rFonts w:ascii="Arial" w:hAnsi="Arial"/>
          <w:b/>
          <w:sz w:val="24"/>
          <w:szCs w:val="24"/>
          <w:lang w:eastAsia="sk-SK"/>
        </w:rPr>
        <w:t>Ekonomické vzťahy účtovnej jednotky a spriaznených osôb</w:t>
      </w:r>
    </w:p>
    <w:p>
      <w:pPr>
        <w:pStyle w:val="Normal"/>
        <w:numPr>
          <w:ilvl w:val="0"/>
          <w:numId w:val="17"/>
        </w:numPr>
        <w:spacing w:lineRule="auto" w:line="240" w:before="0" w:after="0"/>
        <w:rPr>
          <w:rFonts w:ascii="Arial" w:hAnsi="Arial"/>
          <w:sz w:val="24"/>
          <w:szCs w:val="24"/>
          <w:lang w:eastAsia="sk-SK"/>
        </w:rPr>
      </w:pPr>
      <w:r>
        <w:rPr>
          <w:rFonts w:ascii="Arial" w:hAnsi="Arial"/>
          <w:sz w:val="24"/>
          <w:szCs w:val="24"/>
          <w:lang w:eastAsia="sk-SK"/>
        </w:rPr>
        <w:t xml:space="preserve">Zoznam obchodov, ktoré sa uskutočnili medzi účtovnou jednotkou a spriaznenými osobami uvedenými v časti L. písm. b):  </w:t>
      </w:r>
    </w:p>
    <w:p>
      <w:pPr>
        <w:pStyle w:val="Normal"/>
        <w:keepNext/>
        <w:numPr>
          <w:ilvl w:val="0"/>
          <w:numId w:val="0"/>
        </w:numPr>
        <w:spacing w:lineRule="auto" w:line="240" w:before="0" w:after="0"/>
        <w:outlineLvl w:val="0"/>
        <w:rPr/>
      </w:pPr>
      <w:r>
        <w:rPr>
          <w:rFonts w:cs="Arial" w:ascii="Arial" w:hAnsi="Arial"/>
          <w:bCs/>
          <w:sz w:val="24"/>
          <w:szCs w:val="24"/>
        </w:rPr>
        <w:t>Záväzky voči AGROTRADE GROUP spol. s.r.o.     452049,57 €</w:t>
      </w:r>
    </w:p>
    <w:p>
      <w:pPr>
        <w:pStyle w:val="Normal"/>
        <w:keepNext/>
        <w:numPr>
          <w:ilvl w:val="0"/>
          <w:numId w:val="0"/>
        </w:numPr>
        <w:spacing w:lineRule="auto" w:line="240" w:before="0" w:after="0"/>
        <w:outlineLvl w:val="0"/>
        <w:rPr/>
      </w:pPr>
      <w:r>
        <w:rPr>
          <w:rFonts w:cs="Arial" w:ascii="Arial" w:hAnsi="Arial"/>
          <w:bCs/>
          <w:sz w:val="24"/>
          <w:szCs w:val="24"/>
        </w:rPr>
        <w:t xml:space="preserve">                      </w:t>
      </w:r>
      <w:r>
        <w:rPr>
          <w:rFonts w:cs="Arial" w:ascii="Arial" w:hAnsi="Arial"/>
          <w:bCs/>
          <w:sz w:val="24"/>
          <w:szCs w:val="24"/>
        </w:rPr>
        <w:t>AT TATRY s.r.o.                                   15,02 €</w:t>
      </w:r>
    </w:p>
    <w:p>
      <w:pPr>
        <w:pStyle w:val="Normal"/>
        <w:keepNext/>
        <w:numPr>
          <w:ilvl w:val="0"/>
          <w:numId w:val="0"/>
        </w:numPr>
        <w:spacing w:lineRule="auto" w:line="240" w:before="0" w:after="0"/>
        <w:outlineLvl w:val="0"/>
        <w:rPr/>
      </w:pPr>
      <w:r>
        <w:rPr>
          <w:rFonts w:cs="Arial" w:ascii="Arial" w:hAnsi="Arial"/>
          <w:bCs/>
          <w:sz w:val="24"/>
          <w:szCs w:val="24"/>
        </w:rPr>
        <w:t xml:space="preserve">                      </w:t>
      </w:r>
      <w:r>
        <w:rPr>
          <w:rFonts w:cs="Arial" w:ascii="Arial" w:hAnsi="Arial"/>
          <w:bCs/>
          <w:sz w:val="24"/>
          <w:szCs w:val="24"/>
        </w:rPr>
        <w:t>AT Dunaj s.r.o.                                     3639,46 €</w:t>
      </w:r>
    </w:p>
    <w:p>
      <w:pPr>
        <w:pStyle w:val="Normal"/>
        <w:keepNext/>
        <w:numPr>
          <w:ilvl w:val="0"/>
          <w:numId w:val="0"/>
        </w:numPr>
        <w:spacing w:lineRule="auto" w:line="240" w:before="0" w:after="0"/>
        <w:outlineLvl w:val="0"/>
        <w:rPr/>
      </w:pPr>
      <w:r>
        <w:rPr>
          <w:rFonts w:cs="Arial" w:ascii="Arial" w:hAnsi="Arial"/>
          <w:bCs/>
          <w:sz w:val="24"/>
          <w:szCs w:val="24"/>
        </w:rPr>
        <w:t xml:space="preserve">                      </w:t>
      </w:r>
      <w:r>
        <w:rPr>
          <w:rFonts w:cs="Arial" w:ascii="Arial" w:hAnsi="Arial"/>
          <w:bCs/>
          <w:sz w:val="24"/>
          <w:szCs w:val="24"/>
        </w:rPr>
        <w:t>AT AGROTURIEC spol.s.r.o.            7260,72€</w:t>
      </w:r>
    </w:p>
    <w:p>
      <w:pPr>
        <w:pStyle w:val="Normal"/>
        <w:keepNext/>
        <w:numPr>
          <w:ilvl w:val="0"/>
          <w:numId w:val="0"/>
        </w:numPr>
        <w:spacing w:lineRule="auto" w:line="240" w:before="0" w:after="0"/>
        <w:outlineLvl w:val="0"/>
        <w:rPr>
          <w:rFonts w:ascii="Arial" w:hAnsi="Arial" w:cs="Arial"/>
          <w:bCs/>
          <w:sz w:val="24"/>
          <w:szCs w:val="24"/>
        </w:rPr>
      </w:pPr>
      <w:r>
        <w:rPr>
          <w:rFonts w:cs="Arial" w:ascii="Arial" w:hAnsi="Arial"/>
          <w:bCs/>
          <w:sz w:val="24"/>
          <w:szCs w:val="24"/>
        </w:rPr>
        <w:t>Pohľadávky voči AT BABKA spol.s.r.o.</w:t>
      </w:r>
    </w:p>
    <w:p>
      <w:pPr>
        <w:pStyle w:val="Normal"/>
        <w:keepNext/>
        <w:numPr>
          <w:ilvl w:val="0"/>
          <w:numId w:val="0"/>
        </w:numPr>
        <w:spacing w:lineRule="auto" w:line="240" w:before="0" w:after="0"/>
        <w:outlineLvl w:val="0"/>
        <w:rPr/>
      </w:pPr>
      <w:r>
        <w:rPr>
          <w:rFonts w:cs="Arial" w:ascii="Arial" w:hAnsi="Arial"/>
          <w:bCs/>
          <w:sz w:val="24"/>
          <w:szCs w:val="24"/>
        </w:rPr>
        <w:t xml:space="preserve">                      </w:t>
      </w:r>
      <w:r>
        <w:rPr>
          <w:rFonts w:cs="Arial" w:ascii="Arial" w:hAnsi="Arial"/>
          <w:bCs/>
          <w:sz w:val="24"/>
          <w:szCs w:val="24"/>
        </w:rPr>
        <w:t>AGROTRADE GROUP spol.s.r.o                      196409,52 €</w:t>
      </w:r>
    </w:p>
    <w:p>
      <w:pPr>
        <w:pStyle w:val="Normal"/>
        <w:keepNext/>
        <w:numPr>
          <w:ilvl w:val="0"/>
          <w:numId w:val="0"/>
        </w:numPr>
        <w:spacing w:lineRule="auto" w:line="240" w:before="0" w:after="0"/>
        <w:outlineLvl w:val="0"/>
        <w:rPr/>
      </w:pPr>
      <w:r>
        <w:rPr>
          <w:rFonts w:cs="Arial" w:ascii="Arial" w:hAnsi="Arial"/>
          <w:bCs/>
          <w:sz w:val="24"/>
          <w:szCs w:val="24"/>
        </w:rPr>
        <w:t xml:space="preserve">                      </w:t>
      </w:r>
      <w:r>
        <w:rPr>
          <w:rFonts w:cs="Arial" w:ascii="Arial" w:hAnsi="Arial"/>
          <w:bCs/>
          <w:sz w:val="24"/>
          <w:szCs w:val="24"/>
        </w:rPr>
        <w:t>AT TATRY s.r.o.                                                   1845,90 €</w:t>
      </w:r>
    </w:p>
    <w:p>
      <w:pPr>
        <w:pStyle w:val="Normal"/>
        <w:keepNext/>
        <w:numPr>
          <w:ilvl w:val="0"/>
          <w:numId w:val="0"/>
        </w:numPr>
        <w:spacing w:lineRule="auto" w:line="240" w:before="0" w:after="0"/>
        <w:outlineLvl w:val="0"/>
        <w:rPr/>
      </w:pPr>
      <w:r>
        <w:rPr>
          <w:rFonts w:cs="Arial" w:ascii="Arial" w:hAnsi="Arial"/>
          <w:bCs/>
          <w:sz w:val="24"/>
          <w:szCs w:val="24"/>
        </w:rPr>
        <w:t xml:space="preserve">                      </w:t>
      </w:r>
      <w:r>
        <w:rPr>
          <w:rFonts w:cs="Arial" w:ascii="Arial" w:hAnsi="Arial"/>
          <w:bCs/>
          <w:sz w:val="24"/>
          <w:szCs w:val="24"/>
        </w:rPr>
        <w:t>AT Dunaj s.r.o.                                                    132742,32 €</w:t>
      </w:r>
    </w:p>
    <w:p>
      <w:pPr>
        <w:pStyle w:val="Normal"/>
        <w:keepNext/>
        <w:numPr>
          <w:ilvl w:val="0"/>
          <w:numId w:val="0"/>
        </w:numPr>
        <w:spacing w:lineRule="auto" w:line="240" w:before="0" w:after="0"/>
        <w:outlineLvl w:val="0"/>
        <w:rPr/>
      </w:pPr>
      <w:r>
        <w:rPr>
          <w:rFonts w:cs="Arial" w:ascii="Arial" w:hAnsi="Arial"/>
          <w:bCs/>
          <w:sz w:val="24"/>
          <w:szCs w:val="24"/>
        </w:rPr>
        <w:t xml:space="preserve">                      </w:t>
      </w:r>
      <w:r>
        <w:rPr>
          <w:rFonts w:cs="Arial" w:ascii="Arial" w:hAnsi="Arial"/>
          <w:bCs/>
          <w:sz w:val="24"/>
          <w:szCs w:val="24"/>
        </w:rPr>
        <w:t xml:space="preserve">AT AGROTURIEC spol.s.r.o.                               11755,21 €   </w:t>
      </w:r>
    </w:p>
    <w:p>
      <w:pPr>
        <w:pStyle w:val="Normal"/>
        <w:keepNext/>
        <w:numPr>
          <w:ilvl w:val="0"/>
          <w:numId w:val="0"/>
        </w:numPr>
        <w:spacing w:lineRule="auto" w:line="240" w:before="0" w:after="0"/>
        <w:outlineLvl w:val="0"/>
        <w:rPr>
          <w:rFonts w:ascii="Arial" w:hAnsi="Arial" w:cs="Arial"/>
          <w:bCs/>
          <w:sz w:val="24"/>
          <w:szCs w:val="24"/>
        </w:rPr>
      </w:pPr>
      <w:r>
        <w:rPr>
          <w:rFonts w:cs="Arial" w:ascii="Arial" w:hAnsi="Arial"/>
          <w:bCs/>
          <w:sz w:val="24"/>
          <w:szCs w:val="24"/>
        </w:rPr>
        <w:t>Po vzájomných zápočtoch záväzky voči AGROTRADE GROUP, spol.s.r.o.</w:t>
      </w:r>
    </w:p>
    <w:p>
      <w:pPr>
        <w:pStyle w:val="Normal"/>
        <w:keepNext/>
        <w:numPr>
          <w:ilvl w:val="0"/>
          <w:numId w:val="0"/>
        </w:numPr>
        <w:spacing w:lineRule="auto" w:line="240" w:before="0" w:after="0"/>
        <w:outlineLvl w:val="0"/>
        <w:rPr/>
      </w:pPr>
      <w:r>
        <w:rPr>
          <w:rFonts w:cs="Arial" w:ascii="Arial" w:hAnsi="Arial"/>
          <w:bCs/>
          <w:sz w:val="24"/>
          <w:szCs w:val="24"/>
        </w:rPr>
        <w:t>226743,52 €  .</w:t>
      </w:r>
    </w:p>
    <w:p>
      <w:pPr>
        <w:pStyle w:val="Normal"/>
        <w:keepNext/>
        <w:numPr>
          <w:ilvl w:val="0"/>
          <w:numId w:val="0"/>
        </w:numPr>
        <w:spacing w:lineRule="auto" w:line="240" w:before="0" w:after="0"/>
        <w:outlineLvl w:val="0"/>
        <w:rPr>
          <w:rFonts w:ascii="Arial" w:hAnsi="Arial" w:cs="Arial"/>
          <w:bCs/>
          <w:sz w:val="24"/>
          <w:szCs w:val="24"/>
        </w:rPr>
      </w:pPr>
      <w:r>
        <w:rPr>
          <w:rFonts w:cs="Arial" w:ascii="Arial" w:hAnsi="Arial"/>
          <w:bCs/>
          <w:sz w:val="24"/>
          <w:szCs w:val="24"/>
        </w:rPr>
        <w:t>U ostatných uvedených dcérskych spoločností záväzky aj pohľadávky sú nulové .</w:t>
      </w:r>
    </w:p>
    <w:p>
      <w:pPr>
        <w:pStyle w:val="Normal"/>
        <w:keepNext/>
        <w:numPr>
          <w:ilvl w:val="0"/>
          <w:numId w:val="0"/>
        </w:numPr>
        <w:spacing w:lineRule="auto" w:line="240" w:before="0" w:after="0"/>
        <w:outlineLvl w:val="0"/>
        <w:rPr>
          <w:rFonts w:ascii="Arial" w:hAnsi="Arial" w:cs="Arial"/>
          <w:bCs/>
          <w:sz w:val="24"/>
          <w:szCs w:val="24"/>
        </w:rPr>
      </w:pPr>
      <w:r>
        <w:rPr>
          <w:rFonts w:cs="Arial" w:ascii="Arial" w:hAnsi="Arial"/>
          <w:bCs/>
          <w:sz w:val="24"/>
          <w:szCs w:val="24"/>
        </w:rPr>
        <w:t xml:space="preserve">                                                                                                                                                                                                                                                                                                                                                           </w:t>
      </w:r>
    </w:p>
    <w:p>
      <w:pPr>
        <w:pStyle w:val="Normal"/>
        <w:numPr>
          <w:ilvl w:val="0"/>
          <w:numId w:val="17"/>
        </w:numPr>
        <w:spacing w:lineRule="auto" w:line="240" w:before="0" w:after="0"/>
        <w:jc w:val="both"/>
        <w:rPr>
          <w:rFonts w:ascii="Arial" w:hAnsi="Arial"/>
          <w:sz w:val="24"/>
          <w:szCs w:val="24"/>
          <w:lang w:eastAsia="sk-SK"/>
        </w:rPr>
      </w:pPr>
      <w:r>
        <w:rPr>
          <w:rFonts w:ascii="Arial" w:hAnsi="Arial"/>
          <w:sz w:val="24"/>
          <w:szCs w:val="24"/>
          <w:lang w:eastAsia="sk-SK"/>
        </w:rPr>
        <w:t>Zoznam obchodov účtovnej jednotky dohodnutých s ovládanou a ovládajúcou osobou (uskutočnené i neuskutočnené obchody):</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3"/>
        </w:numPr>
        <w:spacing w:lineRule="auto" w:line="240" w:before="0" w:after="0"/>
        <w:rPr>
          <w:rFonts w:ascii="Arial" w:hAnsi="Arial"/>
          <w:b/>
          <w:b/>
          <w:bCs/>
          <w:sz w:val="24"/>
          <w:szCs w:val="24"/>
          <w:lang w:eastAsia="sk-SK"/>
        </w:rPr>
      </w:pPr>
      <w:r>
        <w:rPr>
          <w:rFonts w:ascii="Arial" w:hAnsi="Arial"/>
          <w:b/>
          <w:sz w:val="24"/>
          <w:szCs w:val="24"/>
          <w:lang w:eastAsia="sk-SK"/>
        </w:rPr>
        <w:t>Skutočnosti, ktoré nastali po dni, ku ktorému sa zostavuje účtovná závierka do dňa zostavenia účtovnej závierky</w:t>
      </w:r>
    </w:p>
    <w:p>
      <w:pPr>
        <w:pStyle w:val="Normal"/>
        <w:numPr>
          <w:ilvl w:val="0"/>
          <w:numId w:val="18"/>
        </w:numPr>
        <w:spacing w:lineRule="auto" w:line="240" w:before="0" w:after="0"/>
        <w:jc w:val="both"/>
        <w:rPr>
          <w:rFonts w:ascii="Arial" w:hAnsi="Arial"/>
          <w:sz w:val="24"/>
          <w:szCs w:val="24"/>
          <w:lang w:eastAsia="sk-SK"/>
        </w:rPr>
      </w:pPr>
      <w:r>
        <w:rPr>
          <w:rFonts w:ascii="Arial" w:hAnsi="Arial"/>
          <w:sz w:val="24"/>
          <w:szCs w:val="24"/>
          <w:lang w:eastAsia="sk-SK"/>
        </w:rPr>
        <w:t xml:space="preserve">pokles alebo zvýšenie trhovej ceny finančného majetku ako dôsledok okolností, ktoré nastali po dni, ku ktorému sa zostavuje účtovná závierka do dňa zostavenia účtovnej závierky s uvedením dôvodu týchto zmien </w:t>
      </w:r>
    </w:p>
    <w:p>
      <w:pPr>
        <w:pStyle w:val="Normal"/>
        <w:spacing w:lineRule="auto" w:line="240" w:before="0" w:after="0"/>
        <w:ind w:left="720" w:hanging="0"/>
        <w:jc w:val="both"/>
        <w:rPr>
          <w:rFonts w:ascii="Arial" w:hAnsi="Arial"/>
          <w:sz w:val="24"/>
          <w:szCs w:val="24"/>
          <w:lang w:eastAsia="sk-SK"/>
        </w:rPr>
      </w:pPr>
      <w:r>
        <w:rPr>
          <w:rFonts w:ascii="Arial" w:hAnsi="Arial"/>
          <w:sz w:val="24"/>
          <w:szCs w:val="24"/>
          <w:lang w:eastAsia="sk-SK"/>
        </w:rPr>
      </w:r>
    </w:p>
    <w:p>
      <w:pPr>
        <w:pStyle w:val="Normal"/>
        <w:numPr>
          <w:ilvl w:val="0"/>
          <w:numId w:val="18"/>
        </w:numPr>
        <w:spacing w:lineRule="auto" w:line="240" w:before="0" w:after="0"/>
        <w:jc w:val="both"/>
        <w:rPr>
          <w:rFonts w:ascii="Arial" w:hAnsi="Arial"/>
          <w:sz w:val="24"/>
          <w:szCs w:val="24"/>
          <w:lang w:eastAsia="sk-SK"/>
        </w:rPr>
      </w:pPr>
      <w:r>
        <w:rPr>
          <w:rFonts w:ascii="Arial" w:hAnsi="Arial"/>
          <w:sz w:val="24"/>
          <w:szCs w:val="24"/>
          <w:lang w:eastAsia="sk-SK"/>
        </w:rPr>
        <w:t>dôvody pre zmenu výšky rezerv a opravných položiek, o ktorých sa účtovná jednotka dozvedela medzi dňom, ku ktorému sa účtovná závierka zostavuje a dňom jej zostavenia</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18"/>
        </w:numPr>
        <w:spacing w:lineRule="auto" w:line="240" w:before="0" w:after="0"/>
        <w:jc w:val="both"/>
        <w:rPr>
          <w:rFonts w:ascii="Arial" w:hAnsi="Arial"/>
          <w:sz w:val="24"/>
          <w:szCs w:val="24"/>
          <w:lang w:eastAsia="sk-SK"/>
        </w:rPr>
      </w:pPr>
      <w:r>
        <w:rPr>
          <w:rFonts w:ascii="Arial" w:hAnsi="Arial"/>
          <w:sz w:val="24"/>
          <w:szCs w:val="24"/>
          <w:lang w:eastAsia="sk-SK"/>
        </w:rPr>
        <w:t>zmena spoločníkov účtovnej jednotky</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18"/>
        </w:numPr>
        <w:spacing w:lineRule="auto" w:line="240" w:before="0" w:after="0"/>
        <w:jc w:val="both"/>
        <w:rPr>
          <w:rFonts w:ascii="Arial" w:hAnsi="Arial"/>
          <w:sz w:val="24"/>
          <w:szCs w:val="24"/>
          <w:lang w:eastAsia="sk-SK"/>
        </w:rPr>
      </w:pPr>
      <w:r>
        <w:rPr>
          <w:rFonts w:ascii="Arial" w:hAnsi="Arial"/>
          <w:sz w:val="24"/>
          <w:szCs w:val="24"/>
          <w:lang w:eastAsia="sk-SK"/>
        </w:rPr>
        <w:t>prijatie rozhodnutia o predaji účtovnej jednotky alebo jej časti</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18"/>
        </w:numPr>
        <w:spacing w:lineRule="auto" w:line="240" w:before="0" w:after="0"/>
        <w:jc w:val="both"/>
        <w:rPr>
          <w:rFonts w:ascii="Arial" w:hAnsi="Arial"/>
          <w:sz w:val="24"/>
          <w:szCs w:val="24"/>
          <w:lang w:eastAsia="sk-SK"/>
        </w:rPr>
      </w:pPr>
      <w:r>
        <w:rPr>
          <w:rFonts w:ascii="Arial" w:hAnsi="Arial"/>
          <w:sz w:val="24"/>
          <w:szCs w:val="24"/>
          <w:lang w:eastAsia="sk-SK"/>
        </w:rPr>
        <w:t>zmeny významných položiek dlhodobého finančného majetku</w:t>
      </w:r>
    </w:p>
    <w:p>
      <w:pPr>
        <w:pStyle w:val="Normal"/>
        <w:numPr>
          <w:ilvl w:val="0"/>
          <w:numId w:val="18"/>
        </w:numPr>
        <w:spacing w:lineRule="auto" w:line="240" w:before="0" w:after="0"/>
        <w:jc w:val="both"/>
        <w:rPr>
          <w:rFonts w:ascii="Arial" w:hAnsi="Arial"/>
          <w:sz w:val="24"/>
          <w:szCs w:val="24"/>
          <w:lang w:eastAsia="sk-SK"/>
        </w:rPr>
      </w:pPr>
      <w:r>
        <w:rPr>
          <w:rFonts w:ascii="Arial" w:hAnsi="Arial"/>
          <w:sz w:val="24"/>
          <w:szCs w:val="24"/>
          <w:lang w:eastAsia="sk-SK"/>
        </w:rPr>
        <w:t>začatie alebo ukončenie činnosti účtovnej jednotky, napr. odštepného závodu, organizačnej zložky, prevádzkarne</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18"/>
        </w:numPr>
        <w:spacing w:lineRule="auto" w:line="240" w:before="0" w:after="0"/>
        <w:jc w:val="both"/>
        <w:rPr>
          <w:rFonts w:ascii="Arial" w:hAnsi="Arial"/>
          <w:sz w:val="24"/>
          <w:szCs w:val="24"/>
          <w:lang w:eastAsia="sk-SK"/>
        </w:rPr>
      </w:pPr>
      <w:r>
        <w:rPr>
          <w:rFonts w:ascii="Arial" w:hAnsi="Arial"/>
          <w:sz w:val="24"/>
          <w:szCs w:val="24"/>
          <w:lang w:eastAsia="sk-SK"/>
        </w:rPr>
        <w:t>vydané dlhopisy a iné cenné papiere</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18"/>
        </w:numPr>
        <w:spacing w:lineRule="auto" w:line="240" w:before="0" w:after="0"/>
        <w:jc w:val="both"/>
        <w:rPr>
          <w:rFonts w:ascii="Arial" w:hAnsi="Arial"/>
          <w:sz w:val="24"/>
          <w:szCs w:val="24"/>
          <w:lang w:eastAsia="sk-SK"/>
        </w:rPr>
      </w:pPr>
      <w:r>
        <w:rPr>
          <w:rFonts w:ascii="Arial" w:hAnsi="Arial"/>
          <w:sz w:val="24"/>
          <w:szCs w:val="24"/>
          <w:lang w:eastAsia="sk-SK"/>
        </w:rPr>
        <w:t>zlúčenie, splynutie, rozdelenie a zmena právnej formy účtovnej jednotky</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18"/>
        </w:numPr>
        <w:spacing w:lineRule="auto" w:line="240" w:before="0" w:after="0"/>
        <w:jc w:val="both"/>
        <w:rPr>
          <w:rFonts w:ascii="Arial" w:hAnsi="Arial"/>
          <w:sz w:val="24"/>
          <w:szCs w:val="24"/>
          <w:lang w:eastAsia="sk-SK"/>
        </w:rPr>
      </w:pPr>
      <w:r>
        <w:rPr>
          <w:rFonts w:ascii="Arial" w:hAnsi="Arial"/>
          <w:sz w:val="24"/>
          <w:szCs w:val="24"/>
          <w:lang w:eastAsia="sk-SK"/>
        </w:rPr>
        <w:t>mimoriadne udalosti, ak majú vplyv na hospodárenie účtovnej jednotky, napr. o živelnej pohrome</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18"/>
        </w:numPr>
        <w:spacing w:lineRule="auto" w:line="240" w:before="0" w:after="0"/>
        <w:jc w:val="both"/>
        <w:rPr>
          <w:rFonts w:ascii="Arial" w:hAnsi="Arial"/>
          <w:sz w:val="24"/>
          <w:szCs w:val="24"/>
          <w:lang w:eastAsia="sk-SK"/>
        </w:rPr>
      </w:pPr>
      <w:r>
        <w:rPr>
          <w:rFonts w:ascii="Arial" w:hAnsi="Arial"/>
          <w:sz w:val="24"/>
          <w:szCs w:val="24"/>
          <w:lang w:eastAsia="sk-SK"/>
        </w:rPr>
        <w:t xml:space="preserve">získanie alebo odobratie licencií alebo iných povolení významných pre činnosť účtovnej jednotky </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3"/>
        </w:numPr>
        <w:spacing w:lineRule="auto" w:line="240" w:before="0" w:after="0"/>
        <w:rPr/>
      </w:pPr>
      <w:r>
        <w:rPr>
          <w:rFonts w:ascii="Arial" w:hAnsi="Arial"/>
          <w:b/>
          <w:sz w:val="24"/>
          <w:szCs w:val="24"/>
          <w:lang w:eastAsia="sk-SK"/>
        </w:rPr>
        <w:t>Prehľad zmien vlastného imania</w:t>
      </w:r>
    </w:p>
    <w:p>
      <w:pPr>
        <w:pStyle w:val="Normal"/>
        <w:spacing w:lineRule="auto" w:line="240" w:before="0" w:after="0"/>
        <w:ind w:left="1065" w:hanging="0"/>
        <w:rPr>
          <w:rFonts w:ascii="Arial" w:hAnsi="Arial"/>
          <w:b/>
          <w:b/>
          <w:bCs/>
          <w:sz w:val="24"/>
          <w:szCs w:val="24"/>
          <w:lang w:eastAsia="sk-SK"/>
        </w:rPr>
      </w:pPr>
      <w:r>
        <w:rPr>
          <w:rFonts w:ascii="Arial" w:hAnsi="Arial"/>
          <w:b/>
          <w:bCs/>
          <w:sz w:val="24"/>
          <w:szCs w:val="24"/>
          <w:lang w:eastAsia="sk-SK"/>
        </w:rPr>
      </w:r>
    </w:p>
    <w:p>
      <w:pPr>
        <w:pStyle w:val="Nzov"/>
        <w:numPr>
          <w:ilvl w:val="0"/>
          <w:numId w:val="19"/>
        </w:numPr>
        <w:spacing w:beforeAutospacing="0" w:before="0" w:after="0"/>
        <w:ind w:left="567" w:hanging="425"/>
        <w:jc w:val="left"/>
        <w:rPr>
          <w:szCs w:val="22"/>
        </w:rPr>
      </w:pPr>
      <w:r>
        <w:rPr>
          <w:szCs w:val="22"/>
        </w:rPr>
        <w:t>Informácie k prílohe č. 3 časti P. o zmenách vlastného imania</w:t>
      </w:r>
    </w:p>
    <w:p>
      <w:pPr>
        <w:pStyle w:val="Normal"/>
        <w:spacing w:lineRule="auto" w:line="240" w:before="0" w:after="0"/>
        <w:rPr>
          <w:szCs w:val="22"/>
        </w:rPr>
      </w:pPr>
      <w:r>
        <w:rPr>
          <w:szCs w:val="22"/>
        </w:rPr>
        <w:t>Tabuľka č. 1</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8" w:type="dxa"/>
          <w:bottom w:w="0" w:type="dxa"/>
          <w:right w:w="108" w:type="dxa"/>
        </w:tblCellMar>
        <w:tblLook w:val="00a0"/>
      </w:tblPr>
      <w:tblGrid>
        <w:gridCol w:w="1490"/>
        <w:gridCol w:w="2006"/>
        <w:gridCol w:w="1393"/>
        <w:gridCol w:w="1395"/>
        <w:gridCol w:w="1397"/>
        <w:gridCol w:w="1390"/>
      </w:tblGrid>
      <w:tr>
        <w:trPr>
          <w:trHeight w:val="318" w:hRule="atLeast"/>
        </w:trPr>
        <w:tc>
          <w:tcPr>
            <w:tcW w:w="1490" w:type="dxa"/>
            <w:vMerge w:val="restart"/>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Položka vlastného imania</w:t>
            </w:r>
          </w:p>
        </w:tc>
        <w:tc>
          <w:tcPr>
            <w:tcW w:w="7581" w:type="dxa"/>
            <w:gridSpan w:val="5"/>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Bežné účtovné obdobie</w:t>
            </w:r>
          </w:p>
        </w:tc>
      </w:tr>
      <w:tr>
        <w:trPr/>
        <w:tc>
          <w:tcPr>
            <w:tcW w:w="1490" w:type="dxa"/>
            <w:vMerge w:val="continue"/>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r>
          </w:p>
        </w:tc>
        <w:tc>
          <w:tcPr>
            <w:tcW w:w="2006"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 xml:space="preserve">Stav na začiatku účtovného obdobia  </w:t>
            </w:r>
          </w:p>
        </w:tc>
        <w:tc>
          <w:tcPr>
            <w:tcW w:w="1393"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 xml:space="preserve">Prírastky </w:t>
            </w:r>
          </w:p>
        </w:tc>
        <w:tc>
          <w:tcPr>
            <w:tcW w:w="1395"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 xml:space="preserve">Úbytky </w:t>
            </w:r>
          </w:p>
        </w:tc>
        <w:tc>
          <w:tcPr>
            <w:tcW w:w="1397"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Presuny</w:t>
            </w:r>
          </w:p>
        </w:tc>
        <w:tc>
          <w:tcPr>
            <w:tcW w:w="1390"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Stav na konci účtovného obdobia</w:t>
            </w:r>
          </w:p>
        </w:tc>
      </w:tr>
      <w:tr>
        <w:trPr>
          <w:trHeight w:val="330" w:hRule="atLeast"/>
        </w:trPr>
        <w:tc>
          <w:tcPr>
            <w:tcW w:w="149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b w:val="false"/>
                <w:b w:val="false"/>
              </w:rPr>
            </w:pPr>
            <w:r>
              <w:rPr>
                <w:b w:val="false"/>
              </w:rPr>
              <w:t>A</w:t>
            </w:r>
          </w:p>
        </w:tc>
        <w:tc>
          <w:tcPr>
            <w:tcW w:w="200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b w:val="false"/>
                <w:b w:val="false"/>
              </w:rPr>
            </w:pPr>
            <w:r>
              <w:rPr>
                <w:b w:val="false"/>
              </w:rPr>
              <w:t>b</w:t>
            </w:r>
          </w:p>
        </w:tc>
        <w:tc>
          <w:tcPr>
            <w:tcW w:w="139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b w:val="false"/>
                <w:b w:val="false"/>
              </w:rPr>
            </w:pPr>
            <w:r>
              <w:rPr>
                <w:b w:val="false"/>
              </w:rPr>
              <w:t>C</w:t>
            </w:r>
          </w:p>
        </w:tc>
        <w:tc>
          <w:tcPr>
            <w:tcW w:w="139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b w:val="false"/>
                <w:b w:val="false"/>
              </w:rPr>
            </w:pPr>
            <w:r>
              <w:rPr>
                <w:b w:val="false"/>
              </w:rPr>
              <w:t>D</w:t>
            </w:r>
          </w:p>
        </w:tc>
        <w:tc>
          <w:tcPr>
            <w:tcW w:w="139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b w:val="false"/>
                <w:b w:val="false"/>
              </w:rPr>
            </w:pPr>
            <w:r>
              <w:rPr>
                <w:b w:val="false"/>
              </w:rPr>
              <w:t>e</w:t>
            </w:r>
          </w:p>
        </w:tc>
        <w:tc>
          <w:tcPr>
            <w:tcW w:w="139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b w:val="false"/>
                <w:b w:val="false"/>
              </w:rPr>
            </w:pPr>
            <w:r>
              <w:rPr>
                <w:b w:val="false"/>
              </w:rPr>
              <w:t>F</w:t>
            </w:r>
          </w:p>
        </w:tc>
      </w:tr>
      <w:tr>
        <w:trPr>
          <w:trHeight w:val="454" w:hRule="atLeast"/>
        </w:trPr>
        <w:tc>
          <w:tcPr>
            <w:tcW w:w="1490"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Základné imanie</w:t>
            </w:r>
          </w:p>
        </w:tc>
        <w:tc>
          <w:tcPr>
            <w:tcW w:w="2006"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r>
              <w:rPr>
                <w:szCs w:val="22"/>
              </w:rPr>
              <w:t>142 280</w:t>
            </w:r>
          </w:p>
        </w:tc>
        <w:tc>
          <w:tcPr>
            <w:tcW w:w="1393"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7"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r>
              <w:rPr>
                <w:szCs w:val="22"/>
              </w:rPr>
              <w:t>142 280</w:t>
            </w:r>
          </w:p>
        </w:tc>
      </w:tr>
      <w:tr>
        <w:trPr>
          <w:trHeight w:val="330" w:hRule="atLeast"/>
        </w:trPr>
        <w:tc>
          <w:tcPr>
            <w:tcW w:w="1490"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Zmena základného imania</w:t>
            </w:r>
          </w:p>
        </w:tc>
        <w:tc>
          <w:tcPr>
            <w:tcW w:w="2006"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93"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7"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30" w:hRule="atLeast"/>
        </w:trPr>
        <w:tc>
          <w:tcPr>
            <w:tcW w:w="149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Pohľadávky za upísané vlastné imanie</w:t>
            </w:r>
          </w:p>
        </w:tc>
        <w:tc>
          <w:tcPr>
            <w:tcW w:w="2006"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9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454" w:hRule="atLeast"/>
        </w:trPr>
        <w:tc>
          <w:tcPr>
            <w:tcW w:w="149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Emisné ážio</w:t>
            </w:r>
          </w:p>
        </w:tc>
        <w:tc>
          <w:tcPr>
            <w:tcW w:w="2006"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30" w:hRule="atLeast"/>
        </w:trPr>
        <w:tc>
          <w:tcPr>
            <w:tcW w:w="149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Ostatné kapitálové fondy</w:t>
            </w:r>
          </w:p>
        </w:tc>
        <w:tc>
          <w:tcPr>
            <w:tcW w:w="2006"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59 640</w:t>
            </w:r>
          </w:p>
        </w:tc>
        <w:tc>
          <w:tcPr>
            <w:tcW w:w="13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r>
              <w:rPr>
                <w:szCs w:val="22"/>
              </w:rPr>
              <w:t>11626</w:t>
            </w:r>
          </w:p>
        </w:tc>
        <w:tc>
          <w:tcPr>
            <w:tcW w:w="13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48014</w:t>
            </w:r>
          </w:p>
        </w:tc>
      </w:tr>
      <w:tr>
        <w:trPr>
          <w:trHeight w:val="330" w:hRule="atLeast"/>
        </w:trPr>
        <w:tc>
          <w:tcPr>
            <w:tcW w:w="1490"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Zákonný rezervný fondy a nedeliteľný fond</w:t>
            </w:r>
          </w:p>
        </w:tc>
        <w:tc>
          <w:tcPr>
            <w:tcW w:w="2006"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14 228</w:t>
            </w:r>
          </w:p>
        </w:tc>
        <w:tc>
          <w:tcPr>
            <w:tcW w:w="1393"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7"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14 228</w:t>
            </w:r>
          </w:p>
        </w:tc>
      </w:tr>
      <w:tr>
        <w:trPr>
          <w:trHeight w:val="330" w:hRule="atLeast"/>
        </w:trPr>
        <w:tc>
          <w:tcPr>
            <w:tcW w:w="149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Rezervný fond na vlastné akcie a vlastné podiely</w:t>
            </w:r>
          </w:p>
        </w:tc>
        <w:tc>
          <w:tcPr>
            <w:tcW w:w="2006"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highlight w:val="green"/>
              </w:rPr>
            </w:pPr>
            <w:r>
              <w:rPr>
                <w:szCs w:val="22"/>
                <w:highlight w:val="green"/>
              </w:rPr>
            </w:r>
          </w:p>
        </w:tc>
        <w:tc>
          <w:tcPr>
            <w:tcW w:w="139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30" w:hRule="atLeast"/>
        </w:trPr>
        <w:tc>
          <w:tcPr>
            <w:tcW w:w="149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Štatutárny fond</w:t>
            </w:r>
          </w:p>
        </w:tc>
        <w:tc>
          <w:tcPr>
            <w:tcW w:w="2006"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139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30" w:hRule="atLeast"/>
        </w:trPr>
        <w:tc>
          <w:tcPr>
            <w:tcW w:w="149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Ostatné fondy</w:t>
            </w:r>
          </w:p>
        </w:tc>
        <w:tc>
          <w:tcPr>
            <w:tcW w:w="2006"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139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30" w:hRule="atLeast"/>
        </w:trPr>
        <w:tc>
          <w:tcPr>
            <w:tcW w:w="149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Oceňovacie rozdiely z precenenia majetku a záväzkov</w:t>
            </w:r>
          </w:p>
        </w:tc>
        <w:tc>
          <w:tcPr>
            <w:tcW w:w="2006"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9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30" w:hRule="atLeast"/>
        </w:trPr>
        <w:tc>
          <w:tcPr>
            <w:tcW w:w="149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Oceňovacie rozdiely z kapitálových účastín</w:t>
            </w:r>
          </w:p>
        </w:tc>
        <w:tc>
          <w:tcPr>
            <w:tcW w:w="2006"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660" w:hRule="atLeast"/>
        </w:trPr>
        <w:tc>
          <w:tcPr>
            <w:tcW w:w="149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Oceňovacie rozdiely z precenenia pri zlúčení, splynutí a rozdelení</w:t>
            </w:r>
          </w:p>
        </w:tc>
        <w:tc>
          <w:tcPr>
            <w:tcW w:w="2006"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30" w:hRule="atLeast"/>
        </w:trPr>
        <w:tc>
          <w:tcPr>
            <w:tcW w:w="149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Nerozdelený zisk minulých rokov</w:t>
            </w:r>
          </w:p>
        </w:tc>
        <w:tc>
          <w:tcPr>
            <w:tcW w:w="2006"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30" w:hRule="atLeast"/>
        </w:trPr>
        <w:tc>
          <w:tcPr>
            <w:tcW w:w="1490"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Neuhradená strata minulých rokov</w:t>
            </w:r>
          </w:p>
        </w:tc>
        <w:tc>
          <w:tcPr>
            <w:tcW w:w="2006"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r>
              <w:rPr>
                <w:szCs w:val="22"/>
              </w:rPr>
              <w:t xml:space="preserve">74497 </w:t>
            </w:r>
          </w:p>
        </w:tc>
        <w:tc>
          <w:tcPr>
            <w:tcW w:w="1393"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r>
              <w:rPr>
                <w:szCs w:val="22"/>
              </w:rPr>
              <w:t>3583</w:t>
            </w:r>
          </w:p>
        </w:tc>
        <w:tc>
          <w:tcPr>
            <w:tcW w:w="1397"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70914</w:t>
            </w:r>
          </w:p>
        </w:tc>
      </w:tr>
      <w:tr>
        <w:trPr>
          <w:trHeight w:val="330" w:hRule="atLeast"/>
        </w:trPr>
        <w:tc>
          <w:tcPr>
            <w:tcW w:w="1490"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Výsledok hospodárenia bežného účtovného obdobia</w:t>
            </w:r>
          </w:p>
        </w:tc>
        <w:tc>
          <w:tcPr>
            <w:tcW w:w="2006" w:type="dxa"/>
            <w:tcBorders>
              <w:top w:val="single" w:sz="6"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3583</w:t>
            </w:r>
          </w:p>
        </w:tc>
        <w:tc>
          <w:tcPr>
            <w:tcW w:w="1393" w:type="dxa"/>
            <w:tcBorders>
              <w:top w:val="single" w:sz="6"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5" w:type="dxa"/>
            <w:tcBorders>
              <w:top w:val="single" w:sz="6"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7" w:type="dxa"/>
            <w:tcBorders>
              <w:top w:val="single" w:sz="6"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pPr>
            <w:r>
              <w:rPr>
                <w:szCs w:val="22"/>
              </w:rPr>
              <w:t xml:space="preserve">  </w:t>
            </w:r>
            <w:r>
              <w:rPr>
                <w:szCs w:val="22"/>
              </w:rPr>
              <w:t>8236</w:t>
            </w:r>
          </w:p>
        </w:tc>
      </w:tr>
    </w:tbl>
    <w:p>
      <w:pPr>
        <w:pStyle w:val="Normal"/>
        <w:tabs>
          <w:tab w:val="left" w:pos="1276" w:leader="none"/>
        </w:tabs>
        <w:spacing w:lineRule="auto" w:line="240" w:before="0" w:after="0"/>
        <w:rPr>
          <w:szCs w:val="22"/>
        </w:rPr>
      </w:pPr>
      <w:r>
        <w:rPr>
          <w:szCs w:val="22"/>
        </w:rPr>
      </w:r>
    </w:p>
    <w:p>
      <w:pPr>
        <w:pStyle w:val="Normal"/>
        <w:tabs>
          <w:tab w:val="left" w:pos="1276" w:leader="none"/>
        </w:tabs>
        <w:spacing w:lineRule="auto" w:line="240" w:before="0" w:after="0"/>
        <w:rPr>
          <w:szCs w:val="22"/>
        </w:rPr>
      </w:pPr>
      <w:r>
        <w:rPr>
          <w:szCs w:val="22"/>
        </w:rPr>
        <w:t>Tabuľka č. 2</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8" w:type="dxa"/>
          <w:bottom w:w="0" w:type="dxa"/>
          <w:right w:w="108" w:type="dxa"/>
        </w:tblCellMar>
        <w:tblLook w:val="00a0"/>
      </w:tblPr>
      <w:tblGrid>
        <w:gridCol w:w="2100"/>
        <w:gridCol w:w="1396"/>
        <w:gridCol w:w="1393"/>
        <w:gridCol w:w="1395"/>
        <w:gridCol w:w="1397"/>
        <w:gridCol w:w="1390"/>
      </w:tblGrid>
      <w:tr>
        <w:trPr>
          <w:trHeight w:val="318" w:hRule="atLeast"/>
        </w:trPr>
        <w:tc>
          <w:tcPr>
            <w:tcW w:w="2100" w:type="dxa"/>
            <w:vMerge w:val="restart"/>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r>
          </w:p>
          <w:p>
            <w:pPr>
              <w:pStyle w:val="TopHeader"/>
              <w:rPr/>
            </w:pPr>
            <w:r>
              <w:rPr/>
              <w:t>Položka vlastného imania</w:t>
            </w:r>
          </w:p>
        </w:tc>
        <w:tc>
          <w:tcPr>
            <w:tcW w:w="6971" w:type="dxa"/>
            <w:gridSpan w:val="5"/>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pPr>
            <w:r>
              <w:rPr/>
              <w:t>Bezprostredne predchádzajúce účtovné obdobie</w:t>
            </w:r>
          </w:p>
        </w:tc>
      </w:tr>
      <w:tr>
        <w:trPr/>
        <w:tc>
          <w:tcPr>
            <w:tcW w:w="2100" w:type="dxa"/>
            <w:vMerge w:val="continue"/>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Normal"/>
              <w:spacing w:lineRule="auto" w:line="240" w:before="0" w:after="0"/>
              <w:rPr>
                <w:b/>
                <w:b/>
                <w:bCs/>
                <w:szCs w:val="22"/>
              </w:rPr>
            </w:pPr>
            <w:r>
              <w:rPr>
                <w:b/>
                <w:bCs/>
                <w:szCs w:val="22"/>
              </w:rPr>
            </w:r>
          </w:p>
        </w:tc>
        <w:tc>
          <w:tcPr>
            <w:tcW w:w="1396"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 xml:space="preserve">Stav na začiatku účtovného obdobia  </w:t>
            </w:r>
          </w:p>
        </w:tc>
        <w:tc>
          <w:tcPr>
            <w:tcW w:w="1393"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 xml:space="preserve">Prírastky </w:t>
            </w:r>
          </w:p>
        </w:tc>
        <w:tc>
          <w:tcPr>
            <w:tcW w:w="1395"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 xml:space="preserve">Úbytky </w:t>
            </w:r>
          </w:p>
        </w:tc>
        <w:tc>
          <w:tcPr>
            <w:tcW w:w="1397"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Presuny</w:t>
            </w:r>
          </w:p>
        </w:tc>
        <w:tc>
          <w:tcPr>
            <w:tcW w:w="1390" w:type="dxa"/>
            <w:tcBorders>
              <w:top w:val="single" w:sz="12" w:space="0" w:color="00000A"/>
              <w:left w:val="single" w:sz="12" w:space="0" w:color="00000A"/>
              <w:right w:val="single" w:sz="12" w:space="0" w:color="00000A"/>
              <w:insideV w:val="single" w:sz="12" w:space="0" w:color="00000A"/>
            </w:tcBorders>
            <w:shd w:fill="auto" w:val="clear"/>
            <w:tcMar>
              <w:left w:w="18" w:type="dxa"/>
            </w:tcMar>
            <w:vAlign w:val="center"/>
          </w:tcPr>
          <w:p>
            <w:pPr>
              <w:pStyle w:val="TopHeader"/>
              <w:rPr/>
            </w:pPr>
            <w:r>
              <w:rPr/>
              <w:t>Stav na konci účtovného obdobia</w:t>
            </w:r>
          </w:p>
        </w:tc>
      </w:tr>
      <w:tr>
        <w:trPr>
          <w:trHeight w:val="330" w:hRule="atLeast"/>
        </w:trPr>
        <w:tc>
          <w:tcPr>
            <w:tcW w:w="210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b w:val="false"/>
                <w:b w:val="false"/>
              </w:rPr>
            </w:pPr>
            <w:r>
              <w:rPr>
                <w:b w:val="false"/>
              </w:rPr>
              <w:t>A</w:t>
            </w:r>
          </w:p>
        </w:tc>
        <w:tc>
          <w:tcPr>
            <w:tcW w:w="139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b w:val="false"/>
                <w:b w:val="false"/>
              </w:rPr>
            </w:pPr>
            <w:r>
              <w:rPr>
                <w:b w:val="false"/>
              </w:rPr>
              <w:t>b</w:t>
            </w:r>
          </w:p>
        </w:tc>
        <w:tc>
          <w:tcPr>
            <w:tcW w:w="139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b w:val="false"/>
                <w:b w:val="false"/>
              </w:rPr>
            </w:pPr>
            <w:r>
              <w:rPr>
                <w:b w:val="false"/>
              </w:rPr>
              <w:t>C</w:t>
            </w:r>
          </w:p>
        </w:tc>
        <w:tc>
          <w:tcPr>
            <w:tcW w:w="139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b w:val="false"/>
                <w:b w:val="false"/>
              </w:rPr>
            </w:pPr>
            <w:r>
              <w:rPr>
                <w:b w:val="false"/>
              </w:rPr>
              <w:t>D</w:t>
            </w:r>
          </w:p>
        </w:tc>
        <w:tc>
          <w:tcPr>
            <w:tcW w:w="139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b w:val="false"/>
                <w:b w:val="false"/>
              </w:rPr>
            </w:pPr>
            <w:r>
              <w:rPr>
                <w:b w:val="false"/>
              </w:rPr>
              <w:t>e</w:t>
            </w:r>
          </w:p>
        </w:tc>
        <w:tc>
          <w:tcPr>
            <w:tcW w:w="139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TopHeader"/>
              <w:rPr>
                <w:b w:val="false"/>
                <w:b w:val="false"/>
              </w:rPr>
            </w:pPr>
            <w:r>
              <w:rPr>
                <w:b w:val="false"/>
              </w:rPr>
              <w:t>F</w:t>
            </w:r>
          </w:p>
        </w:tc>
      </w:tr>
      <w:tr>
        <w:trPr>
          <w:trHeight w:val="454" w:hRule="atLeast"/>
        </w:trPr>
        <w:tc>
          <w:tcPr>
            <w:tcW w:w="2100"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Základné imanie</w:t>
            </w:r>
          </w:p>
        </w:tc>
        <w:tc>
          <w:tcPr>
            <w:tcW w:w="1396"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r>
              <w:rPr>
                <w:szCs w:val="22"/>
              </w:rPr>
              <w:t>142 280</w:t>
            </w:r>
          </w:p>
        </w:tc>
        <w:tc>
          <w:tcPr>
            <w:tcW w:w="1393"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7"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142 280</w:t>
            </w:r>
          </w:p>
        </w:tc>
      </w:tr>
      <w:tr>
        <w:trPr>
          <w:trHeight w:val="330" w:hRule="atLeast"/>
        </w:trPr>
        <w:tc>
          <w:tcPr>
            <w:tcW w:w="2100"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Zmena základného imania</w:t>
            </w:r>
          </w:p>
        </w:tc>
        <w:tc>
          <w:tcPr>
            <w:tcW w:w="1396"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93"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7"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30" w:hRule="atLeast"/>
        </w:trPr>
        <w:tc>
          <w:tcPr>
            <w:tcW w:w="210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Pohľadávky za upísané vlastné imanie</w:t>
            </w:r>
          </w:p>
        </w:tc>
        <w:tc>
          <w:tcPr>
            <w:tcW w:w="1396"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9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454" w:hRule="atLeast"/>
        </w:trPr>
        <w:tc>
          <w:tcPr>
            <w:tcW w:w="210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Emisné ážio</w:t>
            </w:r>
          </w:p>
        </w:tc>
        <w:tc>
          <w:tcPr>
            <w:tcW w:w="1396"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30" w:hRule="atLeast"/>
        </w:trPr>
        <w:tc>
          <w:tcPr>
            <w:tcW w:w="210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xml:space="preserve">Ostatné kapitálové fondy </w:t>
            </w:r>
          </w:p>
        </w:tc>
        <w:tc>
          <w:tcPr>
            <w:tcW w:w="1396"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59 640</w:t>
            </w:r>
          </w:p>
        </w:tc>
        <w:tc>
          <w:tcPr>
            <w:tcW w:w="13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59 640</w:t>
            </w:r>
          </w:p>
        </w:tc>
      </w:tr>
      <w:tr>
        <w:trPr>
          <w:trHeight w:val="330" w:hRule="atLeast"/>
        </w:trPr>
        <w:tc>
          <w:tcPr>
            <w:tcW w:w="2100"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 </w:t>
            </w:r>
            <w:r>
              <w:rPr>
                <w:szCs w:val="22"/>
              </w:rPr>
              <w:t>Zákonný rezervný fondy a nedeliteľný fond</w:t>
            </w:r>
          </w:p>
          <w:p>
            <w:pPr>
              <w:pStyle w:val="Normal"/>
              <w:spacing w:lineRule="auto" w:line="240" w:before="0" w:after="0"/>
              <w:rPr>
                <w:szCs w:val="22"/>
              </w:rPr>
            </w:pPr>
            <w:r>
              <w:rPr>
                <w:szCs w:val="22"/>
              </w:rPr>
            </w:r>
          </w:p>
        </w:tc>
        <w:tc>
          <w:tcPr>
            <w:tcW w:w="1396"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xml:space="preserve">   </w:t>
            </w:r>
            <w:r>
              <w:rPr>
                <w:szCs w:val="22"/>
              </w:rPr>
              <w:t>14 228</w:t>
            </w:r>
          </w:p>
        </w:tc>
        <w:tc>
          <w:tcPr>
            <w:tcW w:w="1393"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7"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14 228</w:t>
            </w:r>
          </w:p>
        </w:tc>
      </w:tr>
      <w:tr>
        <w:trPr>
          <w:trHeight w:val="330" w:hRule="atLeast"/>
        </w:trPr>
        <w:tc>
          <w:tcPr>
            <w:tcW w:w="210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Rezervný fond na vlastné akcie a vlastné podiely</w:t>
            </w:r>
          </w:p>
        </w:tc>
        <w:tc>
          <w:tcPr>
            <w:tcW w:w="1396"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highlight w:val="green"/>
              </w:rPr>
            </w:pPr>
            <w:r>
              <w:rPr>
                <w:szCs w:val="22"/>
                <w:highlight w:val="green"/>
              </w:rPr>
            </w:r>
          </w:p>
        </w:tc>
        <w:tc>
          <w:tcPr>
            <w:tcW w:w="139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30" w:hRule="atLeast"/>
        </w:trPr>
        <w:tc>
          <w:tcPr>
            <w:tcW w:w="210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Štatutárny fond</w:t>
            </w:r>
          </w:p>
        </w:tc>
        <w:tc>
          <w:tcPr>
            <w:tcW w:w="1396"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139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30" w:hRule="atLeast"/>
        </w:trPr>
        <w:tc>
          <w:tcPr>
            <w:tcW w:w="210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Ostatné fondy</w:t>
            </w:r>
          </w:p>
        </w:tc>
        <w:tc>
          <w:tcPr>
            <w:tcW w:w="1396"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r>
          </w:p>
        </w:tc>
        <w:tc>
          <w:tcPr>
            <w:tcW w:w="139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30" w:hRule="atLeast"/>
        </w:trPr>
        <w:tc>
          <w:tcPr>
            <w:tcW w:w="210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Oceňovacie rozdiely z precenenia majetku a záväzkov</w:t>
            </w:r>
          </w:p>
        </w:tc>
        <w:tc>
          <w:tcPr>
            <w:tcW w:w="1396"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9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30" w:hRule="atLeast"/>
        </w:trPr>
        <w:tc>
          <w:tcPr>
            <w:tcW w:w="210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Oceňovacie rozdiely z kapitálových účastín</w:t>
            </w:r>
          </w:p>
        </w:tc>
        <w:tc>
          <w:tcPr>
            <w:tcW w:w="1396"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660" w:hRule="atLeast"/>
        </w:trPr>
        <w:tc>
          <w:tcPr>
            <w:tcW w:w="210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Oceňovacie rozdiely z precenenia pri zlúčení, splynutí a rozdelení</w:t>
            </w:r>
          </w:p>
        </w:tc>
        <w:tc>
          <w:tcPr>
            <w:tcW w:w="1396"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30" w:hRule="atLeast"/>
        </w:trPr>
        <w:tc>
          <w:tcPr>
            <w:tcW w:w="210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Nerozdelený zisk minulých rokov</w:t>
            </w:r>
          </w:p>
        </w:tc>
        <w:tc>
          <w:tcPr>
            <w:tcW w:w="1396"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 xml:space="preserve">   </w:t>
            </w:r>
          </w:p>
        </w:tc>
        <w:tc>
          <w:tcPr>
            <w:tcW w:w="13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30" w:hRule="atLeast"/>
        </w:trPr>
        <w:tc>
          <w:tcPr>
            <w:tcW w:w="2100"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Neuhradená strata minulých rokov</w:t>
            </w:r>
          </w:p>
        </w:tc>
        <w:tc>
          <w:tcPr>
            <w:tcW w:w="1396"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-114223</w:t>
            </w:r>
          </w:p>
        </w:tc>
        <w:tc>
          <w:tcPr>
            <w:tcW w:w="1393"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39726</w:t>
            </w:r>
          </w:p>
        </w:tc>
        <w:tc>
          <w:tcPr>
            <w:tcW w:w="1397"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74497 </w:t>
            </w:r>
          </w:p>
        </w:tc>
      </w:tr>
      <w:tr>
        <w:trPr>
          <w:trHeight w:val="330" w:hRule="atLeast"/>
        </w:trPr>
        <w:tc>
          <w:tcPr>
            <w:tcW w:w="2100"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8" w:type="dxa"/>
            </w:tcMar>
            <w:vAlign w:val="center"/>
          </w:tcPr>
          <w:p>
            <w:pPr>
              <w:pStyle w:val="Normal"/>
              <w:spacing w:lineRule="auto" w:line="240" w:before="0" w:after="0"/>
              <w:rPr>
                <w:szCs w:val="22"/>
              </w:rPr>
            </w:pPr>
            <w:r>
              <w:rPr>
                <w:szCs w:val="22"/>
              </w:rPr>
              <w:t>Výsledok hospodárenia bežného účtovného obdobia</w:t>
            </w:r>
          </w:p>
        </w:tc>
        <w:tc>
          <w:tcPr>
            <w:tcW w:w="1396" w:type="dxa"/>
            <w:tcBorders>
              <w:top w:val="single" w:sz="6"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8" w:type="dxa"/>
            </w:tcMar>
            <w:vAlign w:val="center"/>
          </w:tcPr>
          <w:p>
            <w:pPr>
              <w:pStyle w:val="Normal"/>
              <w:spacing w:lineRule="auto" w:line="240" w:before="0" w:after="0"/>
              <w:rPr>
                <w:szCs w:val="22"/>
              </w:rPr>
            </w:pPr>
            <w:r>
              <w:rPr>
                <w:szCs w:val="22"/>
              </w:rPr>
              <w:t>39726</w:t>
            </w:r>
          </w:p>
        </w:tc>
        <w:tc>
          <w:tcPr>
            <w:tcW w:w="1393" w:type="dxa"/>
            <w:tcBorders>
              <w:top w:val="single" w:sz="6"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5" w:type="dxa"/>
            <w:tcBorders>
              <w:top w:val="single" w:sz="6"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r>
          </w:p>
        </w:tc>
        <w:tc>
          <w:tcPr>
            <w:tcW w:w="1397" w:type="dxa"/>
            <w:tcBorders>
              <w:top w:val="single" w:sz="6"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83" w:type="dxa"/>
            </w:tcMar>
            <w:vAlign w:val="center"/>
          </w:tcPr>
          <w:p>
            <w:pPr>
              <w:pStyle w:val="Normal"/>
              <w:spacing w:lineRule="auto" w:line="240" w:before="0" w:after="0"/>
              <w:rPr>
                <w:szCs w:val="22"/>
              </w:rPr>
            </w:pPr>
            <w:r>
              <w:rPr>
                <w:szCs w:val="22"/>
              </w:rPr>
              <w:t> </w:t>
            </w:r>
          </w:p>
        </w:tc>
        <w:tc>
          <w:tcPr>
            <w:tcW w:w="1390"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t>3583</w:t>
            </w:r>
          </w:p>
        </w:tc>
      </w:tr>
    </w:tbl>
    <w:p>
      <w:pPr>
        <w:pStyle w:val="Normal"/>
        <w:tabs>
          <w:tab w:val="left" w:pos="1525" w:leader="none"/>
          <w:tab w:val="center" w:pos="4536" w:leader="none"/>
          <w:tab w:val="right" w:pos="9072" w:leader="none"/>
        </w:tabs>
        <w:spacing w:lineRule="auto" w:line="240" w:before="0" w:after="0"/>
        <w:rPr>
          <w:rFonts w:ascii="Arial" w:hAnsi="Arial" w:cs="Arial"/>
          <w:b/>
          <w:b/>
          <w:bCs/>
          <w:sz w:val="24"/>
          <w:szCs w:val="24"/>
        </w:rPr>
      </w:pPr>
      <w:r>
        <w:rPr>
          <w:rFonts w:cs="Arial" w:ascii="Arial" w:hAnsi="Arial"/>
          <w:b/>
          <w:bCs/>
          <w:sz w:val="24"/>
          <w:szCs w:val="24"/>
        </w:rPr>
      </w:r>
    </w:p>
    <w:p>
      <w:pPr>
        <w:pStyle w:val="Normal"/>
        <w:spacing w:lineRule="auto" w:line="240" w:before="0" w:after="0"/>
        <w:rPr>
          <w:rFonts w:ascii="Arial" w:hAnsi="Arial"/>
          <w:b/>
          <w:b/>
          <w:bCs/>
          <w:sz w:val="24"/>
          <w:szCs w:val="24"/>
          <w:lang w:eastAsia="sk-SK"/>
        </w:rPr>
      </w:pPr>
      <w:r>
        <w:rPr>
          <w:rFonts w:ascii="Arial" w:hAnsi="Arial"/>
          <w:b/>
          <w:sz w:val="24"/>
          <w:szCs w:val="24"/>
          <w:lang w:eastAsia="sk-SK"/>
        </w:rPr>
        <w:t xml:space="preserve"> </w:t>
      </w:r>
      <w:r>
        <w:rPr>
          <w:rFonts w:ascii="Arial" w:hAnsi="Arial"/>
          <w:b/>
          <w:sz w:val="24"/>
          <w:szCs w:val="24"/>
          <w:lang w:eastAsia="sk-SK"/>
        </w:rPr>
        <w:t xml:space="preserve">Informácie k prehľadu peňažných tokov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t xml:space="preserve">Štruktúra peňažných prostriedkov a peňažných ekvivalentov </w:t>
      </w:r>
    </w:p>
    <w:p>
      <w:pPr>
        <w:pStyle w:val="Normal"/>
        <w:spacing w:lineRule="auto" w:line="240" w:before="0" w:after="0"/>
        <w:rPr>
          <w:rFonts w:ascii="Arial" w:hAnsi="Arial"/>
          <w:sz w:val="24"/>
          <w:szCs w:val="24"/>
          <w:lang w:eastAsia="sk-SK"/>
        </w:rPr>
      </w:pPr>
      <w:r>
        <w:rPr>
          <w:rFonts w:ascii="Arial" w:hAnsi="Arial"/>
          <w:sz w:val="24"/>
          <w:szCs w:val="24"/>
          <w:lang w:eastAsia="sk-SK"/>
        </w:rPr>
      </w:r>
    </w:p>
    <w:tbl>
      <w:tblPr>
        <w:tblW w:w="7292" w:type="dxa"/>
        <w:jc w:val="center"/>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83" w:type="dxa"/>
          <w:bottom w:w="0" w:type="dxa"/>
          <w:right w:w="108" w:type="dxa"/>
        </w:tblCellMar>
        <w:tblLook w:val="01e0"/>
      </w:tblPr>
      <w:tblGrid>
        <w:gridCol w:w="2296"/>
        <w:gridCol w:w="2405"/>
        <w:gridCol w:w="2591"/>
      </w:tblGrid>
      <w:tr>
        <w:trPr/>
        <w:tc>
          <w:tcPr>
            <w:tcW w:w="229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both"/>
              <w:rPr>
                <w:rFonts w:ascii="Arial" w:hAnsi="Arial" w:cs="Arial"/>
                <w:sz w:val="24"/>
                <w:szCs w:val="24"/>
                <w:lang w:eastAsia="sk-SK"/>
              </w:rPr>
            </w:pPr>
            <w:r>
              <w:rPr>
                <w:rFonts w:cs="Arial" w:ascii="Arial" w:hAnsi="Arial"/>
                <w:sz w:val="24"/>
                <w:szCs w:val="24"/>
                <w:lang w:eastAsia="sk-SK"/>
              </w:rPr>
            </w:r>
          </w:p>
        </w:tc>
        <w:tc>
          <w:tcPr>
            <w:tcW w:w="24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both"/>
              <w:rPr>
                <w:rFonts w:ascii="Arial" w:hAnsi="Arial" w:cs="Arial"/>
                <w:sz w:val="24"/>
                <w:szCs w:val="24"/>
                <w:lang w:eastAsia="sk-SK"/>
              </w:rPr>
            </w:pPr>
            <w:r>
              <w:rPr>
                <w:rFonts w:cs="Arial" w:ascii="Arial" w:hAnsi="Arial"/>
                <w:sz w:val="24"/>
                <w:szCs w:val="24"/>
                <w:lang w:eastAsia="sk-SK"/>
              </w:rPr>
              <w:t>Peňažné prostriedky</w:t>
            </w:r>
          </w:p>
        </w:tc>
        <w:tc>
          <w:tcPr>
            <w:tcW w:w="25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both"/>
              <w:rPr>
                <w:rFonts w:ascii="Arial" w:hAnsi="Arial" w:cs="Arial"/>
                <w:sz w:val="24"/>
                <w:szCs w:val="24"/>
                <w:lang w:eastAsia="sk-SK"/>
              </w:rPr>
            </w:pPr>
            <w:r>
              <w:rPr>
                <w:rFonts w:cs="Arial" w:ascii="Arial" w:hAnsi="Arial"/>
                <w:sz w:val="24"/>
                <w:szCs w:val="24"/>
                <w:lang w:eastAsia="sk-SK"/>
              </w:rPr>
              <w:t xml:space="preserve"> </w:t>
            </w:r>
            <w:r>
              <w:rPr>
                <w:rFonts w:cs="Arial" w:ascii="Arial" w:hAnsi="Arial"/>
                <w:sz w:val="24"/>
                <w:szCs w:val="24"/>
                <w:lang w:eastAsia="sk-SK"/>
              </w:rPr>
              <w:t xml:space="preserve">Peňažné prostriedky </w:t>
            </w:r>
          </w:p>
          <w:p>
            <w:pPr>
              <w:pStyle w:val="Normal"/>
              <w:spacing w:lineRule="auto" w:line="240" w:before="0" w:after="0"/>
              <w:jc w:val="both"/>
              <w:rPr>
                <w:rFonts w:ascii="Arial" w:hAnsi="Arial" w:cs="Arial"/>
                <w:sz w:val="24"/>
                <w:szCs w:val="24"/>
                <w:lang w:eastAsia="sk-SK"/>
              </w:rPr>
            </w:pPr>
            <w:r>
              <w:rPr>
                <w:rFonts w:cs="Arial" w:ascii="Arial" w:hAnsi="Arial"/>
                <w:sz w:val="24"/>
                <w:szCs w:val="24"/>
                <w:lang w:eastAsia="sk-SK"/>
              </w:rPr>
              <w:t>a peňažné ekvivalenty</w:t>
            </w:r>
          </w:p>
        </w:tc>
      </w:tr>
      <w:tr>
        <w:trPr/>
        <w:tc>
          <w:tcPr>
            <w:tcW w:w="229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both"/>
              <w:rPr>
                <w:rFonts w:ascii="Arial" w:hAnsi="Arial" w:cs="Arial"/>
                <w:sz w:val="24"/>
                <w:szCs w:val="24"/>
                <w:lang w:eastAsia="sk-SK"/>
              </w:rPr>
            </w:pPr>
            <w:r>
              <w:rPr>
                <w:rFonts w:cs="Arial" w:ascii="Arial" w:hAnsi="Arial"/>
                <w:sz w:val="24"/>
                <w:szCs w:val="24"/>
                <w:lang w:eastAsia="sk-SK"/>
              </w:rPr>
              <w:t>Peniaze</w:t>
            </w:r>
          </w:p>
        </w:tc>
        <w:tc>
          <w:tcPr>
            <w:tcW w:w="24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right"/>
              <w:rPr>
                <w:rFonts w:ascii="Arial" w:hAnsi="Arial" w:cs="Arial"/>
                <w:sz w:val="24"/>
                <w:szCs w:val="24"/>
                <w:lang w:eastAsia="sk-SK"/>
              </w:rPr>
            </w:pPr>
            <w:r>
              <w:rPr>
                <w:rFonts w:cs="Arial" w:ascii="Arial" w:hAnsi="Arial"/>
                <w:sz w:val="24"/>
                <w:szCs w:val="24"/>
                <w:lang w:eastAsia="sk-SK"/>
              </w:rPr>
              <w:t>2522</w:t>
            </w:r>
          </w:p>
        </w:tc>
        <w:tc>
          <w:tcPr>
            <w:tcW w:w="25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right"/>
              <w:rPr>
                <w:rFonts w:ascii="Arial" w:hAnsi="Arial" w:cs="Arial"/>
                <w:sz w:val="24"/>
                <w:szCs w:val="24"/>
                <w:lang w:eastAsia="sk-SK"/>
              </w:rPr>
            </w:pPr>
            <w:r>
              <w:rPr>
                <w:rFonts w:cs="Arial" w:ascii="Arial" w:hAnsi="Arial"/>
                <w:sz w:val="24"/>
                <w:szCs w:val="24"/>
                <w:lang w:eastAsia="sk-SK"/>
              </w:rPr>
            </w:r>
          </w:p>
        </w:tc>
      </w:tr>
      <w:tr>
        <w:trPr/>
        <w:tc>
          <w:tcPr>
            <w:tcW w:w="229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both"/>
              <w:rPr>
                <w:rFonts w:ascii="Arial" w:hAnsi="Arial" w:cs="Arial"/>
                <w:sz w:val="24"/>
                <w:szCs w:val="24"/>
                <w:lang w:eastAsia="sk-SK"/>
              </w:rPr>
            </w:pPr>
            <w:r>
              <w:rPr>
                <w:rFonts w:cs="Arial" w:ascii="Arial" w:hAnsi="Arial"/>
                <w:sz w:val="24"/>
                <w:szCs w:val="24"/>
                <w:lang w:eastAsia="sk-SK"/>
              </w:rPr>
              <w:t>Účty v bankách</w:t>
            </w:r>
          </w:p>
        </w:tc>
        <w:tc>
          <w:tcPr>
            <w:tcW w:w="24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right"/>
              <w:rPr>
                <w:rFonts w:ascii="Arial" w:hAnsi="Arial" w:cs="Arial"/>
                <w:sz w:val="24"/>
                <w:szCs w:val="24"/>
                <w:lang w:eastAsia="sk-SK"/>
              </w:rPr>
            </w:pPr>
            <w:r>
              <w:rPr>
                <w:rFonts w:cs="Arial" w:ascii="Arial" w:hAnsi="Arial"/>
                <w:sz w:val="24"/>
                <w:szCs w:val="24"/>
                <w:lang w:eastAsia="sk-SK"/>
              </w:rPr>
              <w:t>92775</w:t>
            </w:r>
          </w:p>
        </w:tc>
        <w:tc>
          <w:tcPr>
            <w:tcW w:w="25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right"/>
              <w:rPr>
                <w:rFonts w:ascii="Arial" w:hAnsi="Arial" w:cs="Arial"/>
                <w:sz w:val="24"/>
                <w:szCs w:val="24"/>
                <w:lang w:eastAsia="sk-SK"/>
              </w:rPr>
            </w:pPr>
            <w:r>
              <w:rPr>
                <w:rFonts w:cs="Arial" w:ascii="Arial" w:hAnsi="Arial"/>
                <w:sz w:val="24"/>
                <w:szCs w:val="24"/>
                <w:lang w:eastAsia="sk-SK"/>
              </w:rPr>
            </w:r>
          </w:p>
        </w:tc>
      </w:tr>
      <w:tr>
        <w:trPr/>
        <w:tc>
          <w:tcPr>
            <w:tcW w:w="229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both"/>
              <w:rPr>
                <w:rFonts w:ascii="Arial" w:hAnsi="Arial" w:cs="Arial"/>
                <w:sz w:val="24"/>
                <w:szCs w:val="24"/>
                <w:lang w:eastAsia="sk-SK"/>
              </w:rPr>
            </w:pPr>
            <w:r>
              <w:rPr>
                <w:rFonts w:cs="Arial" w:ascii="Arial" w:hAnsi="Arial"/>
                <w:sz w:val="24"/>
                <w:szCs w:val="24"/>
                <w:lang w:eastAsia="sk-SK"/>
              </w:rPr>
              <w:t>Kontokorentný úver</w:t>
            </w:r>
          </w:p>
        </w:tc>
        <w:tc>
          <w:tcPr>
            <w:tcW w:w="24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right"/>
              <w:rPr>
                <w:rFonts w:ascii="Arial" w:hAnsi="Arial" w:cs="Arial"/>
                <w:sz w:val="24"/>
                <w:szCs w:val="24"/>
                <w:lang w:eastAsia="sk-SK"/>
              </w:rPr>
            </w:pPr>
            <w:r>
              <w:rPr>
                <w:rFonts w:cs="Arial" w:ascii="Arial" w:hAnsi="Arial"/>
                <w:sz w:val="24"/>
                <w:szCs w:val="24"/>
                <w:lang w:eastAsia="sk-SK"/>
              </w:rPr>
              <w:t>111480</w:t>
            </w:r>
          </w:p>
        </w:tc>
        <w:tc>
          <w:tcPr>
            <w:tcW w:w="25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right"/>
              <w:rPr>
                <w:rFonts w:ascii="Arial" w:hAnsi="Arial" w:cs="Arial"/>
                <w:sz w:val="24"/>
                <w:szCs w:val="24"/>
                <w:lang w:eastAsia="sk-SK"/>
              </w:rPr>
            </w:pPr>
            <w:r>
              <w:rPr>
                <w:rFonts w:cs="Arial" w:ascii="Arial" w:hAnsi="Arial"/>
                <w:sz w:val="24"/>
                <w:szCs w:val="24"/>
                <w:lang w:eastAsia="sk-SK"/>
              </w:rPr>
            </w:r>
          </w:p>
        </w:tc>
      </w:tr>
      <w:tr>
        <w:trPr/>
        <w:tc>
          <w:tcPr>
            <w:tcW w:w="229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both"/>
              <w:rPr>
                <w:rFonts w:ascii="Arial" w:hAnsi="Arial" w:cs="Arial"/>
                <w:sz w:val="24"/>
                <w:szCs w:val="24"/>
                <w:lang w:eastAsia="sk-SK"/>
              </w:rPr>
            </w:pPr>
            <w:r>
              <w:rPr>
                <w:rFonts w:cs="Arial" w:ascii="Arial" w:hAnsi="Arial"/>
                <w:sz w:val="24"/>
                <w:szCs w:val="24"/>
                <w:lang w:eastAsia="sk-SK"/>
              </w:rPr>
              <w:t>Spolu</w:t>
            </w:r>
          </w:p>
        </w:tc>
        <w:tc>
          <w:tcPr>
            <w:tcW w:w="24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right"/>
              <w:rPr>
                <w:rFonts w:ascii="Arial" w:hAnsi="Arial" w:cs="Arial"/>
                <w:sz w:val="24"/>
                <w:szCs w:val="24"/>
                <w:lang w:eastAsia="sk-SK"/>
              </w:rPr>
            </w:pPr>
            <w:r>
              <w:rPr>
                <w:rFonts w:cs="Arial" w:ascii="Arial" w:hAnsi="Arial"/>
                <w:sz w:val="24"/>
                <w:szCs w:val="24"/>
                <w:lang w:eastAsia="sk-SK"/>
              </w:rPr>
              <w:t>206777</w:t>
            </w:r>
          </w:p>
        </w:tc>
        <w:tc>
          <w:tcPr>
            <w:tcW w:w="25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Normal"/>
              <w:spacing w:lineRule="auto" w:line="240" w:before="0" w:after="0"/>
              <w:jc w:val="right"/>
              <w:rPr>
                <w:rFonts w:ascii="Arial" w:hAnsi="Arial" w:cs="Arial"/>
                <w:sz w:val="24"/>
                <w:szCs w:val="24"/>
                <w:lang w:eastAsia="sk-SK"/>
              </w:rPr>
            </w:pPr>
            <w:r>
              <w:rPr>
                <w:rFonts w:cs="Arial" w:ascii="Arial" w:hAnsi="Arial"/>
                <w:sz w:val="24"/>
                <w:szCs w:val="24"/>
                <w:lang w:eastAsia="sk-SK"/>
              </w:rPr>
            </w:r>
          </w:p>
        </w:tc>
      </w:tr>
    </w:tbl>
    <w:p>
      <w:pPr>
        <w:pStyle w:val="Normal"/>
        <w:spacing w:lineRule="auto" w:line="240" w:before="0" w:after="0"/>
        <w:jc w:val="both"/>
        <w:rPr>
          <w:rFonts w:ascii="Arial" w:hAnsi="Arial" w:cs="Arial"/>
          <w:sz w:val="24"/>
          <w:szCs w:val="24"/>
          <w:lang w:eastAsia="sk-SK"/>
        </w:rPr>
      </w:pPr>
      <w:r>
        <w:rPr>
          <w:rFonts w:cs="Arial" w:ascii="Arial" w:hAnsi="Arial"/>
          <w:sz w:val="24"/>
          <w:szCs w:val="24"/>
          <w:lang w:eastAsia="sk-SK"/>
        </w:rPr>
      </w:r>
    </w:p>
    <w:p>
      <w:pPr>
        <w:pStyle w:val="ListParagraph"/>
        <w:spacing w:lineRule="auto" w:line="240" w:before="0" w:after="0"/>
        <w:ind w:left="1065" w:hanging="0"/>
        <w:contextualSpacing/>
        <w:rPr>
          <w:rFonts w:ascii="Arial" w:hAnsi="Arial"/>
          <w:b/>
          <w:b/>
          <w:bCs/>
          <w:sz w:val="24"/>
          <w:szCs w:val="24"/>
          <w:lang w:eastAsia="sk-SK"/>
        </w:rPr>
      </w:pPr>
      <w:r>
        <w:rPr>
          <w:rFonts w:ascii="Arial" w:hAnsi="Arial"/>
          <w:b/>
          <w:bCs/>
          <w:sz w:val="24"/>
          <w:szCs w:val="24"/>
          <w:lang w:eastAsia="sk-SK"/>
        </w:rPr>
      </w:r>
    </w:p>
    <w:p>
      <w:pPr>
        <w:pStyle w:val="Normal"/>
        <w:spacing w:lineRule="auto" w:line="240" w:before="0" w:after="0"/>
        <w:rPr>
          <w:rFonts w:ascii="Arial" w:hAnsi="Arial"/>
          <w:b/>
          <w:b/>
          <w:bCs/>
          <w:sz w:val="24"/>
          <w:szCs w:val="24"/>
          <w:lang w:eastAsia="sk-SK"/>
        </w:rPr>
      </w:pPr>
      <w:r>
        <w:rPr>
          <w:rFonts w:ascii="Arial" w:hAnsi="Arial"/>
          <w:b/>
          <w:sz w:val="24"/>
          <w:szCs w:val="24"/>
          <w:lang w:eastAsia="sk-SK"/>
        </w:rPr>
        <w:t xml:space="preserve">R) Prehľad peňažných tokov pri použití nepriamej metódy: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widowControl w:val="false"/>
        <w:numPr>
          <w:ilvl w:val="0"/>
          <w:numId w:val="0"/>
        </w:numPr>
        <w:spacing w:lineRule="auto" w:line="240" w:before="0" w:after="60"/>
        <w:outlineLvl w:val="0"/>
        <w:rPr>
          <w:rFonts w:ascii="Arial" w:hAnsi="Arial" w:cs="Arial"/>
          <w:b/>
          <w:b/>
          <w:bCs/>
          <w:sz w:val="24"/>
          <w:szCs w:val="24"/>
        </w:rPr>
      </w:pPr>
      <w:r>
        <w:rPr>
          <w:rFonts w:cs="Arial" w:ascii="Arial" w:hAnsi="Arial"/>
          <w:b/>
          <w:bCs/>
          <w:sz w:val="24"/>
          <w:szCs w:val="24"/>
        </w:rPr>
        <w:t xml:space="preserve">38. Informácie k časti T. prílohy č. 3 o prehľade peňažných tokov pri použití nepriamej metódy </w:t>
      </w:r>
    </w:p>
    <w:tbl>
      <w:tblPr>
        <w:tblW w:w="9620" w:type="dxa"/>
        <w:jc w:val="left"/>
        <w:tblInd w:w="33"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40" w:type="dxa"/>
          <w:bottom w:w="0" w:type="dxa"/>
          <w:right w:w="70" w:type="dxa"/>
        </w:tblCellMar>
        <w:tblLook w:val="00a0"/>
      </w:tblPr>
      <w:tblGrid>
        <w:gridCol w:w="722"/>
        <w:gridCol w:w="116"/>
        <w:gridCol w:w="6200"/>
        <w:gridCol w:w="1"/>
        <w:gridCol w:w="1365"/>
        <w:gridCol w:w="1215"/>
      </w:tblGrid>
      <w:tr>
        <w:trPr>
          <w:trHeight w:val="945"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jc w:val="center"/>
              <w:rPr>
                <w:rFonts w:ascii="Arial" w:hAnsi="Arial" w:cs="Arial"/>
                <w:color w:val="000000"/>
                <w:sz w:val="24"/>
                <w:szCs w:val="24"/>
                <w:lang w:eastAsia="sk-SK"/>
              </w:rPr>
            </w:pPr>
            <w:r>
              <w:rPr>
                <w:rFonts w:cs="Arial" w:ascii="Arial" w:hAnsi="Arial"/>
                <w:color w:val="000000"/>
                <w:sz w:val="24"/>
                <w:szCs w:val="24"/>
                <w:lang w:eastAsia="sk-SK"/>
              </w:rPr>
              <w:t>Ozna-</w:t>
              <w:br/>
              <w:t>čenie</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center"/>
              <w:rPr>
                <w:rFonts w:ascii="Arial" w:hAnsi="Arial" w:cs="Arial"/>
                <w:color w:val="000000"/>
                <w:sz w:val="24"/>
                <w:szCs w:val="24"/>
                <w:lang w:eastAsia="sk-SK"/>
              </w:rPr>
            </w:pPr>
            <w:r>
              <w:rPr>
                <w:rFonts w:cs="Arial" w:ascii="Arial" w:hAnsi="Arial"/>
                <w:color w:val="000000"/>
                <w:sz w:val="24"/>
                <w:szCs w:val="24"/>
                <w:lang w:eastAsia="sk-SK"/>
              </w:rPr>
              <w:t>Názov položky</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center"/>
              <w:rPr>
                <w:rFonts w:ascii="Arial" w:hAnsi="Arial" w:cs="Arial"/>
                <w:color w:val="000000"/>
                <w:sz w:val="24"/>
                <w:szCs w:val="24"/>
                <w:lang w:eastAsia="sk-SK"/>
              </w:rPr>
            </w:pPr>
            <w:r>
              <w:rPr>
                <w:rFonts w:cs="Arial" w:ascii="Arial" w:hAnsi="Arial"/>
                <w:color w:val="000000"/>
                <w:sz w:val="24"/>
                <w:szCs w:val="24"/>
                <w:lang w:eastAsia="sk-SK"/>
              </w:rPr>
              <w:t>Bežné účtovné obdobie</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center"/>
              <w:rPr>
                <w:rFonts w:ascii="Arial" w:hAnsi="Arial" w:cs="Arial"/>
                <w:color w:val="000000"/>
                <w:sz w:val="24"/>
                <w:szCs w:val="24"/>
                <w:lang w:eastAsia="sk-SK"/>
              </w:rPr>
            </w:pPr>
            <w:r>
              <w:rPr>
                <w:rFonts w:cs="Arial" w:ascii="Arial" w:hAnsi="Arial"/>
                <w:color w:val="000000"/>
                <w:sz w:val="24"/>
                <w:szCs w:val="24"/>
                <w:lang w:eastAsia="sk-SK"/>
              </w:rPr>
              <w:t xml:space="preserve">Minulé účtovné </w:t>
              <w:br/>
              <w:t>obdobie</w:t>
            </w:r>
          </w:p>
        </w:tc>
      </w:tr>
      <w:tr>
        <w:trPr>
          <w:trHeight w:val="6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Z/S</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Výsledok hospodárenia z bežnej činnosti pred zdanením daňou z príjmou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6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 xml:space="preserve">Nepeňažné operácie ovplyvňujúce výsledok hospodárenia z bežnej činnosti pred zdanením daňou z príjmov (+/-)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r>
      <w:tr>
        <w:trPr>
          <w:trHeight w:val="6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A.1.1</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 xml:space="preserve">Odpisy dlhodobého nehmotného majetku a dlhodobého hmotného majetku (+)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215"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A.1.2</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Zostatková hodnota dlhodobého nehmotného majetku a dlhodobého hmotného majetku účtovaná pri vyradení tohto majetku do nákladov na bežnú činnosť, s výnimkou jeho predaja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A.1.3</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 xml:space="preserve">Odpis opravnej položky k nadobudnutému majetku (+/-)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A.1.4</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Zmena stavu dlhodobých rezerv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A.1.5</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Zmena stavu opravných položiek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585"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A.1.6</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Zmena stavu položiek časového rozlíšenia nákladov a výnosov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3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A.1.7</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Dividendy a iné podiely na zisku účtované do výnosov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A.1.8</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 xml:space="preserve">Úroky účtované do nákladov (+)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A.1.9</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 xml:space="preserve">Úroky účtované do výnosov (-)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A.1.10</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Kurzový zisk vyčíslený k peňažným prostriedkom a peňažným ekvivalentom ku dňu, ku ktorému sa zostavuje účtovná závierka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15"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A.1.11</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Kurzová strata vyčíslená k peňažným prostriedkom a peňažným ekvivalentom ku dňu, ku ktorému sa zostavuje účtovná závierka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585"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A.1.12</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Výsledok z predaja dlhodobého majetku, s výnimkou majetku, ktorý sa považuje za peňažný ekvivalent 15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23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A.1.13</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Ostatné položky nepeňažného charakteru, ktoré ovplyvňujú výsledok hospodárenia z bežnej činnosti, s výnimkou tých, ktoré sa uvádzajú osobitne v iných častiach prehľadu peňažných tokov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219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b/>
                <w:b/>
                <w:bCs/>
                <w:color w:val="000000"/>
                <w:sz w:val="24"/>
                <w:szCs w:val="24"/>
                <w:lang w:eastAsia="sk-SK"/>
              </w:rPr>
            </w:pPr>
            <w:r>
              <w:rPr>
                <w:rFonts w:cs="Arial" w:ascii="Arial" w:hAnsi="Arial"/>
                <w:b/>
                <w:bCs/>
                <w:color w:val="000000"/>
                <w:sz w:val="24"/>
                <w:szCs w:val="24"/>
                <w:lang w:eastAsia="sk-SK"/>
              </w:rPr>
              <w:t>A.2</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b/>
                <w:b/>
                <w:bCs/>
                <w:color w:val="000000"/>
                <w:sz w:val="24"/>
                <w:szCs w:val="24"/>
                <w:lang w:eastAsia="sk-SK"/>
              </w:rPr>
            </w:pPr>
            <w:r>
              <w:rPr>
                <w:rFonts w:cs="Arial" w:ascii="Arial" w:hAnsi="Arial"/>
                <w:b/>
                <w:bCs/>
                <w:color w:val="000000"/>
                <w:sz w:val="24"/>
                <w:szCs w:val="24"/>
                <w:lang w:eastAsia="sk-SK"/>
              </w:rPr>
              <w:t xml:space="preserve">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r>
      <w:tr>
        <w:trPr>
          <w:trHeight w:val="3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A.2.1</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Zmena stavu pohľadávok z prevádzkovej činnosti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A.2.2</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Zmena stavu záväzkov z prevádzkovej činnosti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A.2.3</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Zmena stavu zásob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A.2.4</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Zmena stavu krátkodobého finančného majetku, s výnimkou majetku, ktorý je súčasťou peňažných prostriedkov a peňažných ekvivalentov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005" w:hRule="atLeast"/>
        </w:trPr>
        <w:tc>
          <w:tcPr>
            <w:tcW w:w="7039"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b/>
                <w:b/>
                <w:bCs/>
                <w:color w:val="000000"/>
                <w:sz w:val="24"/>
                <w:szCs w:val="24"/>
                <w:lang w:eastAsia="sk-SK"/>
              </w:rPr>
            </w:pPr>
            <w:r>
              <w:rPr>
                <w:rFonts w:cs="Arial" w:ascii="Arial" w:hAnsi="Arial"/>
                <w:b/>
                <w:bCs/>
                <w:color w:val="000000"/>
                <w:sz w:val="24"/>
                <w:szCs w:val="24"/>
                <w:lang w:eastAsia="sk-SK"/>
              </w:rPr>
              <w:t>Peňažné toky z prevádzkovej činnosti s výnimkou príjmov a výdavkov, ktoré sa uvádzajú osobitne v iných častiach prehľadu peňažných tokov (-/+) (súčet Z/S + A1 + A2)</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r>
      <w:tr>
        <w:trPr>
          <w:trHeight w:val="6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A.3</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 xml:space="preserve">Prijaté úroky, s výnimkou tých, ktoré sa začleňujú do investičných činností (+)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r>
      <w:tr>
        <w:trPr>
          <w:trHeight w:val="6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A.4</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 xml:space="preserve">Výdavky na zaplatené úroky, s výnimkou tých, ktoré sa začleňujú do finančných činností (-)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r>
      <w:tr>
        <w:trPr>
          <w:trHeight w:val="6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A.5</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dividend a iných podielov na zisku, s výnimkou tých, ktoré sa začleňujú do investičných činností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r>
      <w:tr>
        <w:trPr>
          <w:trHeight w:val="6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A.6</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vyplatené dividendy a iné podiely na zisku, s výnimkou tých, ktoré sa začleňujú do finančných činností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r>
      <w:tr>
        <w:trPr>
          <w:trHeight w:val="630" w:hRule="atLeast"/>
        </w:trPr>
        <w:tc>
          <w:tcPr>
            <w:tcW w:w="7039"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b/>
                <w:b/>
                <w:bCs/>
                <w:color w:val="000000"/>
                <w:sz w:val="24"/>
                <w:szCs w:val="24"/>
                <w:lang w:eastAsia="sk-SK"/>
              </w:rPr>
            </w:pPr>
            <w:r>
              <w:rPr>
                <w:rFonts w:cs="Arial" w:ascii="Arial" w:hAnsi="Arial"/>
                <w:b/>
                <w:bCs/>
                <w:color w:val="000000"/>
                <w:sz w:val="24"/>
                <w:szCs w:val="24"/>
                <w:lang w:eastAsia="sk-SK"/>
              </w:rPr>
              <w:t>Peňažné toky z prevádzkovej činnosti (+,-), súčet (Z/S + A1 až A6)</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r>
      <w:tr>
        <w:trPr>
          <w:trHeight w:val="645"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A.7</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daň z príjmov účtovnej jednotky, s výnimkou tých, ktoré sa začleňujú do finančných činností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A.8</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 xml:space="preserve">Príjmy výnimočného rozsahu alebo výskytu vzťahujúce sa na prevádzkovú činnosť (-)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A.9</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 xml:space="preserve">Výdavky výnimočného rozsahu alebo výskytu  vzťahujúce sa na prevádzkovú činnosť (-)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15" w:hRule="atLeast"/>
        </w:trPr>
        <w:tc>
          <w:tcPr>
            <w:tcW w:w="7039"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b/>
                <w:b/>
                <w:bCs/>
                <w:color w:val="000000"/>
                <w:sz w:val="24"/>
                <w:szCs w:val="24"/>
                <w:lang w:eastAsia="sk-SK"/>
              </w:rPr>
            </w:pPr>
            <w:r>
              <w:rPr>
                <w:rFonts w:cs="Arial" w:ascii="Arial" w:hAnsi="Arial"/>
                <w:b/>
                <w:bCs/>
                <w:color w:val="000000"/>
                <w:sz w:val="24"/>
                <w:szCs w:val="24"/>
                <w:lang w:eastAsia="sk-SK"/>
              </w:rPr>
              <w:t>Čisté peňažné toky z prevádzkovej činnosti (+,-), súčet (Z/S + A1 až A9)</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r>
      <w:tr>
        <w:trPr>
          <w:trHeight w:val="34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B.1.</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obstaranie dlhodobého nehmotného majetku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4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B.2.</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obstaranie dlhodobého hmotného majetku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51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 xml:space="preserve">B.3. </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B.4.</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predaja dlhodobého nehmotného majetku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 xml:space="preserve">B.5. </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predaja dlhodobého hmotného majetku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51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 xml:space="preserve">B.6. </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4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B.7.</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dlhodobé pôžičky poskytnuté účtovnou jednotkou inej účtovnej jednotke, ktorá je súčasťou konsolidovaného celku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3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 xml:space="preserve">B.8. </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zo splácania dlhodobých pôžičiek poskytnutých účtovnou jednotkou inej účtovnej jednotke, ktorá je súčasťou konsolidovaného celku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2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B.9.</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dlhodobé pôžičky poskytnuté účtovnou jednotkou tretím osobám, s výnimkou pôžičiek poskytnutých účtovnej jednotke, ktorá je súčasťou konsolidovaného celku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2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 xml:space="preserve">B.10 </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zo splácania pôžičiek poskytnutých účtovnou jednotkou tretím osobám, s výnimkou pôžičiek poskytnutých účtovnej jednotke, ktorá je súčasťou konsolidovaného celku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B.11</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Prijaté úroky, s výnimkou tých, ktoré sa začleňujú do prevádzkových činností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B.12</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dividend a iných podielov na zisku, s výnimkou tých, ktoré sa začleňujú do prevádzkových činností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1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B.13</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súvisiace s derivátmi s výnimkou, ak sú určené na predaj alebo na obchodovanie, alebo ak sa tieto výdavky považujú za peňažné toky z finančných činností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4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B.14</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súvisiace s derivátmi s výnimkou, ak sú určené na predaj alebo na obchodovanie, alebo ak sa tieto výdavky považujú za peňažné toky z finančnej činnosti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B.15</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daň z príjmov účtovnej jednotky, ak je ju možné začleniť do investičných činností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58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B.16</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výnimočného rozsahu alebo výskytu  vzťahujúce sa na investičnú činnosť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B.17</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výnimočného rozsahu alebo výskytu vzťahujúce sa na investičnú činnosť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B.18</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Ostatné príjmy vzťahujúce sa na investičnú činnosť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3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B.19</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Ostatné výdavky vzťahujúce sa na investičnú činnosť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3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b/>
                <w:b/>
                <w:bCs/>
                <w:color w:val="000000"/>
                <w:sz w:val="24"/>
                <w:szCs w:val="24"/>
                <w:lang w:eastAsia="sk-SK"/>
              </w:rPr>
            </w:pPr>
            <w:r>
              <w:rPr>
                <w:rFonts w:cs="Arial" w:ascii="Arial" w:hAnsi="Arial"/>
                <w:b/>
                <w:bCs/>
                <w:color w:val="000000"/>
                <w:sz w:val="24"/>
                <w:szCs w:val="24"/>
                <w:lang w:eastAsia="sk-SK"/>
              </w:rPr>
              <w:t>B.</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rPr>
                <w:rFonts w:ascii="Arial" w:hAnsi="Arial" w:cs="Arial"/>
                <w:b/>
                <w:b/>
                <w:bCs/>
                <w:color w:val="000000"/>
                <w:sz w:val="24"/>
                <w:szCs w:val="24"/>
                <w:lang w:eastAsia="sk-SK"/>
              </w:rPr>
            </w:pPr>
            <w:r>
              <w:rPr>
                <w:rFonts w:cs="Arial" w:ascii="Arial" w:hAnsi="Arial"/>
                <w:b/>
                <w:bCs/>
                <w:color w:val="000000"/>
                <w:sz w:val="24"/>
                <w:szCs w:val="24"/>
                <w:lang w:eastAsia="sk-SK"/>
              </w:rPr>
              <w:t>Čisté peňažné toky z investičnej činnosti (súčet B.1. až B.20.)</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b/>
                <w:b/>
                <w:bCs/>
                <w:i/>
                <w:i/>
                <w:iCs/>
                <w:color w:val="000000"/>
                <w:sz w:val="24"/>
                <w:szCs w:val="24"/>
                <w:lang w:eastAsia="sk-SK"/>
              </w:rPr>
            </w:pPr>
            <w:r>
              <w:rPr>
                <w:rFonts w:cs="Arial" w:ascii="Arial" w:hAnsi="Arial"/>
                <w:b/>
                <w:bCs/>
                <w:i/>
                <w:iCs/>
                <w:color w:val="000000"/>
                <w:sz w:val="24"/>
                <w:szCs w:val="24"/>
                <w:lang w:eastAsia="sk-SK"/>
              </w:rPr>
              <w:t>C.1</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b/>
                <w:b/>
                <w:bCs/>
                <w:color w:val="000000"/>
                <w:sz w:val="24"/>
                <w:szCs w:val="24"/>
                <w:lang w:eastAsia="sk-SK"/>
              </w:rPr>
            </w:pPr>
            <w:r>
              <w:rPr>
                <w:rFonts w:cs="Arial" w:ascii="Arial" w:hAnsi="Arial"/>
                <w:b/>
                <w:bCs/>
                <w:color w:val="000000"/>
                <w:sz w:val="24"/>
                <w:szCs w:val="24"/>
                <w:lang w:eastAsia="sk-SK"/>
              </w:rPr>
              <w:t>Peňažné toky vo vlastnom imaní (súčet C 1.1 až C 1.8)</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r>
      <w:tr>
        <w:trPr>
          <w:trHeight w:val="3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C.1.1</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upísaných akcií a obchodných podielov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C.1.2</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ďalších vkladov do vlastného imania spoločníkmi alebo fyzickou osobou, ktorá je účtovnou jednotkou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C.1.3</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Prijaté peňažné dary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C.1.4</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úhrady straty spoločníkmi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C.1.5</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obstaranie alebo spätné odkúpenie vlastných akcií a vlastných obchodných podielov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55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C.1.6</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spojené so znížením fondov vytvorených účtovnou jednotkou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87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C.1.7</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vyplatenie podielu na vlastnom imaní spoločníkmi účtovnej jednotky a fyzickou osobou, ktorá je účtovnou jednotkou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58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C.1.8</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z iných dôvodov, ktoré súvisia so znížením vlastného imania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3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b/>
                <w:b/>
                <w:bCs/>
                <w:color w:val="000000"/>
                <w:sz w:val="24"/>
                <w:szCs w:val="24"/>
                <w:lang w:eastAsia="sk-SK"/>
              </w:rPr>
            </w:pPr>
            <w:r>
              <w:rPr>
                <w:rFonts w:cs="Arial" w:ascii="Arial" w:hAnsi="Arial"/>
                <w:b/>
                <w:bCs/>
                <w:color w:val="000000"/>
                <w:sz w:val="24"/>
                <w:szCs w:val="24"/>
                <w:lang w:eastAsia="sk-SK"/>
              </w:rPr>
              <w:t>C.2</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b/>
                <w:b/>
                <w:bCs/>
                <w:color w:val="000000"/>
                <w:sz w:val="24"/>
                <w:szCs w:val="24"/>
                <w:lang w:eastAsia="sk-SK"/>
              </w:rPr>
            </w:pPr>
            <w:r>
              <w:rPr>
                <w:rFonts w:cs="Arial" w:ascii="Arial" w:hAnsi="Arial"/>
                <w:b/>
                <w:bCs/>
                <w:color w:val="000000"/>
                <w:sz w:val="24"/>
                <w:szCs w:val="24"/>
                <w:lang w:eastAsia="sk-SK"/>
              </w:rPr>
              <w:t>Peňažné toky vznikajúce z dlhodobých záväzkov a krátkodobých záväzkov z finančnej činnosti (súčet C.2.1 až C 2.10)</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r>
      <w:tr>
        <w:trPr>
          <w:trHeight w:val="3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C.2.1</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emisie dlhových cenných papierov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1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C.2.2</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úhradu záväzkov z dlhových cenných papierov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21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C.2.3</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úverov, ktoré účtovnej jednotke poskytla banka alebo pobočka zahraničnej banky, s výnimkou úverov, ktoré boli poskytnuté na zabezpečenie hlavného predmetu činnosti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2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C.2.4</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splácanie úverov, ktoré účtovnej jednotke poskytla banka alebo pobočka zahraničnej banky, s výnimkou úverov, ktoré boli poskytnuté na zabezpečenie hlavného predmetu činnosti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C.2.5</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prijatých pôžičiek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C.2.6</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splácanie pôžičiek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C.2.7</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úhradu záväzkov z používania majetku, ktorý je predmetom zmluvy o kúpe prenajatej veci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2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C.2.8</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18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C.2.9</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4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C.3</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zaplatené úroky s výnimkou tých, ktoré sa začleňujú do prevádzkových činností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87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C.4</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vyplatené dividendy a iné podiely na zisku, s výnimkou tých, ktoré sa začleňujú do prevádzkových činností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C.5</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súvisiace s derivátmi, s výnimkou, ak sú určené na predaj alebo na obchodovanie, alebo ak sa považujú za peňažné toky z investičnej činnosti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C.6</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súvisiace s derivátmi, s výnimkou, ak sú určené na predaj alebo na obchodovanie, alebo ak sa považujú za peňažné toky z investičnej činnosti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C.7</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daň z príjmov účtovnej jednotky, ak ich možno začleniť do finančných činností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C.8</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výnimočného rozsahu alebo výskytu  vzťahujúce sa na finančnú činnosť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58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C.9</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výnimočného rozsahu alebo výskytu  vzťahujúce sa na finančnú činnosť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b/>
                <w:b/>
                <w:bCs/>
                <w:color w:val="000000"/>
                <w:sz w:val="24"/>
                <w:szCs w:val="24"/>
                <w:lang w:eastAsia="sk-SK"/>
              </w:rPr>
            </w:pPr>
            <w:r>
              <w:rPr>
                <w:rFonts w:cs="Arial" w:ascii="Arial" w:hAnsi="Arial"/>
                <w:b/>
                <w:bCs/>
                <w:color w:val="000000"/>
                <w:sz w:val="24"/>
                <w:szCs w:val="24"/>
                <w:lang w:eastAsia="sk-SK"/>
              </w:rPr>
              <w:t xml:space="preserve">C. </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b/>
                <w:b/>
                <w:bCs/>
                <w:color w:val="000000"/>
                <w:sz w:val="24"/>
                <w:szCs w:val="24"/>
                <w:lang w:eastAsia="sk-SK"/>
              </w:rPr>
            </w:pPr>
            <w:r>
              <w:rPr>
                <w:rFonts w:cs="Arial" w:ascii="Arial" w:hAnsi="Arial"/>
                <w:b/>
                <w:bCs/>
                <w:color w:val="000000"/>
                <w:sz w:val="24"/>
                <w:szCs w:val="24"/>
                <w:lang w:eastAsia="sk-SK"/>
              </w:rPr>
              <w:t>Čisté peňažné toky z finančnej činnosti (súčet C1 až C9)</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D.</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Čisté zvýšenie alebo čisté zníženie peňažných prostriedkov (+/-) (súčet A+B+C)</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 xml:space="preserve">E. </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Stav peňažných prostriedkov a peňažných ekvivalentov na začiatku účtovného obdobia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2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 xml:space="preserve">F. </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Stav peňažných prostriedkov a peňažných ekvivalentov na konci účtovného obdobia pred zohľadnením kurzových rozdielov vyčíslených ku dňu, ku ktorému sa zostavuje účtovná závierka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G.</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Kurzové rozdiely vyčíslené k peňažným prostriedkom a peňažným ekvivalentom ku dňu, ku ktorému sa zostavuje účtovná závierka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24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4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 xml:space="preserve">H.     </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Zostatok peňažných prostriedkov a peňažných ekvivalentov na konci účtovného obdobia, upravený o kurzové rozdiely vyčíslené ku dňu, ku ktorému sa zostavuje účtovná závierka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r>
    </w:tbl>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b/>
          <w:b/>
          <w:szCs w:val="22"/>
        </w:rPr>
      </w:pPr>
      <w:r>
        <w:rPr>
          <w:b/>
          <w:szCs w:val="22"/>
        </w:rPr>
        <w:t>Vysvetlivky k poznámkam:</w:t>
      </w:r>
    </w:p>
    <w:p>
      <w:pPr>
        <w:pStyle w:val="ListParagraph"/>
        <w:numPr>
          <w:ilvl w:val="0"/>
          <w:numId w:val="1"/>
        </w:numPr>
        <w:spacing w:lineRule="auto" w:line="240" w:before="0" w:after="0"/>
        <w:ind w:left="308" w:hanging="308"/>
        <w:contextualSpacing/>
        <w:jc w:val="both"/>
        <w:rPr>
          <w:szCs w:val="22"/>
        </w:rPr>
      </w:pPr>
      <w:r>
        <w:rPr>
          <w:szCs w:val="22"/>
        </w:rPr>
        <w:t>Daňové identifikačné číslo sa vyplňuje, ak ho má účtovná jednotka pridelené.</w:t>
      </w:r>
    </w:p>
    <w:p>
      <w:pPr>
        <w:pStyle w:val="ListParagraph"/>
        <w:numPr>
          <w:ilvl w:val="0"/>
          <w:numId w:val="1"/>
        </w:numPr>
        <w:spacing w:lineRule="auto" w:line="240" w:before="0" w:after="0"/>
        <w:ind w:left="308" w:hanging="308"/>
        <w:contextualSpacing/>
        <w:jc w:val="both"/>
        <w:rPr>
          <w:szCs w:val="22"/>
        </w:rPr>
      </w:pPr>
      <w:r>
        <w:rPr>
          <w:szCs w:val="22"/>
        </w:rPr>
        <w:t>Identifikačné číslo organizácie (IČO) sa vyplňuje podľa Registra organizácií vedeného Štatistickým úradom Slovenskej republiky.</w:t>
      </w:r>
    </w:p>
    <w:p>
      <w:pPr>
        <w:pStyle w:val="ListParagraph"/>
        <w:numPr>
          <w:ilvl w:val="0"/>
          <w:numId w:val="1"/>
        </w:numPr>
        <w:tabs>
          <w:tab w:val="left" w:pos="294" w:leader="none"/>
        </w:tabs>
        <w:spacing w:lineRule="auto" w:line="240" w:before="0" w:after="0"/>
        <w:ind w:left="294" w:hanging="308"/>
        <w:contextualSpacing/>
        <w:jc w:val="both"/>
        <w:rPr>
          <w:szCs w:val="22"/>
        </w:rPr>
      </w:pPr>
      <w:r>
        <w:rPr>
          <w:szCs w:val="22"/>
        </w:rPr>
        <w:t xml:space="preserve">Kód SK NACE sa vypĺňa podľa vyhlášky Štatistického úradu Slovenskej republiky </w:t>
        <w:br/>
        <w:t>č. 306/2007 Z. z., ktorou sa vydáva Štatistická klasifikácia ekonomických činností.</w:t>
      </w:r>
    </w:p>
    <w:p>
      <w:pPr>
        <w:pStyle w:val="ListParagraph"/>
        <w:numPr>
          <w:ilvl w:val="0"/>
          <w:numId w:val="1"/>
        </w:numPr>
        <w:tabs>
          <w:tab w:val="left" w:pos="294" w:leader="none"/>
        </w:tabs>
        <w:spacing w:lineRule="auto" w:line="240" w:before="0" w:after="0"/>
        <w:ind w:left="294" w:hanging="308"/>
        <w:contextualSpacing/>
        <w:jc w:val="both"/>
        <w:rPr>
          <w:szCs w:val="22"/>
        </w:rPr>
      </w:pPr>
      <w:r>
        <w:rPr>
          <w:szCs w:val="22"/>
        </w:rPr>
        <w:t>Údaje, ktorými sú číslo telefónu, číslo faxu, e-mailová adresa, podpisový záznam osoby zodpovednej za vedenie účtovníctva a podpisový záznam osoby zodpovednej za zostavenie účtovnej závierky, sú dobrovoľne vypĺňanými údajmi.</w:t>
      </w:r>
    </w:p>
    <w:p>
      <w:pPr>
        <w:pStyle w:val="ListParagraph"/>
        <w:numPr>
          <w:ilvl w:val="0"/>
          <w:numId w:val="1"/>
        </w:numPr>
        <w:tabs>
          <w:tab w:val="left" w:pos="294" w:leader="none"/>
        </w:tabs>
        <w:spacing w:lineRule="auto" w:line="240" w:before="0" w:after="0"/>
        <w:ind w:left="294" w:hanging="308"/>
        <w:contextualSpacing/>
        <w:jc w:val="both"/>
        <w:rPr>
          <w:szCs w:val="22"/>
        </w:rPr>
      </w:pPr>
      <w:r>
        <w:rPr>
          <w:szCs w:val="22"/>
          <w:lang w:eastAsia="sk-SK"/>
        </w:rPr>
        <w:t>V bodoch č. 2, 4 a 6 sa prvotným ocenením majetku rozumie jeho ocenenie podľa § 25 zákona.</w:t>
      </w:r>
    </w:p>
    <w:p>
      <w:pPr>
        <w:pStyle w:val="ListParagraph"/>
        <w:numPr>
          <w:ilvl w:val="0"/>
          <w:numId w:val="1"/>
        </w:numPr>
        <w:tabs>
          <w:tab w:val="left" w:pos="294" w:leader="none"/>
        </w:tabs>
        <w:spacing w:lineRule="auto" w:line="240" w:before="0" w:after="0"/>
        <w:ind w:left="294" w:hanging="308"/>
        <w:contextualSpacing/>
        <w:jc w:val="both"/>
        <w:rPr>
          <w:szCs w:val="22"/>
        </w:rPr>
      </w:pPr>
      <w:r>
        <w:rPr>
          <w:szCs w:val="22"/>
          <w:lang w:eastAsia="sk-SK"/>
        </w:rPr>
        <w:t xml:space="preserve">V bodoch č. 8, 23, 27, 28 a 29  sa obsahová náplň tabuliek a počet riadkov v nich  uvádzajú podľa potrieb účtovnej jednotky. </w:t>
      </w:r>
    </w:p>
    <w:p>
      <w:pPr>
        <w:pStyle w:val="Normal"/>
        <w:spacing w:lineRule="auto" w:line="240" w:before="0" w:after="0"/>
        <w:rPr>
          <w:b/>
          <w:b/>
          <w:szCs w:val="22"/>
        </w:rPr>
      </w:pPr>
      <w:r>
        <w:rPr>
          <w:b/>
          <w:szCs w:val="22"/>
        </w:rPr>
      </w:r>
    </w:p>
    <w:p>
      <w:pPr>
        <w:pStyle w:val="Normal"/>
        <w:spacing w:lineRule="auto" w:line="240" w:before="0" w:after="0"/>
        <w:rPr>
          <w:b/>
          <w:b/>
          <w:szCs w:val="22"/>
        </w:rPr>
      </w:pPr>
      <w:r>
        <w:rPr>
          <w:b/>
          <w:szCs w:val="22"/>
        </w:rPr>
        <w:t>Použité  skratky:</w:t>
      </w:r>
    </w:p>
    <w:p>
      <w:pPr>
        <w:pStyle w:val="Normal"/>
        <w:spacing w:lineRule="auto" w:line="240" w:before="0" w:after="0"/>
        <w:rPr>
          <w:szCs w:val="22"/>
        </w:rPr>
      </w:pPr>
      <w:r>
        <w:rPr>
          <w:szCs w:val="22"/>
        </w:rPr>
        <w:t>CP  - cenný papier</w:t>
      </w:r>
    </w:p>
    <w:p>
      <w:pPr>
        <w:pStyle w:val="Normal"/>
        <w:spacing w:lineRule="auto" w:line="240" w:before="0" w:after="0"/>
        <w:rPr>
          <w:szCs w:val="22"/>
        </w:rPr>
      </w:pPr>
      <w:r>
        <w:rPr>
          <w:szCs w:val="22"/>
        </w:rPr>
        <w:t>č. - číslo</w:t>
      </w:r>
    </w:p>
    <w:p>
      <w:pPr>
        <w:pStyle w:val="Normal"/>
        <w:spacing w:lineRule="auto" w:line="240" w:before="0" w:after="0"/>
        <w:rPr>
          <w:szCs w:val="22"/>
        </w:rPr>
      </w:pPr>
      <w:r>
        <w:rPr>
          <w:szCs w:val="22"/>
        </w:rPr>
        <w:t>DFM – dlhodobý finančný majetok</w:t>
      </w:r>
    </w:p>
    <w:p>
      <w:pPr>
        <w:pStyle w:val="Normal"/>
        <w:spacing w:lineRule="auto" w:line="240" w:before="0" w:after="0"/>
        <w:rPr>
          <w:szCs w:val="22"/>
        </w:rPr>
      </w:pPr>
      <w:r>
        <w:rPr>
          <w:szCs w:val="22"/>
        </w:rPr>
        <w:t>DHM – dlhodobý hmotný majetok</w:t>
      </w:r>
    </w:p>
    <w:p>
      <w:pPr>
        <w:pStyle w:val="Normal"/>
        <w:spacing w:lineRule="auto" w:line="240" w:before="0" w:after="0"/>
        <w:rPr>
          <w:szCs w:val="22"/>
        </w:rPr>
      </w:pPr>
      <w:r>
        <w:rPr>
          <w:szCs w:val="22"/>
        </w:rPr>
        <w:t>DIČ – daňové identifikačné číslo</w:t>
      </w:r>
    </w:p>
    <w:p>
      <w:pPr>
        <w:pStyle w:val="Normal"/>
        <w:spacing w:lineRule="auto" w:line="240" w:before="0" w:after="0"/>
        <w:rPr>
          <w:szCs w:val="22"/>
        </w:rPr>
      </w:pPr>
      <w:r>
        <w:rPr>
          <w:szCs w:val="22"/>
        </w:rPr>
        <w:t>DNM – dlhodobý nehmotný majetok</w:t>
      </w:r>
    </w:p>
    <w:p>
      <w:pPr>
        <w:pStyle w:val="Normal"/>
        <w:spacing w:lineRule="auto" w:line="240" w:before="0" w:after="0"/>
        <w:rPr>
          <w:szCs w:val="22"/>
        </w:rPr>
      </w:pPr>
      <w:r>
        <w:rPr>
          <w:szCs w:val="22"/>
        </w:rPr>
        <w:t>DÚJ – dcérska účtovná jednotka</w:t>
      </w:r>
    </w:p>
    <w:p>
      <w:pPr>
        <w:pStyle w:val="Normal"/>
        <w:spacing w:lineRule="auto" w:line="240" w:before="0" w:after="0"/>
        <w:rPr>
          <w:szCs w:val="22"/>
        </w:rPr>
      </w:pPr>
      <w:r>
        <w:rPr>
          <w:szCs w:val="22"/>
        </w:rPr>
        <w:t>IČO – identifikačné číslo organizácie</w:t>
      </w:r>
    </w:p>
    <w:p>
      <w:pPr>
        <w:pStyle w:val="Normal"/>
        <w:spacing w:lineRule="auto" w:line="240" w:before="0" w:after="0"/>
        <w:rPr>
          <w:szCs w:val="22"/>
        </w:rPr>
      </w:pPr>
      <w:r>
        <w:rPr>
          <w:szCs w:val="22"/>
        </w:rPr>
        <w:t>kons. – konsolidovaný</w:t>
      </w:r>
    </w:p>
    <w:p>
      <w:pPr>
        <w:pStyle w:val="Normal"/>
        <w:spacing w:lineRule="auto" w:line="240" w:before="0" w:after="0"/>
        <w:rPr>
          <w:szCs w:val="22"/>
        </w:rPr>
      </w:pPr>
      <w:r>
        <w:rPr>
          <w:szCs w:val="22"/>
        </w:rPr>
        <w:t>MÚJ – materská účtovná jednotka</w:t>
      </w:r>
    </w:p>
    <w:p>
      <w:pPr>
        <w:pStyle w:val="Normal"/>
        <w:spacing w:lineRule="auto" w:line="240" w:before="0" w:after="0"/>
        <w:rPr>
          <w:szCs w:val="22"/>
        </w:rPr>
      </w:pPr>
      <w:r>
        <w:rPr>
          <w:szCs w:val="22"/>
        </w:rPr>
        <w:t>OP – opravná položka</w:t>
      </w:r>
    </w:p>
    <w:p>
      <w:pPr>
        <w:pStyle w:val="Normal"/>
        <w:spacing w:lineRule="auto" w:line="240" w:before="0" w:after="0"/>
        <w:rPr>
          <w:szCs w:val="22"/>
        </w:rPr>
      </w:pPr>
      <w:r>
        <w:rPr>
          <w:szCs w:val="22"/>
        </w:rPr>
        <w:t>p. a. – per annum</w:t>
      </w:r>
    </w:p>
    <w:p>
      <w:pPr>
        <w:pStyle w:val="Normal"/>
        <w:spacing w:lineRule="auto" w:line="240" w:before="0" w:after="0"/>
        <w:rPr>
          <w:szCs w:val="22"/>
        </w:rPr>
      </w:pPr>
      <w:r>
        <w:rPr>
          <w:szCs w:val="22"/>
        </w:rPr>
        <w:t>PSČ – poštové smerovacie číslo</w:t>
      </w:r>
    </w:p>
    <w:p>
      <w:pPr>
        <w:pStyle w:val="Normal"/>
        <w:spacing w:lineRule="auto" w:line="240" w:before="0" w:after="0"/>
        <w:rPr>
          <w:szCs w:val="22"/>
        </w:rPr>
      </w:pPr>
      <w:r>
        <w:rPr>
          <w:szCs w:val="22"/>
        </w:rPr>
        <w:t>ÚJ – účtovná jednotka</w:t>
      </w:r>
    </w:p>
    <w:p>
      <w:pPr>
        <w:pStyle w:val="Normal"/>
        <w:spacing w:lineRule="auto" w:line="240" w:before="0" w:after="0"/>
        <w:rPr>
          <w:szCs w:val="22"/>
        </w:rPr>
      </w:pPr>
      <w:r>
        <w:rPr>
          <w:szCs w:val="22"/>
        </w:rPr>
        <w:t>VI – vlastné imanie</w:t>
      </w:r>
    </w:p>
    <w:p>
      <w:pPr>
        <w:pStyle w:val="Normal"/>
        <w:spacing w:lineRule="auto" w:line="240" w:before="0" w:after="0"/>
        <w:rPr/>
      </w:pPr>
      <w:r>
        <w:rPr>
          <w:szCs w:val="22"/>
        </w:rPr>
        <w:t>ZI – základné imanie</w:t>
      </w:r>
    </w:p>
    <w:sectPr>
      <w:footerReference w:type="default" r:id="rId2"/>
      <w:type w:val="nextPage"/>
      <w:pgSz w:w="11906" w:h="16838"/>
      <w:pgMar w:left="1417" w:right="1417" w:header="0" w:top="284" w:footer="709" w:bottom="1417" w:gutter="0"/>
      <w:pgNumType w:start="0" w:fmt="decimal"/>
      <w:formProt w:val="false"/>
      <w:titlePg/>
      <w:textDirection w:val="lrTb"/>
      <w:docGrid w:type="default" w:linePitch="36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Arial Narrow">
    <w:charset w:val="ee"/>
    <w:family w:val="roman"/>
    <w:pitch w:val="variable"/>
  </w:font>
  <w:font w:name="Cambria">
    <w:charset w:val="ee"/>
    <w:family w:val="roman"/>
    <w:pitch w:val="variable"/>
  </w:font>
  <w:font w:name="Tahoma">
    <w:charset w:val="ee"/>
    <w:family w:val="roman"/>
    <w:pitch w:val="variable"/>
  </w:font>
  <w:font w:name="Segoe UI">
    <w:charset w:val="ee"/>
    <w:family w:val="roman"/>
    <w:pitch w:val="variable"/>
  </w:font>
  <w:font w:name="Arial">
    <w:charset w:val="ee"/>
    <w:family w:val="roman"/>
    <w:pitch w:val="variable"/>
  </w:font>
  <w:font w:name="Liberation Sans">
    <w:altName w:val="Arial"/>
    <w:charset w:val="ee"/>
    <w:family w:val="roman"/>
    <w:pitch w:val="variable"/>
  </w:font>
  <w:font w:name="Tms Rmn">
    <w:altName w:val="Times New Roman"/>
    <w:charset w:val="ee"/>
    <w:family w:val="roman"/>
    <w:pitch w:val="variable"/>
  </w:font>
  <w:font w:name="Times New Roman">
    <w:charset w:val="ee"/>
    <w:family w:val="roman"/>
    <w:pitch w:val="variable"/>
  </w:font>
  <w:font w:name="Arial">
    <w:charset w:val="01"/>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szCs w:val="22"/>
      </w:rPr>
      <w:t xml:space="preserve">Strana </w:t>
    </w:r>
    <w:r>
      <w:rPr>
        <w:szCs w:val="22"/>
      </w:rPr>
      <w:fldChar w:fldCharType="begin"/>
    </w:r>
    <w:r>
      <w:instrText> PAGE </w:instrText>
    </w:r>
    <w:r>
      <w:fldChar w:fldCharType="separate"/>
    </w:r>
    <w:r>
      <w:t>37</w:t>
    </w:r>
    <w:r>
      <w:fldChar w:fldCharType="end"/>
    </w:r>
  </w:p>
  <w:p>
    <w:pPr>
      <w:pStyle w:val="Pta"/>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360" w:hanging="360"/>
      </w:pPr>
      <w:rPr>
        <w:rFonts w:cs="Times New Roman"/>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2">
    <w:lvl w:ilvl="0">
      <w:start w:val="1"/>
      <w:numFmt w:val="decimal"/>
      <w:lvlText w:val="%1."/>
      <w:lvlJc w:val="left"/>
      <w:pPr>
        <w:ind w:left="644" w:hanging="360"/>
      </w:pPr>
      <w:rPr>
        <w:b w:val="false"/>
        <w:rFonts w:cs="Times New Roman"/>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3">
    <w:lvl w:ilvl="0">
      <w:start w:val="1"/>
      <w:numFmt w:val="upperLetter"/>
      <w:lvlText w:val="%1)"/>
      <w:lvlJc w:val="left"/>
      <w:pPr>
        <w:tabs>
          <w:tab w:val="num" w:pos="1065"/>
        </w:tabs>
        <w:ind w:left="1065" w:hanging="705"/>
      </w:pPr>
      <w:rPr>
        <w:sz w:val="24"/>
        <w:b/>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lvl w:ilvl="0">
      <w:start w:val="1"/>
      <w:numFmt w:val="lowerLetter"/>
      <w:lvlText w:val="%1)"/>
      <w:lvlJc w:val="left"/>
      <w:pPr>
        <w:tabs>
          <w:tab w:val="num" w:pos="720"/>
        </w:tabs>
        <w:ind w:left="720" w:hanging="360"/>
      </w:pPr>
      <w:rPr>
        <w:sz w:val="24"/>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
    <w:lvl w:ilvl="0">
      <w:start w:val="1"/>
      <w:numFmt w:val="lowerLetter"/>
      <w:lvlText w:val="%1)"/>
      <w:lvlJc w:val="left"/>
      <w:pPr>
        <w:tabs>
          <w:tab w:val="num" w:pos="720"/>
        </w:tabs>
        <w:ind w:left="720" w:hanging="360"/>
      </w:pPr>
      <w:rPr>
        <w:sz w:val="24"/>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lvl w:ilvl="0">
      <w:start w:val="1"/>
      <w:numFmt w:val="decimal"/>
      <w:lvlText w:val="%1."/>
      <w:lvlJc w:val="left"/>
      <w:pPr>
        <w:ind w:left="1080" w:hanging="360"/>
      </w:pPr>
      <w:rPr>
        <w:sz w:val="24"/>
        <w:rFonts w:ascii="Arial" w:hAnsi="Arial" w:cs="Times New Roman"/>
      </w:rPr>
    </w:lvl>
    <w:lvl w:ilvl="1">
      <w:start w:val="1"/>
      <w:numFmt w:val="lowerLetter"/>
      <w:lvlText w:val="%2."/>
      <w:lvlJc w:val="left"/>
      <w:pPr>
        <w:ind w:left="1800" w:hanging="360"/>
      </w:pPr>
      <w:rPr>
        <w:rFonts w:cs="Times New Roman"/>
      </w:rPr>
    </w:lvl>
    <w:lvl w:ilvl="2">
      <w:start w:val="1"/>
      <w:numFmt w:val="lowerRoman"/>
      <w:lvlText w:val="%3."/>
      <w:lvlJc w:val="right"/>
      <w:pPr>
        <w:ind w:left="2520" w:hanging="180"/>
      </w:pPr>
      <w:rPr>
        <w:rFonts w:cs="Times New Roman"/>
      </w:rPr>
    </w:lvl>
    <w:lvl w:ilvl="3">
      <w:start w:val="1"/>
      <w:numFmt w:val="decimal"/>
      <w:lvlText w:val="%4."/>
      <w:lvlJc w:val="left"/>
      <w:pPr>
        <w:ind w:left="3240" w:hanging="360"/>
      </w:pPr>
      <w:rPr>
        <w:rFonts w:cs="Times New Roman"/>
      </w:rPr>
    </w:lvl>
    <w:lvl w:ilvl="4">
      <w:start w:val="1"/>
      <w:numFmt w:val="lowerLetter"/>
      <w:lvlText w:val="%5."/>
      <w:lvlJc w:val="left"/>
      <w:pPr>
        <w:ind w:left="3960" w:hanging="360"/>
      </w:pPr>
      <w:rPr>
        <w:rFonts w:cs="Times New Roman"/>
      </w:rPr>
    </w:lvl>
    <w:lvl w:ilvl="5">
      <w:start w:val="1"/>
      <w:numFmt w:val="lowerRoman"/>
      <w:lvlText w:val="%6."/>
      <w:lvlJc w:val="right"/>
      <w:pPr>
        <w:ind w:left="4680" w:hanging="180"/>
      </w:pPr>
      <w:rPr>
        <w:rFonts w:cs="Times New Roman"/>
      </w:rPr>
    </w:lvl>
    <w:lvl w:ilvl="6">
      <w:start w:val="1"/>
      <w:numFmt w:val="decimal"/>
      <w:lvlText w:val="%7."/>
      <w:lvlJc w:val="left"/>
      <w:pPr>
        <w:ind w:left="5400" w:hanging="360"/>
      </w:pPr>
      <w:rPr>
        <w:rFonts w:cs="Times New Roman"/>
      </w:rPr>
    </w:lvl>
    <w:lvl w:ilvl="7">
      <w:start w:val="1"/>
      <w:numFmt w:val="lowerLetter"/>
      <w:lvlText w:val="%8."/>
      <w:lvlJc w:val="left"/>
      <w:pPr>
        <w:ind w:left="6120" w:hanging="360"/>
      </w:pPr>
      <w:rPr>
        <w:rFonts w:cs="Times New Roman"/>
      </w:rPr>
    </w:lvl>
    <w:lvl w:ilvl="8">
      <w:start w:val="1"/>
      <w:numFmt w:val="lowerRoman"/>
      <w:lvlText w:val="%9."/>
      <w:lvlJc w:val="right"/>
      <w:pPr>
        <w:ind w:left="6840" w:hanging="180"/>
      </w:pPr>
      <w:rPr>
        <w:rFonts w:cs="Times New Roman"/>
      </w:rPr>
    </w:lvl>
  </w:abstractNum>
  <w:abstractNum w:abstractNumId="7">
    <w:lvl w:ilvl="0">
      <w:start w:val="1"/>
      <w:numFmt w:val="lowerLetter"/>
      <w:lvlText w:val="%1)"/>
      <w:lvlJc w:val="left"/>
      <w:pPr>
        <w:tabs>
          <w:tab w:val="num" w:pos="720"/>
        </w:tabs>
        <w:ind w:left="720" w:hanging="360"/>
      </w:pPr>
      <w:rPr>
        <w:sz w:val="24"/>
        <w:b/>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8">
    <w:lvl w:ilvl="0">
      <w:start w:val="1"/>
      <w:numFmt w:val="decimal"/>
      <w:lvlText w:val="%1."/>
      <w:lvlJc w:val="left"/>
      <w:pPr>
        <w:tabs>
          <w:tab w:val="num" w:pos="720"/>
        </w:tabs>
        <w:ind w:left="720" w:hanging="360"/>
      </w:pPr>
      <w:rPr>
        <w:sz w:val="24"/>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9">
    <w:lvl w:ilvl="0">
      <w:start w:val="1"/>
      <w:numFmt w:val="lowerLetter"/>
      <w:lvlText w:val="%1)"/>
      <w:lvlJc w:val="left"/>
      <w:pPr>
        <w:tabs>
          <w:tab w:val="num" w:pos="720"/>
        </w:tabs>
        <w:ind w:left="720" w:hanging="360"/>
      </w:pPr>
      <w:rPr>
        <w:sz w:val="24"/>
        <w:rFonts w:ascii="Arial" w:hAnsi="Arial" w:cs="Times New Roman"/>
      </w:rPr>
    </w:lvl>
    <w:lvl w:ilvl="1">
      <w:start w:val="1"/>
      <w:numFmt w:val="decimal"/>
      <w:lvlText w:val="%2."/>
      <w:lvlJc w:val="left"/>
      <w:pPr>
        <w:tabs>
          <w:tab w:val="num" w:pos="1440"/>
        </w:tabs>
        <w:ind w:left="1440" w:hanging="360"/>
      </w:pPr>
      <w:rPr>
        <w:sz w:val="24"/>
        <w:b/>
        <w:rFonts w:ascii="Arial" w:hAnsi="Arial" w:cs="Times New Roman"/>
      </w:rPr>
    </w:lvl>
    <w:lvl w:ilvl="2">
      <w:start w:val="18"/>
      <w:numFmt w:val="upperLetter"/>
      <w:lvlText w:val="%3)"/>
      <w:lvlJc w:val="left"/>
      <w:pPr>
        <w:ind w:left="2340" w:hanging="360"/>
      </w:pPr>
      <w:rPr>
        <w:rFonts w:cs="Times New Roman"/>
      </w:rPr>
    </w:lvl>
    <w:lvl w:ilvl="3">
      <w:start w:val="390"/>
      <w:numFmt w:val="bullet"/>
      <w:lvlText w:val="-"/>
      <w:lvlJc w:val="left"/>
      <w:pPr>
        <w:tabs>
          <w:tab w:val="num" w:pos="2880"/>
        </w:tabs>
        <w:ind w:left="2880" w:hanging="360"/>
      </w:pPr>
      <w:rPr>
        <w:rFonts w:ascii="Arial" w:hAnsi="Arial" w:cs="Arial" w:hint="default"/>
        <w:rFonts w:cs="Arial"/>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lvl w:ilvl="0">
      <w:start w:val="1"/>
      <w:numFmt w:val="decimal"/>
      <w:lvlText w:val="%1."/>
      <w:lvlJc w:val="left"/>
      <w:pPr>
        <w:tabs>
          <w:tab w:val="num" w:pos="720"/>
        </w:tabs>
        <w:ind w:left="720" w:hanging="360"/>
      </w:pPr>
      <w:rPr>
        <w:sz w:val="24"/>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1">
    <w:lvl w:ilvl="0">
      <w:start w:val="1"/>
      <w:numFmt w:val="lowerLetter"/>
      <w:lvlText w:val="%1)"/>
      <w:lvlJc w:val="left"/>
      <w:pPr>
        <w:tabs>
          <w:tab w:val="num" w:pos="720"/>
        </w:tabs>
        <w:ind w:left="720" w:hanging="360"/>
      </w:pPr>
      <w:rPr>
        <w:sz w:val="24"/>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lvl w:ilvl="0">
      <w:start w:val="1"/>
      <w:numFmt w:val="lowerLetter"/>
      <w:lvlText w:val="%1)"/>
      <w:lvlJc w:val="left"/>
      <w:pPr>
        <w:tabs>
          <w:tab w:val="num" w:pos="720"/>
        </w:tabs>
        <w:ind w:left="720" w:hanging="360"/>
      </w:pPr>
      <w:rPr>
        <w:sz w:val="24"/>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lvl w:ilvl="0">
      <w:start w:val="1"/>
      <w:numFmt w:val="lowerLetter"/>
      <w:lvlText w:val="%1)"/>
      <w:lvlJc w:val="left"/>
      <w:pPr>
        <w:tabs>
          <w:tab w:val="num" w:pos="720"/>
        </w:tabs>
        <w:ind w:left="720" w:hanging="360"/>
      </w:pPr>
      <w:rPr>
        <w:sz w:val="24"/>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
    <w:lvl w:ilvl="0">
      <w:start w:val="1"/>
      <w:numFmt w:val="lowerLetter"/>
      <w:lvlText w:val="%1)"/>
      <w:lvlJc w:val="left"/>
      <w:pPr>
        <w:tabs>
          <w:tab w:val="num" w:pos="720"/>
        </w:tabs>
        <w:ind w:left="720" w:hanging="360"/>
      </w:pPr>
      <w:rPr>
        <w:sz w:val="24"/>
        <w:b/>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5">
    <w:lvl w:ilvl="0">
      <w:start w:val="1"/>
      <w:numFmt w:val="lowerLetter"/>
      <w:lvlText w:val="%1)"/>
      <w:lvlJc w:val="left"/>
      <w:pPr>
        <w:tabs>
          <w:tab w:val="num" w:pos="720"/>
        </w:tabs>
        <w:ind w:left="720" w:hanging="360"/>
      </w:pPr>
      <w:rPr>
        <w:sz w:val="24"/>
        <w:rFonts w:ascii="Arial" w:hAnsi="Arial" w:cs="Times New Roman"/>
      </w:rPr>
    </w:lvl>
    <w:lvl w:ilvl="1">
      <w:start w:val="1"/>
      <w:numFmt w:val="decimal"/>
      <w:lvlText w:val="%2."/>
      <w:lvlJc w:val="left"/>
      <w:pPr>
        <w:tabs>
          <w:tab w:val="num" w:pos="1440"/>
        </w:tabs>
        <w:ind w:left="1440" w:hanging="360"/>
      </w:pPr>
      <w:rPr>
        <w:b/>
        <w:rFonts w:cs="Times New Roman"/>
      </w:rPr>
    </w:lvl>
    <w:lvl w:ilvl="2">
      <w:start w:val="20"/>
      <w:numFmt w:val="upperLetter"/>
      <w:lvlText w:val="%3)"/>
      <w:lvlJc w:val="left"/>
      <w:pPr>
        <w:ind w:left="234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6">
    <w:lvl w:ilvl="0">
      <w:start w:val="1"/>
      <w:numFmt w:val="lowerLetter"/>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7">
    <w:lvl w:ilvl="0">
      <w:start w:val="1"/>
      <w:numFmt w:val="lowerLetter"/>
      <w:lvlText w:val="%1)"/>
      <w:lvlJc w:val="left"/>
      <w:pPr>
        <w:tabs>
          <w:tab w:val="num" w:pos="720"/>
        </w:tabs>
        <w:ind w:left="720" w:hanging="360"/>
      </w:pPr>
      <w:rPr>
        <w:sz w:val="24"/>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8">
    <w:lvl w:ilvl="0">
      <w:start w:val="1"/>
      <w:numFmt w:val="lowerLetter"/>
      <w:lvlText w:val="%1)"/>
      <w:lvlJc w:val="left"/>
      <w:pPr>
        <w:tabs>
          <w:tab w:val="num" w:pos="720"/>
        </w:tabs>
        <w:ind w:left="720" w:hanging="360"/>
      </w:pPr>
      <w:rPr>
        <w:sz w:val="24"/>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9">
    <w:lvl w:ilvl="0">
      <w:start w:val="1"/>
      <w:numFmt w:val="decimal"/>
      <w:lvlText w:val="%1."/>
      <w:lvlJc w:val="left"/>
      <w:pPr>
        <w:ind w:left="1800" w:hanging="360"/>
      </w:pPr>
      <w:rPr>
        <w:sz w:val="24"/>
        <w:rFonts w:ascii="Arial" w:hAnsi="Arial" w:cs="Times New Roman"/>
      </w:rPr>
    </w:lvl>
    <w:lvl w:ilvl="1">
      <w:start w:val="1"/>
      <w:numFmt w:val="lowerLetter"/>
      <w:lvlText w:val="%2."/>
      <w:lvlJc w:val="left"/>
      <w:pPr>
        <w:ind w:left="2520" w:hanging="360"/>
      </w:pPr>
      <w:rPr>
        <w:rFonts w:cs="Times New Roman"/>
      </w:rPr>
    </w:lvl>
    <w:lvl w:ilvl="2">
      <w:start w:val="1"/>
      <w:numFmt w:val="lowerRoman"/>
      <w:lvlText w:val="%3."/>
      <w:lvlJc w:val="right"/>
      <w:pPr>
        <w:ind w:left="3240" w:hanging="180"/>
      </w:pPr>
      <w:rPr>
        <w:rFonts w:cs="Times New Roman"/>
      </w:rPr>
    </w:lvl>
    <w:lvl w:ilvl="3">
      <w:start w:val="1"/>
      <w:numFmt w:val="decimal"/>
      <w:lvlText w:val="%4."/>
      <w:lvlJc w:val="left"/>
      <w:pPr>
        <w:ind w:left="3960" w:hanging="360"/>
      </w:pPr>
      <w:rPr>
        <w:rFonts w:cs="Times New Roman"/>
      </w:rPr>
    </w:lvl>
    <w:lvl w:ilvl="4">
      <w:start w:val="1"/>
      <w:numFmt w:val="lowerLetter"/>
      <w:lvlText w:val="%5."/>
      <w:lvlJc w:val="left"/>
      <w:pPr>
        <w:ind w:left="4680" w:hanging="360"/>
      </w:pPr>
      <w:rPr>
        <w:rFonts w:cs="Times New Roman"/>
      </w:rPr>
    </w:lvl>
    <w:lvl w:ilvl="5">
      <w:start w:val="1"/>
      <w:numFmt w:val="lowerRoman"/>
      <w:lvlText w:val="%6."/>
      <w:lvlJc w:val="right"/>
      <w:pPr>
        <w:ind w:left="5400" w:hanging="180"/>
      </w:pPr>
      <w:rPr>
        <w:rFonts w:cs="Times New Roman"/>
      </w:rPr>
    </w:lvl>
    <w:lvl w:ilvl="6">
      <w:start w:val="1"/>
      <w:numFmt w:val="decimal"/>
      <w:lvlText w:val="%7."/>
      <w:lvlJc w:val="left"/>
      <w:pPr>
        <w:ind w:left="6120" w:hanging="360"/>
      </w:pPr>
      <w:rPr>
        <w:rFonts w:cs="Times New Roman"/>
      </w:rPr>
    </w:lvl>
    <w:lvl w:ilvl="7">
      <w:start w:val="1"/>
      <w:numFmt w:val="lowerLetter"/>
      <w:lvlText w:val="%8."/>
      <w:lvlJc w:val="left"/>
      <w:pPr>
        <w:ind w:left="6840" w:hanging="360"/>
      </w:pPr>
      <w:rPr>
        <w:rFonts w:cs="Times New Roman"/>
      </w:rPr>
    </w:lvl>
    <w:lvl w:ilvl="8">
      <w:start w:val="1"/>
      <w:numFmt w:val="lowerRoman"/>
      <w:lvlText w:val="%9."/>
      <w:lvlJc w:val="right"/>
      <w:pPr>
        <w:ind w:left="7560" w:hanging="180"/>
      </w:pPr>
      <w:rPr>
        <w:rFonts w:cs="Times New Roman"/>
      </w:rPr>
    </w:lvl>
  </w:abstractNum>
  <w:abstractNum w:abstractNumId="20">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Narrow" w:hAnsi="Arial Narrow" w:eastAsia="Times New Roman" w:cs="Arial Narrow"/>
        <w:szCs w:val="22"/>
        <w:lang w:val="sk-SK" w:eastAsia="sk-SK" w:bidi="ar-SA"/>
      </w:rPr>
    </w:rPrDefault>
    <w:pPrDefault>
      <w:pPr>
        <w:spacing w:lineRule="auto" w:line="276"/>
      </w:pPr>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atentStyles>
  <w:style w:type="paragraph" w:styleId="Normal" w:default="1">
    <w:name w:val="Normal"/>
    <w:qFormat/>
    <w:pPr>
      <w:widowControl/>
      <w:bidi w:val="0"/>
      <w:spacing w:lineRule="auto" w:line="276" w:before="0" w:after="200"/>
      <w:jc w:val="left"/>
    </w:pPr>
    <w:rPr>
      <w:rFonts w:ascii="Arial Narrow" w:hAnsi="Arial Narrow" w:eastAsia="Times New Roman" w:cs="Times New Roman"/>
      <w:color w:val="00000A"/>
      <w:sz w:val="22"/>
      <w:szCs w:val="36"/>
      <w:lang w:val="sk-SK" w:eastAsia="en-US" w:bidi="ar-SA"/>
    </w:rPr>
  </w:style>
  <w:style w:type="paragraph" w:styleId="Nadpis1">
    <w:name w:val="Heading 1"/>
    <w:basedOn w:val="Normal"/>
    <w:link w:val="Nadpis1Char"/>
    <w:uiPriority w:val="99"/>
    <w:qFormat/>
    <w:rsid w:val="0003344f"/>
    <w:pPr>
      <w:keepNext/>
      <w:spacing w:lineRule="auto" w:line="240" w:before="240" w:after="60"/>
      <w:outlineLvl w:val="0"/>
    </w:pPr>
    <w:rPr>
      <w:rFonts w:ascii="Cambria" w:hAnsi="Cambria"/>
      <w:b/>
      <w:bCs/>
      <w:sz w:val="32"/>
      <w:szCs w:val="32"/>
    </w:rPr>
  </w:style>
  <w:style w:type="paragraph" w:styleId="Nadpis2">
    <w:name w:val="Heading 2"/>
    <w:basedOn w:val="Normal"/>
    <w:link w:val="Nadpis2Char"/>
    <w:uiPriority w:val="99"/>
    <w:qFormat/>
    <w:rsid w:val="0003344f"/>
    <w:pPr>
      <w:keepNext/>
      <w:spacing w:lineRule="auto" w:line="240" w:before="240" w:after="60"/>
      <w:outlineLvl w:val="1"/>
    </w:pPr>
    <w:rPr>
      <w:rFonts w:ascii="Cambria" w:hAnsi="Cambria"/>
      <w:b/>
      <w:bCs/>
      <w:i/>
      <w:iCs/>
      <w:sz w:val="28"/>
      <w:szCs w:val="28"/>
    </w:rPr>
  </w:style>
  <w:style w:type="paragraph" w:styleId="Nadpis3">
    <w:name w:val="Heading 3"/>
    <w:basedOn w:val="Normal"/>
    <w:link w:val="Nadpis3Char"/>
    <w:uiPriority w:val="99"/>
    <w:qFormat/>
    <w:rsid w:val="0003344f"/>
    <w:pPr>
      <w:keepNext/>
      <w:spacing w:lineRule="auto" w:line="240" w:before="240" w:after="60"/>
      <w:outlineLvl w:val="2"/>
    </w:pPr>
    <w:rPr>
      <w:rFonts w:ascii="Cambria" w:hAnsi="Cambria"/>
      <w:b/>
      <w:bCs/>
      <w:sz w:val="26"/>
      <w:szCs w:val="26"/>
    </w:rPr>
  </w:style>
  <w:style w:type="paragraph" w:styleId="Nadpis4">
    <w:name w:val="Heading 4"/>
    <w:basedOn w:val="Normal"/>
    <w:link w:val="Nadpis4Char"/>
    <w:uiPriority w:val="99"/>
    <w:qFormat/>
    <w:rsid w:val="0003344f"/>
    <w:pPr>
      <w:keepNext/>
      <w:spacing w:lineRule="auto" w:line="240" w:before="240" w:after="60"/>
      <w:outlineLvl w:val="3"/>
    </w:pPr>
    <w:rPr>
      <w:b/>
      <w:bCs/>
      <w:sz w:val="28"/>
      <w:szCs w:val="28"/>
    </w:rPr>
  </w:style>
  <w:style w:type="paragraph" w:styleId="Nadpis5">
    <w:name w:val="Heading 5"/>
    <w:basedOn w:val="Normal"/>
    <w:link w:val="Nadpis5Char"/>
    <w:uiPriority w:val="99"/>
    <w:qFormat/>
    <w:rsid w:val="0003344f"/>
    <w:pPr>
      <w:spacing w:lineRule="auto" w:line="240" w:before="240" w:after="60"/>
      <w:outlineLvl w:val="4"/>
    </w:pPr>
    <w:rPr>
      <w:b/>
      <w:bCs/>
      <w:i/>
      <w:iCs/>
      <w:sz w:val="26"/>
      <w:szCs w:val="26"/>
    </w:rPr>
  </w:style>
  <w:style w:type="paragraph" w:styleId="Nadpis6">
    <w:name w:val="Heading 6"/>
    <w:basedOn w:val="Normal"/>
    <w:link w:val="Nadpis6Char"/>
    <w:uiPriority w:val="99"/>
    <w:qFormat/>
    <w:rsid w:val="0003344f"/>
    <w:pPr>
      <w:spacing w:lineRule="auto" w:line="240" w:before="240" w:after="60"/>
      <w:outlineLvl w:val="5"/>
    </w:pPr>
    <w:rPr>
      <w:b/>
      <w:bCs/>
      <w:szCs w:val="22"/>
    </w:rPr>
  </w:style>
  <w:style w:type="paragraph" w:styleId="Nadpis7">
    <w:name w:val="Heading 7"/>
    <w:basedOn w:val="Normal"/>
    <w:link w:val="Nadpis7Char"/>
    <w:uiPriority w:val="99"/>
    <w:qFormat/>
    <w:rsid w:val="0003344f"/>
    <w:pPr>
      <w:spacing w:lineRule="auto" w:line="240" w:before="240" w:after="60"/>
      <w:outlineLvl w:val="6"/>
    </w:pPr>
    <w:rPr>
      <w:szCs w:val="24"/>
    </w:rPr>
  </w:style>
  <w:style w:type="paragraph" w:styleId="Nadpis8">
    <w:name w:val="Heading 8"/>
    <w:basedOn w:val="Normal"/>
    <w:link w:val="Nadpis8Char"/>
    <w:uiPriority w:val="99"/>
    <w:qFormat/>
    <w:rsid w:val="0003344f"/>
    <w:pPr>
      <w:spacing w:lineRule="auto" w:line="240" w:before="240" w:after="60"/>
      <w:outlineLvl w:val="7"/>
    </w:pPr>
    <w:rPr>
      <w:i/>
      <w:iCs/>
      <w:szCs w:val="24"/>
    </w:rPr>
  </w:style>
  <w:style w:type="paragraph" w:styleId="Nadpis9">
    <w:name w:val="Heading 9"/>
    <w:basedOn w:val="Normal"/>
    <w:link w:val="Nadpis9Char"/>
    <w:uiPriority w:val="99"/>
    <w:qFormat/>
    <w:rsid w:val="0003344f"/>
    <w:pPr>
      <w:spacing w:lineRule="auto" w:line="240" w:before="240" w:after="60"/>
      <w:outlineLvl w:val="8"/>
    </w:pPr>
    <w:rPr>
      <w:rFonts w:ascii="Cambria" w:hAnsi="Cambria"/>
      <w:szCs w:val="22"/>
    </w:rPr>
  </w:style>
  <w:style w:type="character" w:styleId="DefaultParagraphFont" w:default="1">
    <w:name w:val="Default Paragraph Font"/>
    <w:uiPriority w:val="99"/>
    <w:semiHidden/>
    <w:qFormat/>
    <w:rPr/>
  </w:style>
  <w:style w:type="character" w:styleId="Nadpis1Char" w:customStyle="1">
    <w:name w:val="Nadpis 1 Char"/>
    <w:basedOn w:val="DefaultParagraphFont"/>
    <w:link w:val="Nadpis1"/>
    <w:uiPriority w:val="99"/>
    <w:qFormat/>
    <w:locked/>
    <w:rsid w:val="0003344f"/>
    <w:rPr>
      <w:rFonts w:ascii="Cambria" w:hAnsi="Cambria" w:cs="Times New Roman"/>
      <w:b/>
      <w:bCs/>
      <w:sz w:val="32"/>
      <w:szCs w:val="32"/>
    </w:rPr>
  </w:style>
  <w:style w:type="character" w:styleId="Nadpis2Char" w:customStyle="1">
    <w:name w:val="Nadpis 2 Char"/>
    <w:basedOn w:val="DefaultParagraphFont"/>
    <w:link w:val="Nadpis2"/>
    <w:uiPriority w:val="99"/>
    <w:semiHidden/>
    <w:qFormat/>
    <w:locked/>
    <w:rsid w:val="0003344f"/>
    <w:rPr>
      <w:rFonts w:ascii="Cambria" w:hAnsi="Cambria" w:cs="Times New Roman"/>
      <w:b/>
      <w:bCs/>
      <w:i/>
      <w:iCs/>
      <w:sz w:val="28"/>
      <w:szCs w:val="28"/>
    </w:rPr>
  </w:style>
  <w:style w:type="character" w:styleId="Nadpis3Char" w:customStyle="1">
    <w:name w:val="Nadpis 3 Char"/>
    <w:basedOn w:val="DefaultParagraphFont"/>
    <w:link w:val="Nadpis3"/>
    <w:uiPriority w:val="99"/>
    <w:semiHidden/>
    <w:qFormat/>
    <w:locked/>
    <w:rsid w:val="0003344f"/>
    <w:rPr>
      <w:rFonts w:ascii="Cambria" w:hAnsi="Cambria" w:cs="Times New Roman"/>
      <w:b/>
      <w:bCs/>
      <w:sz w:val="26"/>
      <w:szCs w:val="26"/>
    </w:rPr>
  </w:style>
  <w:style w:type="character" w:styleId="Nadpis4Char" w:customStyle="1">
    <w:name w:val="Nadpis 4 Char"/>
    <w:basedOn w:val="DefaultParagraphFont"/>
    <w:link w:val="Nadpis4"/>
    <w:uiPriority w:val="99"/>
    <w:semiHidden/>
    <w:qFormat/>
    <w:locked/>
    <w:rsid w:val="0003344f"/>
    <w:rPr>
      <w:rFonts w:eastAsia="Times New Roman" w:cs="Times New Roman"/>
      <w:b/>
      <w:bCs/>
      <w:sz w:val="28"/>
      <w:szCs w:val="28"/>
    </w:rPr>
  </w:style>
  <w:style w:type="character" w:styleId="Nadpis5Char" w:customStyle="1">
    <w:name w:val="Nadpis 5 Char"/>
    <w:basedOn w:val="DefaultParagraphFont"/>
    <w:link w:val="Nadpis5"/>
    <w:uiPriority w:val="99"/>
    <w:semiHidden/>
    <w:qFormat/>
    <w:locked/>
    <w:rsid w:val="0003344f"/>
    <w:rPr>
      <w:rFonts w:eastAsia="Times New Roman" w:cs="Times New Roman"/>
      <w:b/>
      <w:bCs/>
      <w:i/>
      <w:iCs/>
      <w:sz w:val="26"/>
      <w:szCs w:val="26"/>
    </w:rPr>
  </w:style>
  <w:style w:type="character" w:styleId="Nadpis6Char" w:customStyle="1">
    <w:name w:val="Nadpis 6 Char"/>
    <w:basedOn w:val="DefaultParagraphFont"/>
    <w:link w:val="Nadpis6"/>
    <w:uiPriority w:val="99"/>
    <w:semiHidden/>
    <w:qFormat/>
    <w:locked/>
    <w:rsid w:val="0003344f"/>
    <w:rPr>
      <w:rFonts w:eastAsia="Times New Roman" w:cs="Times New Roman"/>
      <w:b/>
      <w:bCs/>
      <w:sz w:val="22"/>
      <w:szCs w:val="22"/>
    </w:rPr>
  </w:style>
  <w:style w:type="character" w:styleId="Nadpis7Char" w:customStyle="1">
    <w:name w:val="Nadpis 7 Char"/>
    <w:basedOn w:val="DefaultParagraphFont"/>
    <w:link w:val="Nadpis7"/>
    <w:uiPriority w:val="99"/>
    <w:semiHidden/>
    <w:qFormat/>
    <w:locked/>
    <w:rsid w:val="0003344f"/>
    <w:rPr>
      <w:rFonts w:eastAsia="Times New Roman" w:cs="Times New Roman"/>
      <w:sz w:val="24"/>
      <w:szCs w:val="24"/>
    </w:rPr>
  </w:style>
  <w:style w:type="character" w:styleId="Nadpis8Char" w:customStyle="1">
    <w:name w:val="Nadpis 8 Char"/>
    <w:basedOn w:val="DefaultParagraphFont"/>
    <w:link w:val="Nadpis8"/>
    <w:uiPriority w:val="99"/>
    <w:semiHidden/>
    <w:qFormat/>
    <w:locked/>
    <w:rsid w:val="0003344f"/>
    <w:rPr>
      <w:rFonts w:eastAsia="Times New Roman" w:cs="Times New Roman"/>
      <w:i/>
      <w:iCs/>
      <w:sz w:val="24"/>
      <w:szCs w:val="24"/>
    </w:rPr>
  </w:style>
  <w:style w:type="character" w:styleId="Nadpis9Char" w:customStyle="1">
    <w:name w:val="Nadpis 9 Char"/>
    <w:basedOn w:val="DefaultParagraphFont"/>
    <w:link w:val="Nadpis9"/>
    <w:uiPriority w:val="99"/>
    <w:semiHidden/>
    <w:qFormat/>
    <w:locked/>
    <w:rsid w:val="0003344f"/>
    <w:rPr>
      <w:rFonts w:ascii="Cambria" w:hAnsi="Cambria" w:cs="Times New Roman"/>
      <w:sz w:val="22"/>
      <w:szCs w:val="22"/>
    </w:rPr>
  </w:style>
  <w:style w:type="character" w:styleId="HlavikaChar" w:customStyle="1">
    <w:name w:val="Hlavička Char"/>
    <w:basedOn w:val="DefaultParagraphFont"/>
    <w:link w:val="Hlavika"/>
    <w:uiPriority w:val="99"/>
    <w:qFormat/>
    <w:locked/>
    <w:rsid w:val="00107589"/>
    <w:rPr>
      <w:rFonts w:cs="Times New Roman"/>
    </w:rPr>
  </w:style>
  <w:style w:type="character" w:styleId="PtaChar" w:customStyle="1">
    <w:name w:val="Päta Char"/>
    <w:basedOn w:val="DefaultParagraphFont"/>
    <w:link w:val="Pta"/>
    <w:uiPriority w:val="99"/>
    <w:qFormat/>
    <w:locked/>
    <w:rsid w:val="00107589"/>
    <w:rPr>
      <w:rFonts w:cs="Times New Roman"/>
    </w:rPr>
  </w:style>
  <w:style w:type="character" w:styleId="TextpoznmkypodiarouChar135" w:customStyle="1">
    <w:name w:val="Text poznámky pod čiarou Char135"/>
    <w:basedOn w:val="DefaultParagraphFont"/>
    <w:uiPriority w:val="99"/>
    <w:semiHidden/>
    <w:qFormat/>
    <w:rPr>
      <w:rFonts w:cs="Times New Roman"/>
      <w:sz w:val="20"/>
      <w:szCs w:val="20"/>
    </w:rPr>
  </w:style>
  <w:style w:type="character" w:styleId="TextpoznmkypodiarouChar" w:customStyle="1">
    <w:name w:val="Text poznámky pod čiarou Char"/>
    <w:basedOn w:val="DefaultParagraphFont"/>
    <w:link w:val="Textpoznmkypodiarou"/>
    <w:uiPriority w:val="99"/>
    <w:semiHidden/>
    <w:qFormat/>
    <w:locked/>
    <w:rPr>
      <w:rFonts w:cs="Times New Roman"/>
      <w:sz w:val="20"/>
      <w:szCs w:val="20"/>
    </w:rPr>
  </w:style>
  <w:style w:type="character" w:styleId="TextpoznmkypodiarouChar134" w:customStyle="1">
    <w:name w:val="Text poznámky pod čiarou Char134"/>
    <w:basedOn w:val="DefaultParagraphFont"/>
    <w:uiPriority w:val="99"/>
    <w:semiHidden/>
    <w:qFormat/>
    <w:rPr>
      <w:rFonts w:cs="Times New Roman"/>
      <w:sz w:val="20"/>
      <w:szCs w:val="20"/>
    </w:rPr>
  </w:style>
  <w:style w:type="character" w:styleId="TextpoznmkypodiarouChar133" w:customStyle="1">
    <w:name w:val="Text poznámky pod čiarou Char133"/>
    <w:basedOn w:val="DefaultParagraphFont"/>
    <w:uiPriority w:val="99"/>
    <w:semiHidden/>
    <w:qFormat/>
    <w:rPr>
      <w:rFonts w:cs="Times New Roman"/>
      <w:sz w:val="20"/>
      <w:szCs w:val="20"/>
    </w:rPr>
  </w:style>
  <w:style w:type="character" w:styleId="TextpoznmkypodiarouChar132" w:customStyle="1">
    <w:name w:val="Text poznámky pod čiarou Char132"/>
    <w:basedOn w:val="DefaultParagraphFont"/>
    <w:uiPriority w:val="99"/>
    <w:semiHidden/>
    <w:qFormat/>
    <w:rPr>
      <w:rFonts w:cs="Times New Roman"/>
      <w:sz w:val="20"/>
      <w:szCs w:val="20"/>
    </w:rPr>
  </w:style>
  <w:style w:type="character" w:styleId="TextpoznmkypodiarouChar131" w:customStyle="1">
    <w:name w:val="Text poznámky pod čiarou Char131"/>
    <w:basedOn w:val="DefaultParagraphFont"/>
    <w:uiPriority w:val="99"/>
    <w:semiHidden/>
    <w:qFormat/>
    <w:rPr>
      <w:rFonts w:cs="Times New Roman"/>
      <w:sz w:val="20"/>
      <w:szCs w:val="20"/>
    </w:rPr>
  </w:style>
  <w:style w:type="character" w:styleId="TextpoznmkypodiarouChar130" w:customStyle="1">
    <w:name w:val="Text poznámky pod čiarou Char130"/>
    <w:basedOn w:val="DefaultParagraphFont"/>
    <w:uiPriority w:val="99"/>
    <w:semiHidden/>
    <w:qFormat/>
    <w:rPr>
      <w:rFonts w:cs="Times New Roman"/>
      <w:sz w:val="20"/>
      <w:szCs w:val="20"/>
    </w:rPr>
  </w:style>
  <w:style w:type="character" w:styleId="TextpoznmkypodiarouChar129" w:customStyle="1">
    <w:name w:val="Text poznámky pod čiarou Char129"/>
    <w:basedOn w:val="DefaultParagraphFont"/>
    <w:uiPriority w:val="99"/>
    <w:semiHidden/>
    <w:qFormat/>
    <w:rPr>
      <w:rFonts w:cs="Times New Roman"/>
      <w:sz w:val="20"/>
      <w:szCs w:val="20"/>
    </w:rPr>
  </w:style>
  <w:style w:type="character" w:styleId="TextpoznmkypodiarouChar128" w:customStyle="1">
    <w:name w:val="Text poznámky pod čiarou Char128"/>
    <w:basedOn w:val="DefaultParagraphFont"/>
    <w:uiPriority w:val="99"/>
    <w:semiHidden/>
    <w:qFormat/>
    <w:rPr>
      <w:rFonts w:cs="Times New Roman"/>
      <w:sz w:val="20"/>
      <w:szCs w:val="20"/>
    </w:rPr>
  </w:style>
  <w:style w:type="character" w:styleId="TextpoznmkypodiarouChar127" w:customStyle="1">
    <w:name w:val="Text poznámky pod čiarou Char127"/>
    <w:basedOn w:val="DefaultParagraphFont"/>
    <w:uiPriority w:val="99"/>
    <w:semiHidden/>
    <w:qFormat/>
    <w:rPr>
      <w:rFonts w:cs="Times New Roman"/>
      <w:sz w:val="20"/>
      <w:szCs w:val="20"/>
    </w:rPr>
  </w:style>
  <w:style w:type="character" w:styleId="TextpoznmkypodiarouChar126" w:customStyle="1">
    <w:name w:val="Text poznámky pod čiarou Char126"/>
    <w:basedOn w:val="DefaultParagraphFont"/>
    <w:uiPriority w:val="99"/>
    <w:semiHidden/>
    <w:qFormat/>
    <w:rPr>
      <w:rFonts w:cs="Times New Roman"/>
      <w:sz w:val="20"/>
      <w:szCs w:val="20"/>
    </w:rPr>
  </w:style>
  <w:style w:type="character" w:styleId="TextpoznmkypodiarouChar125" w:customStyle="1">
    <w:name w:val="Text poznámky pod čiarou Char125"/>
    <w:basedOn w:val="DefaultParagraphFont"/>
    <w:uiPriority w:val="99"/>
    <w:semiHidden/>
    <w:qFormat/>
    <w:rPr>
      <w:rFonts w:cs="Times New Roman"/>
      <w:sz w:val="20"/>
      <w:szCs w:val="20"/>
    </w:rPr>
  </w:style>
  <w:style w:type="character" w:styleId="TextpoznmkypodiarouChar124" w:customStyle="1">
    <w:name w:val="Text poznámky pod čiarou Char124"/>
    <w:basedOn w:val="DefaultParagraphFont"/>
    <w:uiPriority w:val="99"/>
    <w:semiHidden/>
    <w:qFormat/>
    <w:rPr>
      <w:rFonts w:cs="Times New Roman"/>
      <w:sz w:val="20"/>
      <w:szCs w:val="20"/>
    </w:rPr>
  </w:style>
  <w:style w:type="character" w:styleId="TextpoznmkypodiarouChar123" w:customStyle="1">
    <w:name w:val="Text poznámky pod čiarou Char123"/>
    <w:basedOn w:val="DefaultParagraphFont"/>
    <w:uiPriority w:val="99"/>
    <w:semiHidden/>
    <w:qFormat/>
    <w:rPr>
      <w:rFonts w:cs="Times New Roman"/>
      <w:sz w:val="20"/>
      <w:szCs w:val="20"/>
    </w:rPr>
  </w:style>
  <w:style w:type="character" w:styleId="TextpoznmkypodiarouChar122" w:customStyle="1">
    <w:name w:val="Text poznámky pod čiarou Char122"/>
    <w:basedOn w:val="DefaultParagraphFont"/>
    <w:uiPriority w:val="99"/>
    <w:semiHidden/>
    <w:qFormat/>
    <w:rPr>
      <w:rFonts w:cs="Times New Roman"/>
      <w:sz w:val="20"/>
      <w:szCs w:val="20"/>
    </w:rPr>
  </w:style>
  <w:style w:type="character" w:styleId="TextpoznmkypodiarouChar121" w:customStyle="1">
    <w:name w:val="Text poznámky pod čiarou Char121"/>
    <w:basedOn w:val="DefaultParagraphFont"/>
    <w:uiPriority w:val="99"/>
    <w:semiHidden/>
    <w:qFormat/>
    <w:rPr>
      <w:rFonts w:cs="Times New Roman"/>
      <w:sz w:val="20"/>
      <w:szCs w:val="20"/>
    </w:rPr>
  </w:style>
  <w:style w:type="character" w:styleId="TextpoznmkypodiarouChar120" w:customStyle="1">
    <w:name w:val="Text poznámky pod čiarou Char120"/>
    <w:basedOn w:val="DefaultParagraphFont"/>
    <w:uiPriority w:val="99"/>
    <w:semiHidden/>
    <w:qFormat/>
    <w:rPr>
      <w:rFonts w:cs="Times New Roman"/>
      <w:sz w:val="20"/>
      <w:szCs w:val="20"/>
    </w:rPr>
  </w:style>
  <w:style w:type="character" w:styleId="TextpoznmkypodiarouChar119" w:customStyle="1">
    <w:name w:val="Text poznámky pod čiarou Char119"/>
    <w:basedOn w:val="DefaultParagraphFont"/>
    <w:uiPriority w:val="99"/>
    <w:semiHidden/>
    <w:qFormat/>
    <w:rPr>
      <w:rFonts w:cs="Times New Roman"/>
      <w:sz w:val="20"/>
      <w:szCs w:val="20"/>
    </w:rPr>
  </w:style>
  <w:style w:type="character" w:styleId="TextpoznmkypodiarouChar118" w:customStyle="1">
    <w:name w:val="Text poznámky pod čiarou Char118"/>
    <w:basedOn w:val="DefaultParagraphFont"/>
    <w:uiPriority w:val="99"/>
    <w:semiHidden/>
    <w:qFormat/>
    <w:rPr>
      <w:rFonts w:cs="Times New Roman"/>
      <w:sz w:val="20"/>
      <w:szCs w:val="20"/>
    </w:rPr>
  </w:style>
  <w:style w:type="character" w:styleId="TextpoznmkypodiarouChar117" w:customStyle="1">
    <w:name w:val="Text poznámky pod čiarou Char117"/>
    <w:basedOn w:val="DefaultParagraphFont"/>
    <w:uiPriority w:val="99"/>
    <w:semiHidden/>
    <w:qFormat/>
    <w:rPr>
      <w:rFonts w:cs="Times New Roman"/>
      <w:sz w:val="20"/>
      <w:szCs w:val="20"/>
    </w:rPr>
  </w:style>
  <w:style w:type="character" w:styleId="TextpoznmkypodiarouChar116" w:customStyle="1">
    <w:name w:val="Text poznámky pod čiarou Char116"/>
    <w:basedOn w:val="DefaultParagraphFont"/>
    <w:uiPriority w:val="99"/>
    <w:semiHidden/>
    <w:qFormat/>
    <w:rPr>
      <w:rFonts w:cs="Times New Roman"/>
      <w:sz w:val="20"/>
      <w:szCs w:val="20"/>
    </w:rPr>
  </w:style>
  <w:style w:type="character" w:styleId="TextpoznmkypodiarouChar115" w:customStyle="1">
    <w:name w:val="Text poznámky pod čiarou Char115"/>
    <w:basedOn w:val="DefaultParagraphFont"/>
    <w:uiPriority w:val="99"/>
    <w:semiHidden/>
    <w:qFormat/>
    <w:rPr>
      <w:rFonts w:cs="Times New Roman"/>
      <w:sz w:val="20"/>
      <w:szCs w:val="20"/>
    </w:rPr>
  </w:style>
  <w:style w:type="character" w:styleId="TextpoznmkypodiarouChar114" w:customStyle="1">
    <w:name w:val="Text poznámky pod čiarou Char114"/>
    <w:basedOn w:val="DefaultParagraphFont"/>
    <w:uiPriority w:val="99"/>
    <w:semiHidden/>
    <w:qFormat/>
    <w:rPr>
      <w:rFonts w:cs="Times New Roman"/>
      <w:sz w:val="20"/>
      <w:szCs w:val="20"/>
    </w:rPr>
  </w:style>
  <w:style w:type="character" w:styleId="TextpoznmkypodiarouChar113" w:customStyle="1">
    <w:name w:val="Text poznámky pod čiarou Char113"/>
    <w:basedOn w:val="DefaultParagraphFont"/>
    <w:uiPriority w:val="99"/>
    <w:semiHidden/>
    <w:qFormat/>
    <w:rPr>
      <w:rFonts w:cs="Times New Roman"/>
      <w:sz w:val="20"/>
      <w:szCs w:val="20"/>
    </w:rPr>
  </w:style>
  <w:style w:type="character" w:styleId="TextpoznmkypodiarouChar112" w:customStyle="1">
    <w:name w:val="Text poznámky pod čiarou Char112"/>
    <w:basedOn w:val="DefaultParagraphFont"/>
    <w:uiPriority w:val="99"/>
    <w:semiHidden/>
    <w:qFormat/>
    <w:rPr>
      <w:rFonts w:cs="Times New Roman"/>
      <w:sz w:val="20"/>
      <w:szCs w:val="20"/>
    </w:rPr>
  </w:style>
  <w:style w:type="character" w:styleId="TextpoznmkypodiarouChar111" w:customStyle="1">
    <w:name w:val="Text poznámky pod čiarou Char111"/>
    <w:basedOn w:val="DefaultParagraphFont"/>
    <w:uiPriority w:val="99"/>
    <w:semiHidden/>
    <w:qFormat/>
    <w:rPr>
      <w:rFonts w:cs="Times New Roman"/>
      <w:sz w:val="20"/>
      <w:szCs w:val="20"/>
    </w:rPr>
  </w:style>
  <w:style w:type="character" w:styleId="TextpoznmkypodiarouChar110" w:customStyle="1">
    <w:name w:val="Text poznámky pod čiarou Char110"/>
    <w:basedOn w:val="DefaultParagraphFont"/>
    <w:uiPriority w:val="99"/>
    <w:semiHidden/>
    <w:qFormat/>
    <w:rPr>
      <w:rFonts w:cs="Times New Roman"/>
      <w:sz w:val="20"/>
      <w:szCs w:val="20"/>
    </w:rPr>
  </w:style>
  <w:style w:type="character" w:styleId="TextpoznmkypodiarouChar19" w:customStyle="1">
    <w:name w:val="Text poznámky pod čiarou Char19"/>
    <w:basedOn w:val="DefaultParagraphFont"/>
    <w:uiPriority w:val="99"/>
    <w:semiHidden/>
    <w:qFormat/>
    <w:rPr>
      <w:rFonts w:cs="Times New Roman"/>
      <w:sz w:val="20"/>
      <w:szCs w:val="20"/>
    </w:rPr>
  </w:style>
  <w:style w:type="character" w:styleId="TextpoznmkypodiarouChar18" w:customStyle="1">
    <w:name w:val="Text poznámky pod čiarou Char18"/>
    <w:basedOn w:val="DefaultParagraphFont"/>
    <w:uiPriority w:val="99"/>
    <w:semiHidden/>
    <w:qFormat/>
    <w:rPr>
      <w:rFonts w:cs="Times New Roman"/>
      <w:sz w:val="20"/>
      <w:szCs w:val="20"/>
    </w:rPr>
  </w:style>
  <w:style w:type="character" w:styleId="TextpoznmkypodiarouChar17" w:customStyle="1">
    <w:name w:val="Text poznámky pod čiarou Char17"/>
    <w:basedOn w:val="DefaultParagraphFont"/>
    <w:uiPriority w:val="99"/>
    <w:semiHidden/>
    <w:qFormat/>
    <w:rPr>
      <w:rFonts w:cs="Times New Roman"/>
      <w:sz w:val="20"/>
      <w:szCs w:val="20"/>
    </w:rPr>
  </w:style>
  <w:style w:type="character" w:styleId="TextpoznmkypodiarouChar16" w:customStyle="1">
    <w:name w:val="Text poznámky pod čiarou Char16"/>
    <w:basedOn w:val="DefaultParagraphFont"/>
    <w:uiPriority w:val="99"/>
    <w:semiHidden/>
    <w:qFormat/>
    <w:rPr>
      <w:rFonts w:cs="Times New Roman"/>
      <w:sz w:val="20"/>
      <w:szCs w:val="20"/>
    </w:rPr>
  </w:style>
  <w:style w:type="character" w:styleId="TextpoznmkypodiarouChar15" w:customStyle="1">
    <w:name w:val="Text poznámky pod čiarou Char15"/>
    <w:basedOn w:val="DefaultParagraphFont"/>
    <w:uiPriority w:val="99"/>
    <w:semiHidden/>
    <w:qFormat/>
    <w:rPr>
      <w:rFonts w:cs="Times New Roman"/>
      <w:sz w:val="20"/>
      <w:szCs w:val="20"/>
    </w:rPr>
  </w:style>
  <w:style w:type="character" w:styleId="TextpoznmkypodiarouChar14" w:customStyle="1">
    <w:name w:val="Text poznámky pod čiarou Char14"/>
    <w:basedOn w:val="DefaultParagraphFont"/>
    <w:uiPriority w:val="99"/>
    <w:semiHidden/>
    <w:qFormat/>
    <w:rPr>
      <w:rFonts w:cs="Times New Roman"/>
      <w:sz w:val="20"/>
      <w:szCs w:val="20"/>
    </w:rPr>
  </w:style>
  <w:style w:type="character" w:styleId="TextpoznmkypodiarouChar13" w:customStyle="1">
    <w:name w:val="Text poznámky pod čiarou Char13"/>
    <w:basedOn w:val="DefaultParagraphFont"/>
    <w:uiPriority w:val="99"/>
    <w:semiHidden/>
    <w:qFormat/>
    <w:rPr>
      <w:rFonts w:cs="Times New Roman"/>
      <w:sz w:val="20"/>
      <w:szCs w:val="20"/>
    </w:rPr>
  </w:style>
  <w:style w:type="character" w:styleId="TextpoznmkypodiarouChar12" w:customStyle="1">
    <w:name w:val="Text poznámky pod čiarou Char12"/>
    <w:basedOn w:val="DefaultParagraphFont"/>
    <w:uiPriority w:val="99"/>
    <w:semiHidden/>
    <w:qFormat/>
    <w:rPr>
      <w:rFonts w:cs="Times New Roman"/>
      <w:sz w:val="20"/>
      <w:szCs w:val="20"/>
    </w:rPr>
  </w:style>
  <w:style w:type="character" w:styleId="TextpoznmkypodiarouChar11" w:customStyle="1">
    <w:name w:val="Text poznámky pod čiarou Char11"/>
    <w:basedOn w:val="DefaultParagraphFont"/>
    <w:uiPriority w:val="99"/>
    <w:semiHidden/>
    <w:qFormat/>
    <w:rPr>
      <w:rFonts w:cs="Times New Roman"/>
      <w:sz w:val="20"/>
      <w:szCs w:val="20"/>
    </w:rPr>
  </w:style>
  <w:style w:type="character" w:styleId="NzovChar135" w:customStyle="1">
    <w:name w:val="Názov Char135"/>
    <w:basedOn w:val="DefaultParagraphFont"/>
    <w:uiPriority w:val="99"/>
    <w:qFormat/>
    <w:rPr>
      <w:rFonts w:ascii="Cambria" w:hAnsi="Cambria" w:eastAsia="Times New Roman" w:cs="Times New Roman"/>
      <w:b/>
      <w:bCs/>
      <w:sz w:val="32"/>
      <w:szCs w:val="32"/>
    </w:rPr>
  </w:style>
  <w:style w:type="character" w:styleId="NzovChar" w:customStyle="1">
    <w:name w:val="Názov Char"/>
    <w:basedOn w:val="DefaultParagraphFont"/>
    <w:link w:val="Nzov"/>
    <w:uiPriority w:val="99"/>
    <w:qFormat/>
    <w:locked/>
    <w:rPr>
      <w:rFonts w:ascii="Cambria" w:hAnsi="Cambria" w:eastAsia="Times New Roman" w:cs="Times New Roman"/>
      <w:b/>
      <w:bCs/>
      <w:sz w:val="32"/>
      <w:szCs w:val="32"/>
    </w:rPr>
  </w:style>
  <w:style w:type="character" w:styleId="NzovChar134" w:customStyle="1">
    <w:name w:val="Názov Char134"/>
    <w:basedOn w:val="DefaultParagraphFont"/>
    <w:uiPriority w:val="99"/>
    <w:qFormat/>
    <w:rPr>
      <w:rFonts w:ascii="Cambria" w:hAnsi="Cambria" w:eastAsia="Times New Roman" w:cs="Times New Roman"/>
      <w:b/>
      <w:bCs/>
      <w:sz w:val="32"/>
      <w:szCs w:val="32"/>
    </w:rPr>
  </w:style>
  <w:style w:type="character" w:styleId="NzovChar133" w:customStyle="1">
    <w:name w:val="Názov Char133"/>
    <w:basedOn w:val="DefaultParagraphFont"/>
    <w:uiPriority w:val="99"/>
    <w:qFormat/>
    <w:rPr>
      <w:rFonts w:ascii="Cambria" w:hAnsi="Cambria" w:eastAsia="Times New Roman" w:cs="Times New Roman"/>
      <w:b/>
      <w:bCs/>
      <w:sz w:val="32"/>
      <w:szCs w:val="32"/>
    </w:rPr>
  </w:style>
  <w:style w:type="character" w:styleId="NzovChar132" w:customStyle="1">
    <w:name w:val="Názov Char132"/>
    <w:basedOn w:val="DefaultParagraphFont"/>
    <w:uiPriority w:val="99"/>
    <w:qFormat/>
    <w:rPr>
      <w:rFonts w:ascii="Cambria" w:hAnsi="Cambria" w:eastAsia="Times New Roman" w:cs="Times New Roman"/>
      <w:b/>
      <w:bCs/>
      <w:sz w:val="32"/>
      <w:szCs w:val="32"/>
    </w:rPr>
  </w:style>
  <w:style w:type="character" w:styleId="NzovChar131" w:customStyle="1">
    <w:name w:val="Názov Char131"/>
    <w:basedOn w:val="DefaultParagraphFont"/>
    <w:uiPriority w:val="99"/>
    <w:qFormat/>
    <w:rPr>
      <w:rFonts w:ascii="Cambria" w:hAnsi="Cambria" w:eastAsia="Times New Roman" w:cs="Times New Roman"/>
      <w:b/>
      <w:bCs/>
      <w:sz w:val="32"/>
      <w:szCs w:val="32"/>
    </w:rPr>
  </w:style>
  <w:style w:type="character" w:styleId="NzovChar130" w:customStyle="1">
    <w:name w:val="Názov Char130"/>
    <w:basedOn w:val="DefaultParagraphFont"/>
    <w:uiPriority w:val="99"/>
    <w:qFormat/>
    <w:rPr>
      <w:rFonts w:ascii="Cambria" w:hAnsi="Cambria" w:eastAsia="Times New Roman" w:cs="Times New Roman"/>
      <w:b/>
      <w:bCs/>
      <w:sz w:val="32"/>
      <w:szCs w:val="32"/>
    </w:rPr>
  </w:style>
  <w:style w:type="character" w:styleId="NzovChar129" w:customStyle="1">
    <w:name w:val="Názov Char129"/>
    <w:basedOn w:val="DefaultParagraphFont"/>
    <w:uiPriority w:val="99"/>
    <w:qFormat/>
    <w:rPr>
      <w:rFonts w:ascii="Cambria" w:hAnsi="Cambria" w:eastAsia="Times New Roman" w:cs="Times New Roman"/>
      <w:b/>
      <w:bCs/>
      <w:sz w:val="32"/>
      <w:szCs w:val="32"/>
    </w:rPr>
  </w:style>
  <w:style w:type="character" w:styleId="NzovChar128" w:customStyle="1">
    <w:name w:val="Názov Char128"/>
    <w:basedOn w:val="DefaultParagraphFont"/>
    <w:uiPriority w:val="99"/>
    <w:qFormat/>
    <w:rPr>
      <w:rFonts w:ascii="Cambria" w:hAnsi="Cambria" w:eastAsia="Times New Roman" w:cs="Times New Roman"/>
      <w:b/>
      <w:bCs/>
      <w:sz w:val="32"/>
      <w:szCs w:val="32"/>
    </w:rPr>
  </w:style>
  <w:style w:type="character" w:styleId="NzovChar127" w:customStyle="1">
    <w:name w:val="Názov Char127"/>
    <w:basedOn w:val="DefaultParagraphFont"/>
    <w:uiPriority w:val="99"/>
    <w:qFormat/>
    <w:rPr>
      <w:rFonts w:ascii="Cambria" w:hAnsi="Cambria" w:eastAsia="Times New Roman" w:cs="Times New Roman"/>
      <w:b/>
      <w:bCs/>
      <w:sz w:val="32"/>
      <w:szCs w:val="32"/>
    </w:rPr>
  </w:style>
  <w:style w:type="character" w:styleId="NzovChar126" w:customStyle="1">
    <w:name w:val="Názov Char126"/>
    <w:basedOn w:val="DefaultParagraphFont"/>
    <w:uiPriority w:val="99"/>
    <w:qFormat/>
    <w:rPr>
      <w:rFonts w:ascii="Cambria" w:hAnsi="Cambria" w:eastAsia="Times New Roman" w:cs="Times New Roman"/>
      <w:b/>
      <w:bCs/>
      <w:sz w:val="32"/>
      <w:szCs w:val="32"/>
    </w:rPr>
  </w:style>
  <w:style w:type="character" w:styleId="NzovChar125" w:customStyle="1">
    <w:name w:val="Názov Char125"/>
    <w:basedOn w:val="DefaultParagraphFont"/>
    <w:uiPriority w:val="99"/>
    <w:qFormat/>
    <w:rPr>
      <w:rFonts w:ascii="Cambria" w:hAnsi="Cambria" w:eastAsia="Times New Roman" w:cs="Times New Roman"/>
      <w:b/>
      <w:bCs/>
      <w:sz w:val="32"/>
      <w:szCs w:val="32"/>
    </w:rPr>
  </w:style>
  <w:style w:type="character" w:styleId="NzovChar124" w:customStyle="1">
    <w:name w:val="Názov Char124"/>
    <w:basedOn w:val="DefaultParagraphFont"/>
    <w:uiPriority w:val="99"/>
    <w:qFormat/>
    <w:rPr>
      <w:rFonts w:ascii="Cambria" w:hAnsi="Cambria" w:eastAsia="Times New Roman" w:cs="Times New Roman"/>
      <w:b/>
      <w:bCs/>
      <w:sz w:val="32"/>
      <w:szCs w:val="32"/>
    </w:rPr>
  </w:style>
  <w:style w:type="character" w:styleId="NzovChar123" w:customStyle="1">
    <w:name w:val="Názov Char123"/>
    <w:basedOn w:val="DefaultParagraphFont"/>
    <w:uiPriority w:val="99"/>
    <w:qFormat/>
    <w:rPr>
      <w:rFonts w:ascii="Cambria" w:hAnsi="Cambria" w:eastAsia="Times New Roman" w:cs="Times New Roman"/>
      <w:b/>
      <w:bCs/>
      <w:sz w:val="32"/>
      <w:szCs w:val="32"/>
    </w:rPr>
  </w:style>
  <w:style w:type="character" w:styleId="NzovChar122" w:customStyle="1">
    <w:name w:val="Názov Char122"/>
    <w:basedOn w:val="DefaultParagraphFont"/>
    <w:uiPriority w:val="99"/>
    <w:qFormat/>
    <w:rPr>
      <w:rFonts w:ascii="Cambria" w:hAnsi="Cambria" w:eastAsia="Times New Roman" w:cs="Times New Roman"/>
      <w:b/>
      <w:bCs/>
      <w:sz w:val="32"/>
      <w:szCs w:val="32"/>
    </w:rPr>
  </w:style>
  <w:style w:type="character" w:styleId="NzovChar121" w:customStyle="1">
    <w:name w:val="Názov Char121"/>
    <w:basedOn w:val="DefaultParagraphFont"/>
    <w:uiPriority w:val="99"/>
    <w:qFormat/>
    <w:rPr>
      <w:rFonts w:ascii="Cambria" w:hAnsi="Cambria" w:eastAsia="Times New Roman" w:cs="Times New Roman"/>
      <w:b/>
      <w:bCs/>
      <w:sz w:val="32"/>
      <w:szCs w:val="32"/>
    </w:rPr>
  </w:style>
  <w:style w:type="character" w:styleId="NzovChar120" w:customStyle="1">
    <w:name w:val="Názov Char120"/>
    <w:basedOn w:val="DefaultParagraphFont"/>
    <w:uiPriority w:val="99"/>
    <w:qFormat/>
    <w:rPr>
      <w:rFonts w:ascii="Cambria" w:hAnsi="Cambria" w:eastAsia="Times New Roman" w:cs="Times New Roman"/>
      <w:b/>
      <w:bCs/>
      <w:sz w:val="32"/>
      <w:szCs w:val="32"/>
    </w:rPr>
  </w:style>
  <w:style w:type="character" w:styleId="NzovChar119" w:customStyle="1">
    <w:name w:val="Názov Char119"/>
    <w:basedOn w:val="DefaultParagraphFont"/>
    <w:uiPriority w:val="99"/>
    <w:qFormat/>
    <w:rPr>
      <w:rFonts w:ascii="Cambria" w:hAnsi="Cambria" w:eastAsia="Times New Roman" w:cs="Times New Roman"/>
      <w:b/>
      <w:bCs/>
      <w:sz w:val="32"/>
      <w:szCs w:val="32"/>
    </w:rPr>
  </w:style>
  <w:style w:type="character" w:styleId="NzovChar118" w:customStyle="1">
    <w:name w:val="Názov Char118"/>
    <w:basedOn w:val="DefaultParagraphFont"/>
    <w:uiPriority w:val="99"/>
    <w:qFormat/>
    <w:rPr>
      <w:rFonts w:ascii="Cambria" w:hAnsi="Cambria" w:eastAsia="Times New Roman" w:cs="Times New Roman"/>
      <w:b/>
      <w:bCs/>
      <w:sz w:val="32"/>
      <w:szCs w:val="32"/>
    </w:rPr>
  </w:style>
  <w:style w:type="character" w:styleId="NzovChar117" w:customStyle="1">
    <w:name w:val="Názov Char117"/>
    <w:basedOn w:val="DefaultParagraphFont"/>
    <w:uiPriority w:val="99"/>
    <w:qFormat/>
    <w:rPr>
      <w:rFonts w:ascii="Cambria" w:hAnsi="Cambria" w:eastAsia="Times New Roman" w:cs="Times New Roman"/>
      <w:b/>
      <w:bCs/>
      <w:sz w:val="32"/>
      <w:szCs w:val="32"/>
    </w:rPr>
  </w:style>
  <w:style w:type="character" w:styleId="NzovChar116" w:customStyle="1">
    <w:name w:val="Názov Char116"/>
    <w:basedOn w:val="DefaultParagraphFont"/>
    <w:uiPriority w:val="99"/>
    <w:qFormat/>
    <w:rPr>
      <w:rFonts w:ascii="Cambria" w:hAnsi="Cambria" w:eastAsia="Times New Roman" w:cs="Times New Roman"/>
      <w:b/>
      <w:bCs/>
      <w:sz w:val="32"/>
      <w:szCs w:val="32"/>
    </w:rPr>
  </w:style>
  <w:style w:type="character" w:styleId="NzovChar115" w:customStyle="1">
    <w:name w:val="Názov Char115"/>
    <w:basedOn w:val="DefaultParagraphFont"/>
    <w:uiPriority w:val="99"/>
    <w:qFormat/>
    <w:rPr>
      <w:rFonts w:ascii="Cambria" w:hAnsi="Cambria" w:eastAsia="Times New Roman" w:cs="Times New Roman"/>
      <w:b/>
      <w:bCs/>
      <w:sz w:val="32"/>
      <w:szCs w:val="32"/>
    </w:rPr>
  </w:style>
  <w:style w:type="character" w:styleId="NzovChar114" w:customStyle="1">
    <w:name w:val="Názov Char114"/>
    <w:basedOn w:val="DefaultParagraphFont"/>
    <w:uiPriority w:val="99"/>
    <w:qFormat/>
    <w:rPr>
      <w:rFonts w:ascii="Cambria" w:hAnsi="Cambria" w:eastAsia="Times New Roman" w:cs="Times New Roman"/>
      <w:b/>
      <w:bCs/>
      <w:sz w:val="32"/>
      <w:szCs w:val="32"/>
    </w:rPr>
  </w:style>
  <w:style w:type="character" w:styleId="NzovChar113" w:customStyle="1">
    <w:name w:val="Názov Char113"/>
    <w:basedOn w:val="DefaultParagraphFont"/>
    <w:uiPriority w:val="99"/>
    <w:qFormat/>
    <w:rPr>
      <w:rFonts w:ascii="Cambria" w:hAnsi="Cambria" w:eastAsia="Times New Roman" w:cs="Times New Roman"/>
      <w:b/>
      <w:bCs/>
      <w:sz w:val="32"/>
      <w:szCs w:val="32"/>
    </w:rPr>
  </w:style>
  <w:style w:type="character" w:styleId="NzovChar112" w:customStyle="1">
    <w:name w:val="Názov Char112"/>
    <w:basedOn w:val="DefaultParagraphFont"/>
    <w:uiPriority w:val="99"/>
    <w:qFormat/>
    <w:rPr>
      <w:rFonts w:ascii="Cambria" w:hAnsi="Cambria" w:eastAsia="Times New Roman" w:cs="Times New Roman"/>
      <w:b/>
      <w:bCs/>
      <w:sz w:val="32"/>
      <w:szCs w:val="32"/>
    </w:rPr>
  </w:style>
  <w:style w:type="character" w:styleId="NzovChar111" w:customStyle="1">
    <w:name w:val="Názov Char111"/>
    <w:basedOn w:val="DefaultParagraphFont"/>
    <w:uiPriority w:val="99"/>
    <w:qFormat/>
    <w:rPr>
      <w:rFonts w:ascii="Cambria" w:hAnsi="Cambria" w:eastAsia="Times New Roman" w:cs="Times New Roman"/>
      <w:b/>
      <w:bCs/>
      <w:sz w:val="32"/>
      <w:szCs w:val="32"/>
    </w:rPr>
  </w:style>
  <w:style w:type="character" w:styleId="NzovChar110" w:customStyle="1">
    <w:name w:val="Názov Char110"/>
    <w:basedOn w:val="DefaultParagraphFont"/>
    <w:uiPriority w:val="99"/>
    <w:qFormat/>
    <w:rPr>
      <w:rFonts w:ascii="Cambria" w:hAnsi="Cambria" w:eastAsia="Times New Roman" w:cs="Times New Roman"/>
      <w:b/>
      <w:bCs/>
      <w:sz w:val="32"/>
      <w:szCs w:val="32"/>
    </w:rPr>
  </w:style>
  <w:style w:type="character" w:styleId="NzovChar19" w:customStyle="1">
    <w:name w:val="Názov Char19"/>
    <w:basedOn w:val="DefaultParagraphFont"/>
    <w:uiPriority w:val="99"/>
    <w:qFormat/>
    <w:rPr>
      <w:rFonts w:ascii="Cambria" w:hAnsi="Cambria" w:eastAsia="Times New Roman" w:cs="Times New Roman"/>
      <w:b/>
      <w:bCs/>
      <w:sz w:val="32"/>
      <w:szCs w:val="32"/>
    </w:rPr>
  </w:style>
  <w:style w:type="character" w:styleId="NzovChar18" w:customStyle="1">
    <w:name w:val="Názov Char18"/>
    <w:basedOn w:val="DefaultParagraphFont"/>
    <w:uiPriority w:val="99"/>
    <w:qFormat/>
    <w:rPr>
      <w:rFonts w:ascii="Cambria" w:hAnsi="Cambria" w:eastAsia="Times New Roman" w:cs="Times New Roman"/>
      <w:b/>
      <w:bCs/>
      <w:sz w:val="32"/>
      <w:szCs w:val="32"/>
    </w:rPr>
  </w:style>
  <w:style w:type="character" w:styleId="NzovChar17" w:customStyle="1">
    <w:name w:val="Názov Char17"/>
    <w:basedOn w:val="DefaultParagraphFont"/>
    <w:uiPriority w:val="99"/>
    <w:qFormat/>
    <w:rPr>
      <w:rFonts w:ascii="Cambria" w:hAnsi="Cambria" w:eastAsia="Times New Roman" w:cs="Times New Roman"/>
      <w:b/>
      <w:bCs/>
      <w:sz w:val="32"/>
      <w:szCs w:val="32"/>
    </w:rPr>
  </w:style>
  <w:style w:type="character" w:styleId="NzovChar16" w:customStyle="1">
    <w:name w:val="Názov Char16"/>
    <w:basedOn w:val="DefaultParagraphFont"/>
    <w:uiPriority w:val="99"/>
    <w:qFormat/>
    <w:rPr>
      <w:rFonts w:ascii="Cambria" w:hAnsi="Cambria" w:eastAsia="Times New Roman" w:cs="Times New Roman"/>
      <w:b/>
      <w:bCs/>
      <w:sz w:val="32"/>
      <w:szCs w:val="32"/>
    </w:rPr>
  </w:style>
  <w:style w:type="character" w:styleId="NzovChar15" w:customStyle="1">
    <w:name w:val="Názov Char15"/>
    <w:basedOn w:val="DefaultParagraphFont"/>
    <w:uiPriority w:val="99"/>
    <w:qFormat/>
    <w:rPr>
      <w:rFonts w:ascii="Cambria" w:hAnsi="Cambria" w:eastAsia="Times New Roman" w:cs="Times New Roman"/>
      <w:b/>
      <w:bCs/>
      <w:sz w:val="32"/>
      <w:szCs w:val="32"/>
    </w:rPr>
  </w:style>
  <w:style w:type="character" w:styleId="NzovChar14" w:customStyle="1">
    <w:name w:val="Názov Char14"/>
    <w:basedOn w:val="DefaultParagraphFont"/>
    <w:uiPriority w:val="99"/>
    <w:qFormat/>
    <w:rPr>
      <w:rFonts w:ascii="Cambria" w:hAnsi="Cambria" w:eastAsia="Times New Roman" w:cs="Times New Roman"/>
      <w:b/>
      <w:bCs/>
      <w:sz w:val="32"/>
      <w:szCs w:val="32"/>
    </w:rPr>
  </w:style>
  <w:style w:type="character" w:styleId="NzovChar13" w:customStyle="1">
    <w:name w:val="Názov Char13"/>
    <w:basedOn w:val="DefaultParagraphFont"/>
    <w:uiPriority w:val="99"/>
    <w:qFormat/>
    <w:rPr>
      <w:rFonts w:ascii="Cambria" w:hAnsi="Cambria" w:eastAsia="Times New Roman" w:cs="Times New Roman"/>
      <w:b/>
      <w:bCs/>
      <w:sz w:val="32"/>
      <w:szCs w:val="32"/>
    </w:rPr>
  </w:style>
  <w:style w:type="character" w:styleId="NzovChar12" w:customStyle="1">
    <w:name w:val="Názov Char12"/>
    <w:basedOn w:val="DefaultParagraphFont"/>
    <w:uiPriority w:val="99"/>
    <w:qFormat/>
    <w:rPr>
      <w:rFonts w:ascii="Cambria" w:hAnsi="Cambria" w:eastAsia="Times New Roman" w:cs="Times New Roman"/>
      <w:b/>
      <w:bCs/>
      <w:sz w:val="32"/>
      <w:szCs w:val="32"/>
    </w:rPr>
  </w:style>
  <w:style w:type="character" w:styleId="NzovChar11" w:customStyle="1">
    <w:name w:val="Názov Char11"/>
    <w:basedOn w:val="DefaultParagraphFont"/>
    <w:uiPriority w:val="99"/>
    <w:qFormat/>
    <w:rPr>
      <w:rFonts w:ascii="Cambria" w:hAnsi="Cambria" w:eastAsia="Times New Roman" w:cs="Times New Roman"/>
      <w:b/>
      <w:bCs/>
      <w:sz w:val="32"/>
      <w:szCs w:val="32"/>
    </w:rPr>
  </w:style>
  <w:style w:type="character" w:styleId="ZkladntextChar135" w:customStyle="1">
    <w:name w:val="Základný text Char135"/>
    <w:basedOn w:val="DefaultParagraphFont"/>
    <w:uiPriority w:val="99"/>
    <w:semiHidden/>
    <w:qFormat/>
    <w:rPr>
      <w:rFonts w:cs="Times New Roman"/>
      <w:sz w:val="36"/>
      <w:szCs w:val="36"/>
    </w:rPr>
  </w:style>
  <w:style w:type="character" w:styleId="ZkladntextChar" w:customStyle="1">
    <w:name w:val="Základný text Char"/>
    <w:basedOn w:val="DefaultParagraphFont"/>
    <w:link w:val="Zkladntext"/>
    <w:uiPriority w:val="99"/>
    <w:semiHidden/>
    <w:qFormat/>
    <w:locked/>
    <w:rPr>
      <w:rFonts w:cs="Times New Roman"/>
      <w:sz w:val="36"/>
      <w:szCs w:val="36"/>
    </w:rPr>
  </w:style>
  <w:style w:type="character" w:styleId="ZkladntextChar134" w:customStyle="1">
    <w:name w:val="Základný text Char134"/>
    <w:basedOn w:val="DefaultParagraphFont"/>
    <w:uiPriority w:val="99"/>
    <w:semiHidden/>
    <w:qFormat/>
    <w:rPr>
      <w:rFonts w:cs="Times New Roman"/>
      <w:sz w:val="36"/>
      <w:szCs w:val="36"/>
    </w:rPr>
  </w:style>
  <w:style w:type="character" w:styleId="ZkladntextChar133" w:customStyle="1">
    <w:name w:val="Základný text Char133"/>
    <w:basedOn w:val="DefaultParagraphFont"/>
    <w:uiPriority w:val="99"/>
    <w:semiHidden/>
    <w:qFormat/>
    <w:rPr>
      <w:rFonts w:cs="Times New Roman"/>
      <w:sz w:val="36"/>
      <w:szCs w:val="36"/>
    </w:rPr>
  </w:style>
  <w:style w:type="character" w:styleId="ZkladntextChar132" w:customStyle="1">
    <w:name w:val="Základný text Char132"/>
    <w:basedOn w:val="DefaultParagraphFont"/>
    <w:uiPriority w:val="99"/>
    <w:semiHidden/>
    <w:qFormat/>
    <w:rPr>
      <w:rFonts w:cs="Times New Roman"/>
      <w:sz w:val="36"/>
      <w:szCs w:val="36"/>
    </w:rPr>
  </w:style>
  <w:style w:type="character" w:styleId="ZkladntextChar131" w:customStyle="1">
    <w:name w:val="Základný text Char131"/>
    <w:basedOn w:val="DefaultParagraphFont"/>
    <w:uiPriority w:val="99"/>
    <w:semiHidden/>
    <w:qFormat/>
    <w:rPr>
      <w:rFonts w:cs="Times New Roman"/>
      <w:sz w:val="36"/>
      <w:szCs w:val="36"/>
    </w:rPr>
  </w:style>
  <w:style w:type="character" w:styleId="ZkladntextChar130" w:customStyle="1">
    <w:name w:val="Základný text Char130"/>
    <w:basedOn w:val="DefaultParagraphFont"/>
    <w:uiPriority w:val="99"/>
    <w:semiHidden/>
    <w:qFormat/>
    <w:rPr>
      <w:rFonts w:cs="Times New Roman"/>
      <w:sz w:val="36"/>
      <w:szCs w:val="36"/>
    </w:rPr>
  </w:style>
  <w:style w:type="character" w:styleId="ZkladntextChar129" w:customStyle="1">
    <w:name w:val="Základný text Char129"/>
    <w:basedOn w:val="DefaultParagraphFont"/>
    <w:uiPriority w:val="99"/>
    <w:semiHidden/>
    <w:qFormat/>
    <w:rPr>
      <w:rFonts w:cs="Times New Roman"/>
      <w:sz w:val="36"/>
      <w:szCs w:val="36"/>
    </w:rPr>
  </w:style>
  <w:style w:type="character" w:styleId="ZkladntextChar128" w:customStyle="1">
    <w:name w:val="Základný text Char128"/>
    <w:basedOn w:val="DefaultParagraphFont"/>
    <w:uiPriority w:val="99"/>
    <w:semiHidden/>
    <w:qFormat/>
    <w:rPr>
      <w:rFonts w:cs="Times New Roman"/>
      <w:sz w:val="36"/>
      <w:szCs w:val="36"/>
    </w:rPr>
  </w:style>
  <w:style w:type="character" w:styleId="ZkladntextChar127" w:customStyle="1">
    <w:name w:val="Základný text Char127"/>
    <w:basedOn w:val="DefaultParagraphFont"/>
    <w:uiPriority w:val="99"/>
    <w:semiHidden/>
    <w:qFormat/>
    <w:rPr>
      <w:rFonts w:cs="Times New Roman"/>
      <w:sz w:val="36"/>
      <w:szCs w:val="36"/>
    </w:rPr>
  </w:style>
  <w:style w:type="character" w:styleId="ZkladntextChar126" w:customStyle="1">
    <w:name w:val="Základný text Char126"/>
    <w:basedOn w:val="DefaultParagraphFont"/>
    <w:uiPriority w:val="99"/>
    <w:semiHidden/>
    <w:qFormat/>
    <w:rPr>
      <w:rFonts w:cs="Times New Roman"/>
      <w:sz w:val="36"/>
      <w:szCs w:val="36"/>
    </w:rPr>
  </w:style>
  <w:style w:type="character" w:styleId="ZkladntextChar125" w:customStyle="1">
    <w:name w:val="Základný text Char125"/>
    <w:basedOn w:val="DefaultParagraphFont"/>
    <w:uiPriority w:val="99"/>
    <w:semiHidden/>
    <w:qFormat/>
    <w:rPr>
      <w:rFonts w:cs="Times New Roman"/>
      <w:sz w:val="36"/>
      <w:szCs w:val="36"/>
    </w:rPr>
  </w:style>
  <w:style w:type="character" w:styleId="ZkladntextChar124" w:customStyle="1">
    <w:name w:val="Základný text Char124"/>
    <w:basedOn w:val="DefaultParagraphFont"/>
    <w:uiPriority w:val="99"/>
    <w:semiHidden/>
    <w:qFormat/>
    <w:rPr>
      <w:rFonts w:cs="Times New Roman"/>
      <w:sz w:val="36"/>
      <w:szCs w:val="36"/>
    </w:rPr>
  </w:style>
  <w:style w:type="character" w:styleId="ZkladntextChar123" w:customStyle="1">
    <w:name w:val="Základný text Char123"/>
    <w:basedOn w:val="DefaultParagraphFont"/>
    <w:uiPriority w:val="99"/>
    <w:semiHidden/>
    <w:qFormat/>
    <w:rPr>
      <w:rFonts w:cs="Times New Roman"/>
      <w:sz w:val="36"/>
      <w:szCs w:val="36"/>
    </w:rPr>
  </w:style>
  <w:style w:type="character" w:styleId="ZkladntextChar122" w:customStyle="1">
    <w:name w:val="Základný text Char122"/>
    <w:basedOn w:val="DefaultParagraphFont"/>
    <w:uiPriority w:val="99"/>
    <w:semiHidden/>
    <w:qFormat/>
    <w:rPr>
      <w:rFonts w:cs="Times New Roman"/>
      <w:sz w:val="36"/>
      <w:szCs w:val="36"/>
    </w:rPr>
  </w:style>
  <w:style w:type="character" w:styleId="ZkladntextChar121" w:customStyle="1">
    <w:name w:val="Základný text Char121"/>
    <w:basedOn w:val="DefaultParagraphFont"/>
    <w:uiPriority w:val="99"/>
    <w:semiHidden/>
    <w:qFormat/>
    <w:rPr>
      <w:rFonts w:cs="Times New Roman"/>
      <w:sz w:val="36"/>
      <w:szCs w:val="36"/>
    </w:rPr>
  </w:style>
  <w:style w:type="character" w:styleId="ZkladntextChar120" w:customStyle="1">
    <w:name w:val="Základný text Char120"/>
    <w:basedOn w:val="DefaultParagraphFont"/>
    <w:uiPriority w:val="99"/>
    <w:semiHidden/>
    <w:qFormat/>
    <w:rPr>
      <w:rFonts w:cs="Times New Roman"/>
      <w:sz w:val="36"/>
      <w:szCs w:val="36"/>
    </w:rPr>
  </w:style>
  <w:style w:type="character" w:styleId="ZkladntextChar119" w:customStyle="1">
    <w:name w:val="Základný text Char119"/>
    <w:basedOn w:val="DefaultParagraphFont"/>
    <w:uiPriority w:val="99"/>
    <w:semiHidden/>
    <w:qFormat/>
    <w:rPr>
      <w:rFonts w:cs="Times New Roman"/>
      <w:sz w:val="36"/>
      <w:szCs w:val="36"/>
    </w:rPr>
  </w:style>
  <w:style w:type="character" w:styleId="ZkladntextChar118" w:customStyle="1">
    <w:name w:val="Základný text Char118"/>
    <w:basedOn w:val="DefaultParagraphFont"/>
    <w:uiPriority w:val="99"/>
    <w:semiHidden/>
    <w:qFormat/>
    <w:rPr>
      <w:rFonts w:cs="Times New Roman"/>
      <w:sz w:val="36"/>
      <w:szCs w:val="36"/>
    </w:rPr>
  </w:style>
  <w:style w:type="character" w:styleId="ZkladntextChar117" w:customStyle="1">
    <w:name w:val="Základný text Char117"/>
    <w:basedOn w:val="DefaultParagraphFont"/>
    <w:uiPriority w:val="99"/>
    <w:semiHidden/>
    <w:qFormat/>
    <w:rPr>
      <w:rFonts w:cs="Times New Roman"/>
      <w:sz w:val="36"/>
      <w:szCs w:val="36"/>
    </w:rPr>
  </w:style>
  <w:style w:type="character" w:styleId="ZkladntextChar116" w:customStyle="1">
    <w:name w:val="Základný text Char116"/>
    <w:basedOn w:val="DefaultParagraphFont"/>
    <w:uiPriority w:val="99"/>
    <w:semiHidden/>
    <w:qFormat/>
    <w:rPr>
      <w:rFonts w:cs="Times New Roman"/>
      <w:sz w:val="36"/>
      <w:szCs w:val="36"/>
    </w:rPr>
  </w:style>
  <w:style w:type="character" w:styleId="ZkladntextChar115" w:customStyle="1">
    <w:name w:val="Základný text Char115"/>
    <w:basedOn w:val="DefaultParagraphFont"/>
    <w:uiPriority w:val="99"/>
    <w:semiHidden/>
    <w:qFormat/>
    <w:rPr>
      <w:rFonts w:cs="Times New Roman"/>
      <w:sz w:val="36"/>
      <w:szCs w:val="36"/>
    </w:rPr>
  </w:style>
  <w:style w:type="character" w:styleId="ZkladntextChar114" w:customStyle="1">
    <w:name w:val="Základný text Char114"/>
    <w:basedOn w:val="DefaultParagraphFont"/>
    <w:uiPriority w:val="99"/>
    <w:semiHidden/>
    <w:qFormat/>
    <w:rPr>
      <w:rFonts w:cs="Times New Roman"/>
      <w:sz w:val="36"/>
      <w:szCs w:val="36"/>
    </w:rPr>
  </w:style>
  <w:style w:type="character" w:styleId="ZkladntextChar113" w:customStyle="1">
    <w:name w:val="Základný text Char113"/>
    <w:basedOn w:val="DefaultParagraphFont"/>
    <w:uiPriority w:val="99"/>
    <w:semiHidden/>
    <w:qFormat/>
    <w:rPr>
      <w:rFonts w:cs="Times New Roman"/>
      <w:sz w:val="36"/>
      <w:szCs w:val="36"/>
    </w:rPr>
  </w:style>
  <w:style w:type="character" w:styleId="ZkladntextChar112" w:customStyle="1">
    <w:name w:val="Základný text Char112"/>
    <w:basedOn w:val="DefaultParagraphFont"/>
    <w:uiPriority w:val="99"/>
    <w:semiHidden/>
    <w:qFormat/>
    <w:rPr>
      <w:rFonts w:cs="Times New Roman"/>
      <w:sz w:val="36"/>
      <w:szCs w:val="36"/>
    </w:rPr>
  </w:style>
  <w:style w:type="character" w:styleId="ZkladntextChar111" w:customStyle="1">
    <w:name w:val="Základný text Char111"/>
    <w:basedOn w:val="DefaultParagraphFont"/>
    <w:uiPriority w:val="99"/>
    <w:semiHidden/>
    <w:qFormat/>
    <w:rPr>
      <w:rFonts w:cs="Times New Roman"/>
      <w:sz w:val="36"/>
      <w:szCs w:val="36"/>
    </w:rPr>
  </w:style>
  <w:style w:type="character" w:styleId="ZkladntextChar110" w:customStyle="1">
    <w:name w:val="Základný text Char110"/>
    <w:basedOn w:val="DefaultParagraphFont"/>
    <w:uiPriority w:val="99"/>
    <w:semiHidden/>
    <w:qFormat/>
    <w:rPr>
      <w:rFonts w:cs="Times New Roman"/>
      <w:sz w:val="36"/>
      <w:szCs w:val="36"/>
    </w:rPr>
  </w:style>
  <w:style w:type="character" w:styleId="ZkladntextChar19" w:customStyle="1">
    <w:name w:val="Základný text Char19"/>
    <w:basedOn w:val="DefaultParagraphFont"/>
    <w:uiPriority w:val="99"/>
    <w:semiHidden/>
    <w:qFormat/>
    <w:rPr>
      <w:rFonts w:cs="Times New Roman"/>
      <w:sz w:val="36"/>
      <w:szCs w:val="36"/>
    </w:rPr>
  </w:style>
  <w:style w:type="character" w:styleId="ZkladntextChar18" w:customStyle="1">
    <w:name w:val="Základný text Char18"/>
    <w:basedOn w:val="DefaultParagraphFont"/>
    <w:uiPriority w:val="99"/>
    <w:semiHidden/>
    <w:qFormat/>
    <w:rPr>
      <w:rFonts w:cs="Times New Roman"/>
      <w:sz w:val="36"/>
      <w:szCs w:val="36"/>
    </w:rPr>
  </w:style>
  <w:style w:type="character" w:styleId="ZkladntextChar17" w:customStyle="1">
    <w:name w:val="Základný text Char17"/>
    <w:basedOn w:val="DefaultParagraphFont"/>
    <w:uiPriority w:val="99"/>
    <w:semiHidden/>
    <w:qFormat/>
    <w:rPr>
      <w:rFonts w:cs="Times New Roman"/>
      <w:sz w:val="36"/>
      <w:szCs w:val="36"/>
    </w:rPr>
  </w:style>
  <w:style w:type="character" w:styleId="ZkladntextChar16" w:customStyle="1">
    <w:name w:val="Základný text Char16"/>
    <w:basedOn w:val="DefaultParagraphFont"/>
    <w:uiPriority w:val="99"/>
    <w:semiHidden/>
    <w:qFormat/>
    <w:rPr>
      <w:rFonts w:cs="Times New Roman"/>
      <w:sz w:val="36"/>
      <w:szCs w:val="36"/>
    </w:rPr>
  </w:style>
  <w:style w:type="character" w:styleId="ZkladntextChar15" w:customStyle="1">
    <w:name w:val="Základný text Char15"/>
    <w:basedOn w:val="DefaultParagraphFont"/>
    <w:uiPriority w:val="99"/>
    <w:semiHidden/>
    <w:qFormat/>
    <w:rPr>
      <w:rFonts w:cs="Times New Roman"/>
      <w:sz w:val="36"/>
      <w:szCs w:val="36"/>
    </w:rPr>
  </w:style>
  <w:style w:type="character" w:styleId="ZkladntextChar14" w:customStyle="1">
    <w:name w:val="Základný text Char14"/>
    <w:basedOn w:val="DefaultParagraphFont"/>
    <w:uiPriority w:val="99"/>
    <w:semiHidden/>
    <w:qFormat/>
    <w:rPr>
      <w:rFonts w:cs="Times New Roman"/>
      <w:sz w:val="36"/>
      <w:szCs w:val="36"/>
    </w:rPr>
  </w:style>
  <w:style w:type="character" w:styleId="ZkladntextChar13" w:customStyle="1">
    <w:name w:val="Základný text Char13"/>
    <w:basedOn w:val="DefaultParagraphFont"/>
    <w:uiPriority w:val="99"/>
    <w:semiHidden/>
    <w:qFormat/>
    <w:rPr>
      <w:rFonts w:cs="Times New Roman"/>
      <w:sz w:val="36"/>
      <w:szCs w:val="36"/>
    </w:rPr>
  </w:style>
  <w:style w:type="character" w:styleId="ZkladntextChar12" w:customStyle="1">
    <w:name w:val="Základný text Char12"/>
    <w:basedOn w:val="DefaultParagraphFont"/>
    <w:uiPriority w:val="99"/>
    <w:semiHidden/>
    <w:qFormat/>
    <w:rPr>
      <w:rFonts w:cs="Times New Roman"/>
      <w:sz w:val="36"/>
      <w:szCs w:val="36"/>
    </w:rPr>
  </w:style>
  <w:style w:type="character" w:styleId="ZkladntextChar11" w:customStyle="1">
    <w:name w:val="Základný text Char11"/>
    <w:basedOn w:val="DefaultParagraphFont"/>
    <w:uiPriority w:val="99"/>
    <w:semiHidden/>
    <w:qFormat/>
    <w:rPr>
      <w:rFonts w:cs="Times New Roman"/>
      <w:sz w:val="36"/>
      <w:szCs w:val="36"/>
    </w:rPr>
  </w:style>
  <w:style w:type="character" w:styleId="PodtitulChar135" w:customStyle="1">
    <w:name w:val="Podtitul Char135"/>
    <w:basedOn w:val="DefaultParagraphFont"/>
    <w:uiPriority w:val="99"/>
    <w:qFormat/>
    <w:rPr>
      <w:rFonts w:ascii="Cambria" w:hAnsi="Cambria" w:eastAsia="Times New Roman" w:cs="Times New Roman"/>
      <w:sz w:val="24"/>
      <w:szCs w:val="24"/>
    </w:rPr>
  </w:style>
  <w:style w:type="character" w:styleId="PodtitulChar" w:customStyle="1">
    <w:name w:val="Podtitul Char"/>
    <w:basedOn w:val="DefaultParagraphFont"/>
    <w:link w:val="Podtitul"/>
    <w:uiPriority w:val="99"/>
    <w:qFormat/>
    <w:locked/>
    <w:rPr>
      <w:rFonts w:ascii="Cambria" w:hAnsi="Cambria" w:eastAsia="Times New Roman" w:cs="Times New Roman"/>
      <w:sz w:val="24"/>
      <w:szCs w:val="24"/>
    </w:rPr>
  </w:style>
  <w:style w:type="character" w:styleId="PodtitulChar134" w:customStyle="1">
    <w:name w:val="Podtitul Char134"/>
    <w:basedOn w:val="DefaultParagraphFont"/>
    <w:uiPriority w:val="99"/>
    <w:qFormat/>
    <w:rPr>
      <w:rFonts w:ascii="Cambria" w:hAnsi="Cambria" w:eastAsia="Times New Roman" w:cs="Times New Roman"/>
      <w:sz w:val="24"/>
      <w:szCs w:val="24"/>
    </w:rPr>
  </w:style>
  <w:style w:type="character" w:styleId="PodtitulChar133" w:customStyle="1">
    <w:name w:val="Podtitul Char133"/>
    <w:basedOn w:val="DefaultParagraphFont"/>
    <w:uiPriority w:val="99"/>
    <w:qFormat/>
    <w:rPr>
      <w:rFonts w:ascii="Cambria" w:hAnsi="Cambria" w:eastAsia="Times New Roman" w:cs="Times New Roman"/>
      <w:sz w:val="24"/>
      <w:szCs w:val="24"/>
    </w:rPr>
  </w:style>
  <w:style w:type="character" w:styleId="PodtitulChar132" w:customStyle="1">
    <w:name w:val="Podtitul Char132"/>
    <w:basedOn w:val="DefaultParagraphFont"/>
    <w:uiPriority w:val="99"/>
    <w:qFormat/>
    <w:rPr>
      <w:rFonts w:ascii="Cambria" w:hAnsi="Cambria" w:eastAsia="Times New Roman" w:cs="Times New Roman"/>
      <w:sz w:val="24"/>
      <w:szCs w:val="24"/>
    </w:rPr>
  </w:style>
  <w:style w:type="character" w:styleId="PodtitulChar131" w:customStyle="1">
    <w:name w:val="Podtitul Char131"/>
    <w:basedOn w:val="DefaultParagraphFont"/>
    <w:uiPriority w:val="99"/>
    <w:qFormat/>
    <w:rPr>
      <w:rFonts w:ascii="Cambria" w:hAnsi="Cambria" w:eastAsia="Times New Roman" w:cs="Times New Roman"/>
      <w:sz w:val="24"/>
      <w:szCs w:val="24"/>
    </w:rPr>
  </w:style>
  <w:style w:type="character" w:styleId="PodtitulChar130" w:customStyle="1">
    <w:name w:val="Podtitul Char130"/>
    <w:basedOn w:val="DefaultParagraphFont"/>
    <w:uiPriority w:val="99"/>
    <w:qFormat/>
    <w:rPr>
      <w:rFonts w:ascii="Cambria" w:hAnsi="Cambria" w:eastAsia="Times New Roman" w:cs="Times New Roman"/>
      <w:sz w:val="24"/>
      <w:szCs w:val="24"/>
    </w:rPr>
  </w:style>
  <w:style w:type="character" w:styleId="PodtitulChar129" w:customStyle="1">
    <w:name w:val="Podtitul Char129"/>
    <w:basedOn w:val="DefaultParagraphFont"/>
    <w:uiPriority w:val="99"/>
    <w:qFormat/>
    <w:rPr>
      <w:rFonts w:ascii="Cambria" w:hAnsi="Cambria" w:eastAsia="Times New Roman" w:cs="Times New Roman"/>
      <w:sz w:val="24"/>
      <w:szCs w:val="24"/>
    </w:rPr>
  </w:style>
  <w:style w:type="character" w:styleId="PodtitulChar128" w:customStyle="1">
    <w:name w:val="Podtitul Char128"/>
    <w:basedOn w:val="DefaultParagraphFont"/>
    <w:uiPriority w:val="99"/>
    <w:qFormat/>
    <w:rPr>
      <w:rFonts w:ascii="Cambria" w:hAnsi="Cambria" w:eastAsia="Times New Roman" w:cs="Times New Roman"/>
      <w:sz w:val="24"/>
      <w:szCs w:val="24"/>
    </w:rPr>
  </w:style>
  <w:style w:type="character" w:styleId="PodtitulChar127" w:customStyle="1">
    <w:name w:val="Podtitul Char127"/>
    <w:basedOn w:val="DefaultParagraphFont"/>
    <w:uiPriority w:val="99"/>
    <w:qFormat/>
    <w:rPr>
      <w:rFonts w:ascii="Cambria" w:hAnsi="Cambria" w:eastAsia="Times New Roman" w:cs="Times New Roman"/>
      <w:sz w:val="24"/>
      <w:szCs w:val="24"/>
    </w:rPr>
  </w:style>
  <w:style w:type="character" w:styleId="PodtitulChar126" w:customStyle="1">
    <w:name w:val="Podtitul Char126"/>
    <w:basedOn w:val="DefaultParagraphFont"/>
    <w:uiPriority w:val="99"/>
    <w:qFormat/>
    <w:rPr>
      <w:rFonts w:ascii="Cambria" w:hAnsi="Cambria" w:eastAsia="Times New Roman" w:cs="Times New Roman"/>
      <w:sz w:val="24"/>
      <w:szCs w:val="24"/>
    </w:rPr>
  </w:style>
  <w:style w:type="character" w:styleId="PodtitulChar125" w:customStyle="1">
    <w:name w:val="Podtitul Char125"/>
    <w:basedOn w:val="DefaultParagraphFont"/>
    <w:uiPriority w:val="99"/>
    <w:qFormat/>
    <w:rPr>
      <w:rFonts w:ascii="Cambria" w:hAnsi="Cambria" w:eastAsia="Times New Roman" w:cs="Times New Roman"/>
      <w:sz w:val="24"/>
      <w:szCs w:val="24"/>
    </w:rPr>
  </w:style>
  <w:style w:type="character" w:styleId="PodtitulChar124" w:customStyle="1">
    <w:name w:val="Podtitul Char124"/>
    <w:basedOn w:val="DefaultParagraphFont"/>
    <w:uiPriority w:val="99"/>
    <w:qFormat/>
    <w:rPr>
      <w:rFonts w:ascii="Cambria" w:hAnsi="Cambria" w:eastAsia="Times New Roman" w:cs="Times New Roman"/>
      <w:sz w:val="24"/>
      <w:szCs w:val="24"/>
    </w:rPr>
  </w:style>
  <w:style w:type="character" w:styleId="PodtitulChar123" w:customStyle="1">
    <w:name w:val="Podtitul Char123"/>
    <w:basedOn w:val="DefaultParagraphFont"/>
    <w:uiPriority w:val="99"/>
    <w:qFormat/>
    <w:rPr>
      <w:rFonts w:ascii="Cambria" w:hAnsi="Cambria" w:eastAsia="Times New Roman" w:cs="Times New Roman"/>
      <w:sz w:val="24"/>
      <w:szCs w:val="24"/>
    </w:rPr>
  </w:style>
  <w:style w:type="character" w:styleId="PodtitulChar122" w:customStyle="1">
    <w:name w:val="Podtitul Char122"/>
    <w:basedOn w:val="DefaultParagraphFont"/>
    <w:uiPriority w:val="99"/>
    <w:qFormat/>
    <w:rPr>
      <w:rFonts w:ascii="Cambria" w:hAnsi="Cambria" w:eastAsia="Times New Roman" w:cs="Times New Roman"/>
      <w:sz w:val="24"/>
      <w:szCs w:val="24"/>
    </w:rPr>
  </w:style>
  <w:style w:type="character" w:styleId="PodtitulChar121" w:customStyle="1">
    <w:name w:val="Podtitul Char121"/>
    <w:basedOn w:val="DefaultParagraphFont"/>
    <w:uiPriority w:val="99"/>
    <w:qFormat/>
    <w:rPr>
      <w:rFonts w:ascii="Cambria" w:hAnsi="Cambria" w:eastAsia="Times New Roman" w:cs="Times New Roman"/>
      <w:sz w:val="24"/>
      <w:szCs w:val="24"/>
    </w:rPr>
  </w:style>
  <w:style w:type="character" w:styleId="PodtitulChar120" w:customStyle="1">
    <w:name w:val="Podtitul Char120"/>
    <w:basedOn w:val="DefaultParagraphFont"/>
    <w:uiPriority w:val="99"/>
    <w:qFormat/>
    <w:rPr>
      <w:rFonts w:ascii="Cambria" w:hAnsi="Cambria" w:eastAsia="Times New Roman" w:cs="Times New Roman"/>
      <w:sz w:val="24"/>
      <w:szCs w:val="24"/>
    </w:rPr>
  </w:style>
  <w:style w:type="character" w:styleId="PodtitulChar119" w:customStyle="1">
    <w:name w:val="Podtitul Char119"/>
    <w:basedOn w:val="DefaultParagraphFont"/>
    <w:uiPriority w:val="99"/>
    <w:qFormat/>
    <w:rPr>
      <w:rFonts w:ascii="Cambria" w:hAnsi="Cambria" w:eastAsia="Times New Roman" w:cs="Times New Roman"/>
      <w:sz w:val="24"/>
      <w:szCs w:val="24"/>
    </w:rPr>
  </w:style>
  <w:style w:type="character" w:styleId="PodtitulChar118" w:customStyle="1">
    <w:name w:val="Podtitul Char118"/>
    <w:basedOn w:val="DefaultParagraphFont"/>
    <w:uiPriority w:val="99"/>
    <w:qFormat/>
    <w:rPr>
      <w:rFonts w:ascii="Cambria" w:hAnsi="Cambria" w:eastAsia="Times New Roman" w:cs="Times New Roman"/>
      <w:sz w:val="24"/>
      <w:szCs w:val="24"/>
    </w:rPr>
  </w:style>
  <w:style w:type="character" w:styleId="PodtitulChar117" w:customStyle="1">
    <w:name w:val="Podtitul Char117"/>
    <w:basedOn w:val="DefaultParagraphFont"/>
    <w:uiPriority w:val="99"/>
    <w:qFormat/>
    <w:rPr>
      <w:rFonts w:ascii="Cambria" w:hAnsi="Cambria" w:eastAsia="Times New Roman" w:cs="Times New Roman"/>
      <w:sz w:val="24"/>
      <w:szCs w:val="24"/>
    </w:rPr>
  </w:style>
  <w:style w:type="character" w:styleId="PodtitulChar116" w:customStyle="1">
    <w:name w:val="Podtitul Char116"/>
    <w:basedOn w:val="DefaultParagraphFont"/>
    <w:uiPriority w:val="99"/>
    <w:qFormat/>
    <w:rPr>
      <w:rFonts w:ascii="Cambria" w:hAnsi="Cambria" w:eastAsia="Times New Roman" w:cs="Times New Roman"/>
      <w:sz w:val="24"/>
      <w:szCs w:val="24"/>
    </w:rPr>
  </w:style>
  <w:style w:type="character" w:styleId="PodtitulChar115" w:customStyle="1">
    <w:name w:val="Podtitul Char115"/>
    <w:basedOn w:val="DefaultParagraphFont"/>
    <w:uiPriority w:val="99"/>
    <w:qFormat/>
    <w:rPr>
      <w:rFonts w:ascii="Cambria" w:hAnsi="Cambria" w:eastAsia="Times New Roman" w:cs="Times New Roman"/>
      <w:sz w:val="24"/>
      <w:szCs w:val="24"/>
    </w:rPr>
  </w:style>
  <w:style w:type="character" w:styleId="PodtitulChar114" w:customStyle="1">
    <w:name w:val="Podtitul Char114"/>
    <w:basedOn w:val="DefaultParagraphFont"/>
    <w:uiPriority w:val="99"/>
    <w:qFormat/>
    <w:rPr>
      <w:rFonts w:ascii="Cambria" w:hAnsi="Cambria" w:eastAsia="Times New Roman" w:cs="Times New Roman"/>
      <w:sz w:val="24"/>
      <w:szCs w:val="24"/>
    </w:rPr>
  </w:style>
  <w:style w:type="character" w:styleId="PodtitulChar113" w:customStyle="1">
    <w:name w:val="Podtitul Char113"/>
    <w:basedOn w:val="DefaultParagraphFont"/>
    <w:uiPriority w:val="99"/>
    <w:qFormat/>
    <w:rPr>
      <w:rFonts w:ascii="Cambria" w:hAnsi="Cambria" w:eastAsia="Times New Roman" w:cs="Times New Roman"/>
      <w:sz w:val="24"/>
      <w:szCs w:val="24"/>
    </w:rPr>
  </w:style>
  <w:style w:type="character" w:styleId="PodtitulChar112" w:customStyle="1">
    <w:name w:val="Podtitul Char112"/>
    <w:basedOn w:val="DefaultParagraphFont"/>
    <w:uiPriority w:val="99"/>
    <w:qFormat/>
    <w:rPr>
      <w:rFonts w:ascii="Cambria" w:hAnsi="Cambria" w:eastAsia="Times New Roman" w:cs="Times New Roman"/>
      <w:sz w:val="24"/>
      <w:szCs w:val="24"/>
    </w:rPr>
  </w:style>
  <w:style w:type="character" w:styleId="PodtitulChar111" w:customStyle="1">
    <w:name w:val="Podtitul Char111"/>
    <w:basedOn w:val="DefaultParagraphFont"/>
    <w:uiPriority w:val="99"/>
    <w:qFormat/>
    <w:rPr>
      <w:rFonts w:ascii="Cambria" w:hAnsi="Cambria" w:eastAsia="Times New Roman" w:cs="Times New Roman"/>
      <w:sz w:val="24"/>
      <w:szCs w:val="24"/>
    </w:rPr>
  </w:style>
  <w:style w:type="character" w:styleId="PodtitulChar110" w:customStyle="1">
    <w:name w:val="Podtitul Char110"/>
    <w:basedOn w:val="DefaultParagraphFont"/>
    <w:uiPriority w:val="99"/>
    <w:qFormat/>
    <w:rPr>
      <w:rFonts w:ascii="Cambria" w:hAnsi="Cambria" w:eastAsia="Times New Roman" w:cs="Times New Roman"/>
      <w:sz w:val="24"/>
      <w:szCs w:val="24"/>
    </w:rPr>
  </w:style>
  <w:style w:type="character" w:styleId="PodtitulChar19" w:customStyle="1">
    <w:name w:val="Podtitul Char19"/>
    <w:basedOn w:val="DefaultParagraphFont"/>
    <w:uiPriority w:val="99"/>
    <w:qFormat/>
    <w:rPr>
      <w:rFonts w:ascii="Cambria" w:hAnsi="Cambria" w:eastAsia="Times New Roman" w:cs="Times New Roman"/>
      <w:sz w:val="24"/>
      <w:szCs w:val="24"/>
    </w:rPr>
  </w:style>
  <w:style w:type="character" w:styleId="PodtitulChar18" w:customStyle="1">
    <w:name w:val="Podtitul Char18"/>
    <w:basedOn w:val="DefaultParagraphFont"/>
    <w:uiPriority w:val="99"/>
    <w:qFormat/>
    <w:rPr>
      <w:rFonts w:ascii="Cambria" w:hAnsi="Cambria" w:eastAsia="Times New Roman" w:cs="Times New Roman"/>
      <w:sz w:val="24"/>
      <w:szCs w:val="24"/>
    </w:rPr>
  </w:style>
  <w:style w:type="character" w:styleId="PodtitulChar17" w:customStyle="1">
    <w:name w:val="Podtitul Char17"/>
    <w:basedOn w:val="DefaultParagraphFont"/>
    <w:uiPriority w:val="99"/>
    <w:qFormat/>
    <w:rPr>
      <w:rFonts w:ascii="Cambria" w:hAnsi="Cambria" w:eastAsia="Times New Roman" w:cs="Times New Roman"/>
      <w:sz w:val="24"/>
      <w:szCs w:val="24"/>
    </w:rPr>
  </w:style>
  <w:style w:type="character" w:styleId="PodtitulChar16" w:customStyle="1">
    <w:name w:val="Podtitul Char16"/>
    <w:basedOn w:val="DefaultParagraphFont"/>
    <w:uiPriority w:val="99"/>
    <w:qFormat/>
    <w:rPr>
      <w:rFonts w:ascii="Cambria" w:hAnsi="Cambria" w:eastAsia="Times New Roman" w:cs="Times New Roman"/>
      <w:sz w:val="24"/>
      <w:szCs w:val="24"/>
    </w:rPr>
  </w:style>
  <w:style w:type="character" w:styleId="PodtitulChar15" w:customStyle="1">
    <w:name w:val="Podtitul Char15"/>
    <w:basedOn w:val="DefaultParagraphFont"/>
    <w:uiPriority w:val="99"/>
    <w:qFormat/>
    <w:rPr>
      <w:rFonts w:ascii="Cambria" w:hAnsi="Cambria" w:eastAsia="Times New Roman" w:cs="Times New Roman"/>
      <w:sz w:val="24"/>
      <w:szCs w:val="24"/>
    </w:rPr>
  </w:style>
  <w:style w:type="character" w:styleId="PodtitulChar14" w:customStyle="1">
    <w:name w:val="Podtitul Char14"/>
    <w:basedOn w:val="DefaultParagraphFont"/>
    <w:uiPriority w:val="99"/>
    <w:qFormat/>
    <w:rPr>
      <w:rFonts w:ascii="Cambria" w:hAnsi="Cambria" w:eastAsia="Times New Roman" w:cs="Times New Roman"/>
      <w:sz w:val="24"/>
      <w:szCs w:val="24"/>
    </w:rPr>
  </w:style>
  <w:style w:type="character" w:styleId="PodtitulChar13" w:customStyle="1">
    <w:name w:val="Podtitul Char13"/>
    <w:basedOn w:val="DefaultParagraphFont"/>
    <w:uiPriority w:val="99"/>
    <w:qFormat/>
    <w:rPr>
      <w:rFonts w:ascii="Cambria" w:hAnsi="Cambria" w:eastAsia="Times New Roman" w:cs="Times New Roman"/>
      <w:sz w:val="24"/>
      <w:szCs w:val="24"/>
    </w:rPr>
  </w:style>
  <w:style w:type="character" w:styleId="PodtitulChar12" w:customStyle="1">
    <w:name w:val="Podtitul Char12"/>
    <w:basedOn w:val="DefaultParagraphFont"/>
    <w:uiPriority w:val="99"/>
    <w:qFormat/>
    <w:rPr>
      <w:rFonts w:ascii="Cambria" w:hAnsi="Cambria" w:eastAsia="Times New Roman" w:cs="Times New Roman"/>
      <w:sz w:val="24"/>
      <w:szCs w:val="24"/>
    </w:rPr>
  </w:style>
  <w:style w:type="character" w:styleId="PodtitulChar11" w:customStyle="1">
    <w:name w:val="Podtitul Char11"/>
    <w:basedOn w:val="DefaultParagraphFont"/>
    <w:uiPriority w:val="99"/>
    <w:qFormat/>
    <w:rPr>
      <w:rFonts w:ascii="Cambria" w:hAnsi="Cambria" w:eastAsia="Times New Roman" w:cs="Times New Roman"/>
      <w:sz w:val="24"/>
      <w:szCs w:val="24"/>
    </w:rPr>
  </w:style>
  <w:style w:type="character" w:styleId="Zkladntext2Char135" w:customStyle="1">
    <w:name w:val="Základný text 2 Char135"/>
    <w:basedOn w:val="DefaultParagraphFont"/>
    <w:uiPriority w:val="99"/>
    <w:semiHidden/>
    <w:qFormat/>
    <w:rPr>
      <w:rFonts w:cs="Times New Roman"/>
      <w:sz w:val="36"/>
      <w:szCs w:val="36"/>
    </w:rPr>
  </w:style>
  <w:style w:type="character" w:styleId="Zkladntext2Char" w:customStyle="1">
    <w:name w:val="Základný text 2 Char"/>
    <w:basedOn w:val="DefaultParagraphFont"/>
    <w:link w:val="Zkladntext2"/>
    <w:uiPriority w:val="99"/>
    <w:semiHidden/>
    <w:qFormat/>
    <w:locked/>
    <w:rPr>
      <w:rFonts w:cs="Times New Roman"/>
      <w:sz w:val="36"/>
      <w:szCs w:val="36"/>
    </w:rPr>
  </w:style>
  <w:style w:type="character" w:styleId="Zkladntext2Char134" w:customStyle="1">
    <w:name w:val="Základný text 2 Char134"/>
    <w:basedOn w:val="DefaultParagraphFont"/>
    <w:uiPriority w:val="99"/>
    <w:semiHidden/>
    <w:qFormat/>
    <w:rPr>
      <w:rFonts w:cs="Times New Roman"/>
      <w:sz w:val="36"/>
      <w:szCs w:val="36"/>
    </w:rPr>
  </w:style>
  <w:style w:type="character" w:styleId="Zkladntext2Char133" w:customStyle="1">
    <w:name w:val="Základný text 2 Char133"/>
    <w:basedOn w:val="DefaultParagraphFont"/>
    <w:uiPriority w:val="99"/>
    <w:semiHidden/>
    <w:qFormat/>
    <w:rPr>
      <w:rFonts w:cs="Times New Roman"/>
      <w:sz w:val="36"/>
      <w:szCs w:val="36"/>
    </w:rPr>
  </w:style>
  <w:style w:type="character" w:styleId="Zkladntext2Char132" w:customStyle="1">
    <w:name w:val="Základný text 2 Char132"/>
    <w:basedOn w:val="DefaultParagraphFont"/>
    <w:uiPriority w:val="99"/>
    <w:semiHidden/>
    <w:qFormat/>
    <w:rPr>
      <w:rFonts w:cs="Times New Roman"/>
      <w:sz w:val="36"/>
      <w:szCs w:val="36"/>
    </w:rPr>
  </w:style>
  <w:style w:type="character" w:styleId="Zkladntext2Char131" w:customStyle="1">
    <w:name w:val="Základný text 2 Char131"/>
    <w:basedOn w:val="DefaultParagraphFont"/>
    <w:uiPriority w:val="99"/>
    <w:semiHidden/>
    <w:qFormat/>
    <w:rPr>
      <w:rFonts w:cs="Times New Roman"/>
      <w:sz w:val="36"/>
      <w:szCs w:val="36"/>
    </w:rPr>
  </w:style>
  <w:style w:type="character" w:styleId="Zkladntext2Char130" w:customStyle="1">
    <w:name w:val="Základný text 2 Char130"/>
    <w:basedOn w:val="DefaultParagraphFont"/>
    <w:uiPriority w:val="99"/>
    <w:semiHidden/>
    <w:qFormat/>
    <w:rPr>
      <w:rFonts w:cs="Times New Roman"/>
      <w:sz w:val="36"/>
      <w:szCs w:val="36"/>
    </w:rPr>
  </w:style>
  <w:style w:type="character" w:styleId="Zkladntext2Char129" w:customStyle="1">
    <w:name w:val="Základný text 2 Char129"/>
    <w:basedOn w:val="DefaultParagraphFont"/>
    <w:uiPriority w:val="99"/>
    <w:semiHidden/>
    <w:qFormat/>
    <w:rPr>
      <w:rFonts w:cs="Times New Roman"/>
      <w:sz w:val="36"/>
      <w:szCs w:val="36"/>
    </w:rPr>
  </w:style>
  <w:style w:type="character" w:styleId="Zkladntext2Char128" w:customStyle="1">
    <w:name w:val="Základný text 2 Char128"/>
    <w:basedOn w:val="DefaultParagraphFont"/>
    <w:uiPriority w:val="99"/>
    <w:semiHidden/>
    <w:qFormat/>
    <w:rPr>
      <w:rFonts w:cs="Times New Roman"/>
      <w:sz w:val="36"/>
      <w:szCs w:val="36"/>
    </w:rPr>
  </w:style>
  <w:style w:type="character" w:styleId="Zkladntext2Char127" w:customStyle="1">
    <w:name w:val="Základný text 2 Char127"/>
    <w:basedOn w:val="DefaultParagraphFont"/>
    <w:uiPriority w:val="99"/>
    <w:semiHidden/>
    <w:qFormat/>
    <w:rPr>
      <w:rFonts w:cs="Times New Roman"/>
      <w:sz w:val="36"/>
      <w:szCs w:val="36"/>
    </w:rPr>
  </w:style>
  <w:style w:type="character" w:styleId="Zkladntext2Char126" w:customStyle="1">
    <w:name w:val="Základný text 2 Char126"/>
    <w:basedOn w:val="DefaultParagraphFont"/>
    <w:uiPriority w:val="99"/>
    <w:semiHidden/>
    <w:qFormat/>
    <w:rPr>
      <w:rFonts w:cs="Times New Roman"/>
      <w:sz w:val="36"/>
      <w:szCs w:val="36"/>
    </w:rPr>
  </w:style>
  <w:style w:type="character" w:styleId="Zkladntext2Char125" w:customStyle="1">
    <w:name w:val="Základný text 2 Char125"/>
    <w:basedOn w:val="DefaultParagraphFont"/>
    <w:uiPriority w:val="99"/>
    <w:semiHidden/>
    <w:qFormat/>
    <w:rPr>
      <w:rFonts w:cs="Times New Roman"/>
      <w:sz w:val="36"/>
      <w:szCs w:val="36"/>
    </w:rPr>
  </w:style>
  <w:style w:type="character" w:styleId="Zkladntext2Char124" w:customStyle="1">
    <w:name w:val="Základný text 2 Char124"/>
    <w:basedOn w:val="DefaultParagraphFont"/>
    <w:uiPriority w:val="99"/>
    <w:semiHidden/>
    <w:qFormat/>
    <w:rPr>
      <w:rFonts w:cs="Times New Roman"/>
      <w:sz w:val="36"/>
      <w:szCs w:val="36"/>
    </w:rPr>
  </w:style>
  <w:style w:type="character" w:styleId="Zkladntext2Char123" w:customStyle="1">
    <w:name w:val="Základný text 2 Char123"/>
    <w:basedOn w:val="DefaultParagraphFont"/>
    <w:uiPriority w:val="99"/>
    <w:semiHidden/>
    <w:qFormat/>
    <w:rPr>
      <w:rFonts w:cs="Times New Roman"/>
      <w:sz w:val="36"/>
      <w:szCs w:val="36"/>
    </w:rPr>
  </w:style>
  <w:style w:type="character" w:styleId="Zkladntext2Char122" w:customStyle="1">
    <w:name w:val="Základný text 2 Char122"/>
    <w:basedOn w:val="DefaultParagraphFont"/>
    <w:uiPriority w:val="99"/>
    <w:semiHidden/>
    <w:qFormat/>
    <w:rPr>
      <w:rFonts w:cs="Times New Roman"/>
      <w:sz w:val="36"/>
      <w:szCs w:val="36"/>
    </w:rPr>
  </w:style>
  <w:style w:type="character" w:styleId="Zkladntext2Char121" w:customStyle="1">
    <w:name w:val="Základný text 2 Char121"/>
    <w:basedOn w:val="DefaultParagraphFont"/>
    <w:uiPriority w:val="99"/>
    <w:semiHidden/>
    <w:qFormat/>
    <w:rPr>
      <w:rFonts w:cs="Times New Roman"/>
      <w:sz w:val="36"/>
      <w:szCs w:val="36"/>
    </w:rPr>
  </w:style>
  <w:style w:type="character" w:styleId="Zkladntext2Char120" w:customStyle="1">
    <w:name w:val="Základný text 2 Char120"/>
    <w:basedOn w:val="DefaultParagraphFont"/>
    <w:uiPriority w:val="99"/>
    <w:semiHidden/>
    <w:qFormat/>
    <w:rPr>
      <w:rFonts w:cs="Times New Roman"/>
      <w:sz w:val="36"/>
      <w:szCs w:val="36"/>
    </w:rPr>
  </w:style>
  <w:style w:type="character" w:styleId="Zkladntext2Char119" w:customStyle="1">
    <w:name w:val="Základný text 2 Char119"/>
    <w:basedOn w:val="DefaultParagraphFont"/>
    <w:uiPriority w:val="99"/>
    <w:semiHidden/>
    <w:qFormat/>
    <w:rPr>
      <w:rFonts w:cs="Times New Roman"/>
      <w:sz w:val="36"/>
      <w:szCs w:val="36"/>
    </w:rPr>
  </w:style>
  <w:style w:type="character" w:styleId="Zkladntext2Char118" w:customStyle="1">
    <w:name w:val="Základný text 2 Char118"/>
    <w:basedOn w:val="DefaultParagraphFont"/>
    <w:uiPriority w:val="99"/>
    <w:semiHidden/>
    <w:qFormat/>
    <w:rPr>
      <w:rFonts w:cs="Times New Roman"/>
      <w:sz w:val="36"/>
      <w:szCs w:val="36"/>
    </w:rPr>
  </w:style>
  <w:style w:type="character" w:styleId="Zkladntext2Char117" w:customStyle="1">
    <w:name w:val="Základný text 2 Char117"/>
    <w:basedOn w:val="DefaultParagraphFont"/>
    <w:uiPriority w:val="99"/>
    <w:semiHidden/>
    <w:qFormat/>
    <w:rPr>
      <w:rFonts w:cs="Times New Roman"/>
      <w:sz w:val="36"/>
      <w:szCs w:val="36"/>
    </w:rPr>
  </w:style>
  <w:style w:type="character" w:styleId="Zkladntext2Char116" w:customStyle="1">
    <w:name w:val="Základný text 2 Char116"/>
    <w:basedOn w:val="DefaultParagraphFont"/>
    <w:uiPriority w:val="99"/>
    <w:semiHidden/>
    <w:qFormat/>
    <w:rPr>
      <w:rFonts w:cs="Times New Roman"/>
      <w:sz w:val="36"/>
      <w:szCs w:val="36"/>
    </w:rPr>
  </w:style>
  <w:style w:type="character" w:styleId="Zkladntext2Char115" w:customStyle="1">
    <w:name w:val="Základný text 2 Char115"/>
    <w:basedOn w:val="DefaultParagraphFont"/>
    <w:uiPriority w:val="99"/>
    <w:semiHidden/>
    <w:qFormat/>
    <w:rPr>
      <w:rFonts w:cs="Times New Roman"/>
      <w:sz w:val="36"/>
      <w:szCs w:val="36"/>
    </w:rPr>
  </w:style>
  <w:style w:type="character" w:styleId="Zkladntext2Char114" w:customStyle="1">
    <w:name w:val="Základný text 2 Char114"/>
    <w:basedOn w:val="DefaultParagraphFont"/>
    <w:uiPriority w:val="99"/>
    <w:semiHidden/>
    <w:qFormat/>
    <w:rPr>
      <w:rFonts w:cs="Times New Roman"/>
      <w:sz w:val="36"/>
      <w:szCs w:val="36"/>
    </w:rPr>
  </w:style>
  <w:style w:type="character" w:styleId="Zkladntext2Char113" w:customStyle="1">
    <w:name w:val="Základný text 2 Char113"/>
    <w:basedOn w:val="DefaultParagraphFont"/>
    <w:uiPriority w:val="99"/>
    <w:semiHidden/>
    <w:qFormat/>
    <w:rPr>
      <w:rFonts w:cs="Times New Roman"/>
      <w:sz w:val="36"/>
      <w:szCs w:val="36"/>
    </w:rPr>
  </w:style>
  <w:style w:type="character" w:styleId="Zkladntext2Char112" w:customStyle="1">
    <w:name w:val="Základný text 2 Char112"/>
    <w:basedOn w:val="DefaultParagraphFont"/>
    <w:uiPriority w:val="99"/>
    <w:semiHidden/>
    <w:qFormat/>
    <w:rPr>
      <w:rFonts w:cs="Times New Roman"/>
      <w:sz w:val="36"/>
      <w:szCs w:val="36"/>
    </w:rPr>
  </w:style>
  <w:style w:type="character" w:styleId="Zkladntext2Char111" w:customStyle="1">
    <w:name w:val="Základný text 2 Char111"/>
    <w:basedOn w:val="DefaultParagraphFont"/>
    <w:uiPriority w:val="99"/>
    <w:semiHidden/>
    <w:qFormat/>
    <w:rPr>
      <w:rFonts w:cs="Times New Roman"/>
      <w:sz w:val="36"/>
      <w:szCs w:val="36"/>
    </w:rPr>
  </w:style>
  <w:style w:type="character" w:styleId="Zkladntext2Char110" w:customStyle="1">
    <w:name w:val="Základný text 2 Char110"/>
    <w:basedOn w:val="DefaultParagraphFont"/>
    <w:uiPriority w:val="99"/>
    <w:semiHidden/>
    <w:qFormat/>
    <w:rPr>
      <w:rFonts w:cs="Times New Roman"/>
      <w:sz w:val="36"/>
      <w:szCs w:val="36"/>
    </w:rPr>
  </w:style>
  <w:style w:type="character" w:styleId="Zkladntext2Char19" w:customStyle="1">
    <w:name w:val="Základný text 2 Char19"/>
    <w:basedOn w:val="DefaultParagraphFont"/>
    <w:uiPriority w:val="99"/>
    <w:semiHidden/>
    <w:qFormat/>
    <w:rPr>
      <w:rFonts w:cs="Times New Roman"/>
      <w:sz w:val="36"/>
      <w:szCs w:val="36"/>
    </w:rPr>
  </w:style>
  <w:style w:type="character" w:styleId="Zkladntext2Char18" w:customStyle="1">
    <w:name w:val="Základný text 2 Char18"/>
    <w:basedOn w:val="DefaultParagraphFont"/>
    <w:uiPriority w:val="99"/>
    <w:semiHidden/>
    <w:qFormat/>
    <w:rPr>
      <w:rFonts w:cs="Times New Roman"/>
      <w:sz w:val="36"/>
      <w:szCs w:val="36"/>
    </w:rPr>
  </w:style>
  <w:style w:type="character" w:styleId="Zkladntext2Char17" w:customStyle="1">
    <w:name w:val="Základný text 2 Char17"/>
    <w:basedOn w:val="DefaultParagraphFont"/>
    <w:uiPriority w:val="99"/>
    <w:semiHidden/>
    <w:qFormat/>
    <w:rPr>
      <w:rFonts w:cs="Times New Roman"/>
      <w:sz w:val="36"/>
      <w:szCs w:val="36"/>
    </w:rPr>
  </w:style>
  <w:style w:type="character" w:styleId="Zkladntext2Char16" w:customStyle="1">
    <w:name w:val="Základný text 2 Char16"/>
    <w:basedOn w:val="DefaultParagraphFont"/>
    <w:uiPriority w:val="99"/>
    <w:semiHidden/>
    <w:qFormat/>
    <w:rPr>
      <w:rFonts w:cs="Times New Roman"/>
      <w:sz w:val="36"/>
      <w:szCs w:val="36"/>
    </w:rPr>
  </w:style>
  <w:style w:type="character" w:styleId="Zkladntext2Char15" w:customStyle="1">
    <w:name w:val="Základný text 2 Char15"/>
    <w:basedOn w:val="DefaultParagraphFont"/>
    <w:uiPriority w:val="99"/>
    <w:semiHidden/>
    <w:qFormat/>
    <w:rPr>
      <w:rFonts w:cs="Times New Roman"/>
      <w:sz w:val="36"/>
      <w:szCs w:val="36"/>
    </w:rPr>
  </w:style>
  <w:style w:type="character" w:styleId="Zkladntext2Char14" w:customStyle="1">
    <w:name w:val="Základný text 2 Char14"/>
    <w:basedOn w:val="DefaultParagraphFont"/>
    <w:uiPriority w:val="99"/>
    <w:semiHidden/>
    <w:qFormat/>
    <w:rPr>
      <w:rFonts w:cs="Times New Roman"/>
      <w:sz w:val="36"/>
      <w:szCs w:val="36"/>
    </w:rPr>
  </w:style>
  <w:style w:type="character" w:styleId="Zkladntext2Char13" w:customStyle="1">
    <w:name w:val="Základný text 2 Char13"/>
    <w:basedOn w:val="DefaultParagraphFont"/>
    <w:uiPriority w:val="99"/>
    <w:semiHidden/>
    <w:qFormat/>
    <w:rPr>
      <w:rFonts w:cs="Times New Roman"/>
      <w:sz w:val="36"/>
      <w:szCs w:val="36"/>
    </w:rPr>
  </w:style>
  <w:style w:type="character" w:styleId="Zkladntext2Char12" w:customStyle="1">
    <w:name w:val="Základný text 2 Char12"/>
    <w:basedOn w:val="DefaultParagraphFont"/>
    <w:uiPriority w:val="99"/>
    <w:semiHidden/>
    <w:qFormat/>
    <w:rPr>
      <w:rFonts w:cs="Times New Roman"/>
      <w:sz w:val="36"/>
      <w:szCs w:val="36"/>
    </w:rPr>
  </w:style>
  <w:style w:type="character" w:styleId="Zkladntext2Char11" w:customStyle="1">
    <w:name w:val="Základný text 2 Char11"/>
    <w:basedOn w:val="DefaultParagraphFont"/>
    <w:uiPriority w:val="99"/>
    <w:semiHidden/>
    <w:qFormat/>
    <w:rPr>
      <w:rFonts w:cs="Times New Roman"/>
      <w:sz w:val="36"/>
      <w:szCs w:val="36"/>
    </w:rPr>
  </w:style>
  <w:style w:type="character" w:styleId="Zarkazkladnhotextu2Char135" w:customStyle="1">
    <w:name w:val="Zarážka základného textu 2 Char135"/>
    <w:basedOn w:val="DefaultParagraphFont"/>
    <w:uiPriority w:val="99"/>
    <w:semiHidden/>
    <w:qFormat/>
    <w:rPr>
      <w:rFonts w:cs="Times New Roman"/>
      <w:sz w:val="36"/>
      <w:szCs w:val="36"/>
    </w:rPr>
  </w:style>
  <w:style w:type="character" w:styleId="Zarkazkladnhotextu2Char" w:customStyle="1">
    <w:name w:val="Zarážka základného textu 2 Char"/>
    <w:basedOn w:val="DefaultParagraphFont"/>
    <w:link w:val="Zarkazkladnhotextu2"/>
    <w:uiPriority w:val="99"/>
    <w:semiHidden/>
    <w:qFormat/>
    <w:locked/>
    <w:rPr>
      <w:rFonts w:cs="Times New Roman"/>
      <w:sz w:val="36"/>
      <w:szCs w:val="36"/>
    </w:rPr>
  </w:style>
  <w:style w:type="character" w:styleId="Zarkazkladnhotextu2Char134" w:customStyle="1">
    <w:name w:val="Zarážka základného textu 2 Char134"/>
    <w:basedOn w:val="DefaultParagraphFont"/>
    <w:uiPriority w:val="99"/>
    <w:semiHidden/>
    <w:qFormat/>
    <w:rPr>
      <w:rFonts w:cs="Times New Roman"/>
      <w:sz w:val="36"/>
      <w:szCs w:val="36"/>
    </w:rPr>
  </w:style>
  <w:style w:type="character" w:styleId="Zarkazkladnhotextu2Char133" w:customStyle="1">
    <w:name w:val="Zarážka základného textu 2 Char133"/>
    <w:basedOn w:val="DefaultParagraphFont"/>
    <w:uiPriority w:val="99"/>
    <w:semiHidden/>
    <w:qFormat/>
    <w:rPr>
      <w:rFonts w:cs="Times New Roman"/>
      <w:sz w:val="36"/>
      <w:szCs w:val="36"/>
    </w:rPr>
  </w:style>
  <w:style w:type="character" w:styleId="Zarkazkladnhotextu2Char132" w:customStyle="1">
    <w:name w:val="Zarážka základného textu 2 Char132"/>
    <w:basedOn w:val="DefaultParagraphFont"/>
    <w:uiPriority w:val="99"/>
    <w:semiHidden/>
    <w:qFormat/>
    <w:rPr>
      <w:rFonts w:cs="Times New Roman"/>
      <w:sz w:val="36"/>
      <w:szCs w:val="36"/>
    </w:rPr>
  </w:style>
  <w:style w:type="character" w:styleId="Zarkazkladnhotextu2Char131" w:customStyle="1">
    <w:name w:val="Zarážka základného textu 2 Char131"/>
    <w:basedOn w:val="DefaultParagraphFont"/>
    <w:uiPriority w:val="99"/>
    <w:semiHidden/>
    <w:qFormat/>
    <w:rPr>
      <w:rFonts w:cs="Times New Roman"/>
      <w:sz w:val="36"/>
      <w:szCs w:val="36"/>
    </w:rPr>
  </w:style>
  <w:style w:type="character" w:styleId="Zarkazkladnhotextu2Char130" w:customStyle="1">
    <w:name w:val="Zarážka základného textu 2 Char130"/>
    <w:basedOn w:val="DefaultParagraphFont"/>
    <w:uiPriority w:val="99"/>
    <w:semiHidden/>
    <w:qFormat/>
    <w:rPr>
      <w:rFonts w:cs="Times New Roman"/>
      <w:sz w:val="36"/>
      <w:szCs w:val="36"/>
    </w:rPr>
  </w:style>
  <w:style w:type="character" w:styleId="Zarkazkladnhotextu2Char129" w:customStyle="1">
    <w:name w:val="Zarážka základného textu 2 Char129"/>
    <w:basedOn w:val="DefaultParagraphFont"/>
    <w:uiPriority w:val="99"/>
    <w:semiHidden/>
    <w:qFormat/>
    <w:rPr>
      <w:rFonts w:cs="Times New Roman"/>
      <w:sz w:val="36"/>
      <w:szCs w:val="36"/>
    </w:rPr>
  </w:style>
  <w:style w:type="character" w:styleId="Zarkazkladnhotextu2Char128" w:customStyle="1">
    <w:name w:val="Zarážka základného textu 2 Char128"/>
    <w:basedOn w:val="DefaultParagraphFont"/>
    <w:uiPriority w:val="99"/>
    <w:semiHidden/>
    <w:qFormat/>
    <w:rPr>
      <w:rFonts w:cs="Times New Roman"/>
      <w:sz w:val="36"/>
      <w:szCs w:val="36"/>
    </w:rPr>
  </w:style>
  <w:style w:type="character" w:styleId="Zarkazkladnhotextu2Char127" w:customStyle="1">
    <w:name w:val="Zarážka základného textu 2 Char127"/>
    <w:basedOn w:val="DefaultParagraphFont"/>
    <w:uiPriority w:val="99"/>
    <w:semiHidden/>
    <w:qFormat/>
    <w:rPr>
      <w:rFonts w:cs="Times New Roman"/>
      <w:sz w:val="36"/>
      <w:szCs w:val="36"/>
    </w:rPr>
  </w:style>
  <w:style w:type="character" w:styleId="Zarkazkladnhotextu2Char126" w:customStyle="1">
    <w:name w:val="Zarážka základného textu 2 Char126"/>
    <w:basedOn w:val="DefaultParagraphFont"/>
    <w:uiPriority w:val="99"/>
    <w:semiHidden/>
    <w:qFormat/>
    <w:rPr>
      <w:rFonts w:cs="Times New Roman"/>
      <w:sz w:val="36"/>
      <w:szCs w:val="36"/>
    </w:rPr>
  </w:style>
  <w:style w:type="character" w:styleId="Zarkazkladnhotextu2Char125" w:customStyle="1">
    <w:name w:val="Zarážka základného textu 2 Char125"/>
    <w:basedOn w:val="DefaultParagraphFont"/>
    <w:uiPriority w:val="99"/>
    <w:semiHidden/>
    <w:qFormat/>
    <w:rPr>
      <w:rFonts w:cs="Times New Roman"/>
      <w:sz w:val="36"/>
      <w:szCs w:val="36"/>
    </w:rPr>
  </w:style>
  <w:style w:type="character" w:styleId="Zarkazkladnhotextu2Char124" w:customStyle="1">
    <w:name w:val="Zarážka základného textu 2 Char124"/>
    <w:basedOn w:val="DefaultParagraphFont"/>
    <w:uiPriority w:val="99"/>
    <w:semiHidden/>
    <w:qFormat/>
    <w:rPr>
      <w:rFonts w:cs="Times New Roman"/>
      <w:sz w:val="36"/>
      <w:szCs w:val="36"/>
    </w:rPr>
  </w:style>
  <w:style w:type="character" w:styleId="Zarkazkladnhotextu2Char123" w:customStyle="1">
    <w:name w:val="Zarážka základného textu 2 Char123"/>
    <w:basedOn w:val="DefaultParagraphFont"/>
    <w:uiPriority w:val="99"/>
    <w:semiHidden/>
    <w:qFormat/>
    <w:rPr>
      <w:rFonts w:cs="Times New Roman"/>
      <w:sz w:val="36"/>
      <w:szCs w:val="36"/>
    </w:rPr>
  </w:style>
  <w:style w:type="character" w:styleId="Zarkazkladnhotextu2Char122" w:customStyle="1">
    <w:name w:val="Zarážka základného textu 2 Char122"/>
    <w:basedOn w:val="DefaultParagraphFont"/>
    <w:uiPriority w:val="99"/>
    <w:semiHidden/>
    <w:qFormat/>
    <w:rPr>
      <w:rFonts w:cs="Times New Roman"/>
      <w:sz w:val="36"/>
      <w:szCs w:val="36"/>
    </w:rPr>
  </w:style>
  <w:style w:type="character" w:styleId="Zarkazkladnhotextu2Char121" w:customStyle="1">
    <w:name w:val="Zarážka základného textu 2 Char121"/>
    <w:basedOn w:val="DefaultParagraphFont"/>
    <w:uiPriority w:val="99"/>
    <w:semiHidden/>
    <w:qFormat/>
    <w:rPr>
      <w:rFonts w:cs="Times New Roman"/>
      <w:sz w:val="36"/>
      <w:szCs w:val="36"/>
    </w:rPr>
  </w:style>
  <w:style w:type="character" w:styleId="Zarkazkladnhotextu2Char120" w:customStyle="1">
    <w:name w:val="Zarážka základného textu 2 Char120"/>
    <w:basedOn w:val="DefaultParagraphFont"/>
    <w:uiPriority w:val="99"/>
    <w:semiHidden/>
    <w:qFormat/>
    <w:rPr>
      <w:rFonts w:cs="Times New Roman"/>
      <w:sz w:val="36"/>
      <w:szCs w:val="36"/>
    </w:rPr>
  </w:style>
  <w:style w:type="character" w:styleId="Zarkazkladnhotextu2Char119" w:customStyle="1">
    <w:name w:val="Zarážka základného textu 2 Char119"/>
    <w:basedOn w:val="DefaultParagraphFont"/>
    <w:uiPriority w:val="99"/>
    <w:semiHidden/>
    <w:qFormat/>
    <w:rPr>
      <w:rFonts w:cs="Times New Roman"/>
      <w:sz w:val="36"/>
      <w:szCs w:val="36"/>
    </w:rPr>
  </w:style>
  <w:style w:type="character" w:styleId="Zarkazkladnhotextu2Char118" w:customStyle="1">
    <w:name w:val="Zarážka základného textu 2 Char118"/>
    <w:basedOn w:val="DefaultParagraphFont"/>
    <w:uiPriority w:val="99"/>
    <w:semiHidden/>
    <w:qFormat/>
    <w:rPr>
      <w:rFonts w:cs="Times New Roman"/>
      <w:sz w:val="36"/>
      <w:szCs w:val="36"/>
    </w:rPr>
  </w:style>
  <w:style w:type="character" w:styleId="Zarkazkladnhotextu2Char117" w:customStyle="1">
    <w:name w:val="Zarážka základného textu 2 Char117"/>
    <w:basedOn w:val="DefaultParagraphFont"/>
    <w:uiPriority w:val="99"/>
    <w:semiHidden/>
    <w:qFormat/>
    <w:rPr>
      <w:rFonts w:cs="Times New Roman"/>
      <w:sz w:val="36"/>
      <w:szCs w:val="36"/>
    </w:rPr>
  </w:style>
  <w:style w:type="character" w:styleId="Zarkazkladnhotextu2Char116" w:customStyle="1">
    <w:name w:val="Zarážka základného textu 2 Char116"/>
    <w:basedOn w:val="DefaultParagraphFont"/>
    <w:uiPriority w:val="99"/>
    <w:semiHidden/>
    <w:qFormat/>
    <w:rPr>
      <w:rFonts w:cs="Times New Roman"/>
      <w:sz w:val="36"/>
      <w:szCs w:val="36"/>
    </w:rPr>
  </w:style>
  <w:style w:type="character" w:styleId="Zarkazkladnhotextu2Char115" w:customStyle="1">
    <w:name w:val="Zarážka základného textu 2 Char115"/>
    <w:basedOn w:val="DefaultParagraphFont"/>
    <w:uiPriority w:val="99"/>
    <w:semiHidden/>
    <w:qFormat/>
    <w:rPr>
      <w:rFonts w:cs="Times New Roman"/>
      <w:sz w:val="36"/>
      <w:szCs w:val="36"/>
    </w:rPr>
  </w:style>
  <w:style w:type="character" w:styleId="Zarkazkladnhotextu2Char114" w:customStyle="1">
    <w:name w:val="Zarážka základného textu 2 Char114"/>
    <w:basedOn w:val="DefaultParagraphFont"/>
    <w:uiPriority w:val="99"/>
    <w:semiHidden/>
    <w:qFormat/>
    <w:rPr>
      <w:rFonts w:cs="Times New Roman"/>
      <w:sz w:val="36"/>
      <w:szCs w:val="36"/>
    </w:rPr>
  </w:style>
  <w:style w:type="character" w:styleId="Zarkazkladnhotextu2Char113" w:customStyle="1">
    <w:name w:val="Zarážka základného textu 2 Char113"/>
    <w:basedOn w:val="DefaultParagraphFont"/>
    <w:uiPriority w:val="99"/>
    <w:semiHidden/>
    <w:qFormat/>
    <w:rPr>
      <w:rFonts w:cs="Times New Roman"/>
      <w:sz w:val="36"/>
      <w:szCs w:val="36"/>
    </w:rPr>
  </w:style>
  <w:style w:type="character" w:styleId="Zarkazkladnhotextu2Char112" w:customStyle="1">
    <w:name w:val="Zarážka základného textu 2 Char112"/>
    <w:basedOn w:val="DefaultParagraphFont"/>
    <w:uiPriority w:val="99"/>
    <w:semiHidden/>
    <w:qFormat/>
    <w:rPr>
      <w:rFonts w:cs="Times New Roman"/>
      <w:sz w:val="36"/>
      <w:szCs w:val="36"/>
    </w:rPr>
  </w:style>
  <w:style w:type="character" w:styleId="Zarkazkladnhotextu2Char111" w:customStyle="1">
    <w:name w:val="Zarážka základného textu 2 Char111"/>
    <w:basedOn w:val="DefaultParagraphFont"/>
    <w:uiPriority w:val="99"/>
    <w:semiHidden/>
    <w:qFormat/>
    <w:rPr>
      <w:rFonts w:cs="Times New Roman"/>
      <w:sz w:val="36"/>
      <w:szCs w:val="36"/>
    </w:rPr>
  </w:style>
  <w:style w:type="character" w:styleId="Zarkazkladnhotextu2Char110" w:customStyle="1">
    <w:name w:val="Zarážka základného textu 2 Char110"/>
    <w:basedOn w:val="DefaultParagraphFont"/>
    <w:uiPriority w:val="99"/>
    <w:semiHidden/>
    <w:qFormat/>
    <w:rPr>
      <w:rFonts w:cs="Times New Roman"/>
      <w:sz w:val="36"/>
      <w:szCs w:val="36"/>
    </w:rPr>
  </w:style>
  <w:style w:type="character" w:styleId="Zarkazkladnhotextu2Char19" w:customStyle="1">
    <w:name w:val="Zarážka základného textu 2 Char19"/>
    <w:basedOn w:val="DefaultParagraphFont"/>
    <w:uiPriority w:val="99"/>
    <w:semiHidden/>
    <w:qFormat/>
    <w:rPr>
      <w:rFonts w:cs="Times New Roman"/>
      <w:sz w:val="36"/>
      <w:szCs w:val="36"/>
    </w:rPr>
  </w:style>
  <w:style w:type="character" w:styleId="Zarkazkladnhotextu2Char18" w:customStyle="1">
    <w:name w:val="Zarážka základného textu 2 Char18"/>
    <w:basedOn w:val="DefaultParagraphFont"/>
    <w:uiPriority w:val="99"/>
    <w:semiHidden/>
    <w:qFormat/>
    <w:rPr>
      <w:rFonts w:cs="Times New Roman"/>
      <w:sz w:val="36"/>
      <w:szCs w:val="36"/>
    </w:rPr>
  </w:style>
  <w:style w:type="character" w:styleId="Zarkazkladnhotextu2Char17" w:customStyle="1">
    <w:name w:val="Zarážka základného textu 2 Char17"/>
    <w:basedOn w:val="DefaultParagraphFont"/>
    <w:uiPriority w:val="99"/>
    <w:semiHidden/>
    <w:qFormat/>
    <w:rPr>
      <w:rFonts w:cs="Times New Roman"/>
      <w:sz w:val="36"/>
      <w:szCs w:val="36"/>
    </w:rPr>
  </w:style>
  <w:style w:type="character" w:styleId="Zarkazkladnhotextu2Char16" w:customStyle="1">
    <w:name w:val="Zarážka základného textu 2 Char16"/>
    <w:basedOn w:val="DefaultParagraphFont"/>
    <w:uiPriority w:val="99"/>
    <w:semiHidden/>
    <w:qFormat/>
    <w:rPr>
      <w:rFonts w:cs="Times New Roman"/>
      <w:sz w:val="36"/>
      <w:szCs w:val="36"/>
    </w:rPr>
  </w:style>
  <w:style w:type="character" w:styleId="Zarkazkladnhotextu2Char15" w:customStyle="1">
    <w:name w:val="Zarážka základného textu 2 Char15"/>
    <w:basedOn w:val="DefaultParagraphFont"/>
    <w:uiPriority w:val="99"/>
    <w:semiHidden/>
    <w:qFormat/>
    <w:rPr>
      <w:rFonts w:cs="Times New Roman"/>
      <w:sz w:val="36"/>
      <w:szCs w:val="36"/>
    </w:rPr>
  </w:style>
  <w:style w:type="character" w:styleId="Zarkazkladnhotextu2Char14" w:customStyle="1">
    <w:name w:val="Zarážka základného textu 2 Char14"/>
    <w:basedOn w:val="DefaultParagraphFont"/>
    <w:uiPriority w:val="99"/>
    <w:semiHidden/>
    <w:qFormat/>
    <w:rPr>
      <w:rFonts w:cs="Times New Roman"/>
      <w:sz w:val="36"/>
      <w:szCs w:val="36"/>
    </w:rPr>
  </w:style>
  <w:style w:type="character" w:styleId="Zarkazkladnhotextu2Char13" w:customStyle="1">
    <w:name w:val="Zarážka základného textu 2 Char13"/>
    <w:basedOn w:val="DefaultParagraphFont"/>
    <w:uiPriority w:val="99"/>
    <w:semiHidden/>
    <w:qFormat/>
    <w:rPr>
      <w:rFonts w:cs="Times New Roman"/>
      <w:sz w:val="36"/>
      <w:szCs w:val="36"/>
    </w:rPr>
  </w:style>
  <w:style w:type="character" w:styleId="Zarkazkladnhotextu2Char12" w:customStyle="1">
    <w:name w:val="Zarážka základného textu 2 Char12"/>
    <w:basedOn w:val="DefaultParagraphFont"/>
    <w:uiPriority w:val="99"/>
    <w:semiHidden/>
    <w:qFormat/>
    <w:rPr>
      <w:rFonts w:cs="Times New Roman"/>
      <w:sz w:val="36"/>
      <w:szCs w:val="36"/>
    </w:rPr>
  </w:style>
  <w:style w:type="character" w:styleId="Zarkazkladnhotextu2Char11" w:customStyle="1">
    <w:name w:val="Zarážka základného textu 2 Char11"/>
    <w:basedOn w:val="DefaultParagraphFont"/>
    <w:uiPriority w:val="99"/>
    <w:semiHidden/>
    <w:qFormat/>
    <w:rPr>
      <w:rFonts w:cs="Times New Roman"/>
      <w:sz w:val="36"/>
      <w:szCs w:val="36"/>
    </w:rPr>
  </w:style>
  <w:style w:type="character" w:styleId="Zarkazkladnhotextu3Char135" w:customStyle="1">
    <w:name w:val="Zarážka základného textu 3 Char135"/>
    <w:basedOn w:val="DefaultParagraphFont"/>
    <w:uiPriority w:val="99"/>
    <w:semiHidden/>
    <w:qFormat/>
    <w:rPr>
      <w:rFonts w:cs="Times New Roman"/>
      <w:sz w:val="16"/>
      <w:szCs w:val="16"/>
    </w:rPr>
  </w:style>
  <w:style w:type="character" w:styleId="Zarkazkladnhotextu3Char" w:customStyle="1">
    <w:name w:val="Zarážka základného textu 3 Char"/>
    <w:basedOn w:val="DefaultParagraphFont"/>
    <w:link w:val="Zarkazkladnhotextu3"/>
    <w:uiPriority w:val="99"/>
    <w:semiHidden/>
    <w:qFormat/>
    <w:locked/>
    <w:rPr>
      <w:rFonts w:cs="Times New Roman"/>
      <w:sz w:val="16"/>
      <w:szCs w:val="16"/>
    </w:rPr>
  </w:style>
  <w:style w:type="character" w:styleId="Zarkazkladnhotextu3Char134" w:customStyle="1">
    <w:name w:val="Zarážka základného textu 3 Char134"/>
    <w:basedOn w:val="DefaultParagraphFont"/>
    <w:uiPriority w:val="99"/>
    <w:semiHidden/>
    <w:qFormat/>
    <w:rPr>
      <w:rFonts w:cs="Times New Roman"/>
      <w:sz w:val="16"/>
      <w:szCs w:val="16"/>
    </w:rPr>
  </w:style>
  <w:style w:type="character" w:styleId="Zarkazkladnhotextu3Char133" w:customStyle="1">
    <w:name w:val="Zarážka základného textu 3 Char133"/>
    <w:basedOn w:val="DefaultParagraphFont"/>
    <w:uiPriority w:val="99"/>
    <w:semiHidden/>
    <w:qFormat/>
    <w:rPr>
      <w:rFonts w:cs="Times New Roman"/>
      <w:sz w:val="16"/>
      <w:szCs w:val="16"/>
    </w:rPr>
  </w:style>
  <w:style w:type="character" w:styleId="Zarkazkladnhotextu3Char132" w:customStyle="1">
    <w:name w:val="Zarážka základného textu 3 Char132"/>
    <w:basedOn w:val="DefaultParagraphFont"/>
    <w:uiPriority w:val="99"/>
    <w:semiHidden/>
    <w:qFormat/>
    <w:rPr>
      <w:rFonts w:cs="Times New Roman"/>
      <w:sz w:val="16"/>
      <w:szCs w:val="16"/>
    </w:rPr>
  </w:style>
  <w:style w:type="character" w:styleId="Zarkazkladnhotextu3Char131" w:customStyle="1">
    <w:name w:val="Zarážka základného textu 3 Char131"/>
    <w:basedOn w:val="DefaultParagraphFont"/>
    <w:uiPriority w:val="99"/>
    <w:semiHidden/>
    <w:qFormat/>
    <w:rPr>
      <w:rFonts w:cs="Times New Roman"/>
      <w:sz w:val="16"/>
      <w:szCs w:val="16"/>
    </w:rPr>
  </w:style>
  <w:style w:type="character" w:styleId="Zarkazkladnhotextu3Char130" w:customStyle="1">
    <w:name w:val="Zarážka základného textu 3 Char130"/>
    <w:basedOn w:val="DefaultParagraphFont"/>
    <w:uiPriority w:val="99"/>
    <w:semiHidden/>
    <w:qFormat/>
    <w:rPr>
      <w:rFonts w:cs="Times New Roman"/>
      <w:sz w:val="16"/>
      <w:szCs w:val="16"/>
    </w:rPr>
  </w:style>
  <w:style w:type="character" w:styleId="Zarkazkladnhotextu3Char129" w:customStyle="1">
    <w:name w:val="Zarážka základného textu 3 Char129"/>
    <w:basedOn w:val="DefaultParagraphFont"/>
    <w:uiPriority w:val="99"/>
    <w:semiHidden/>
    <w:qFormat/>
    <w:rPr>
      <w:rFonts w:cs="Times New Roman"/>
      <w:sz w:val="16"/>
      <w:szCs w:val="16"/>
    </w:rPr>
  </w:style>
  <w:style w:type="character" w:styleId="Zarkazkladnhotextu3Char128" w:customStyle="1">
    <w:name w:val="Zarážka základného textu 3 Char128"/>
    <w:basedOn w:val="DefaultParagraphFont"/>
    <w:uiPriority w:val="99"/>
    <w:semiHidden/>
    <w:qFormat/>
    <w:rPr>
      <w:rFonts w:cs="Times New Roman"/>
      <w:sz w:val="16"/>
      <w:szCs w:val="16"/>
    </w:rPr>
  </w:style>
  <w:style w:type="character" w:styleId="Zarkazkladnhotextu3Char127" w:customStyle="1">
    <w:name w:val="Zarážka základného textu 3 Char127"/>
    <w:basedOn w:val="DefaultParagraphFont"/>
    <w:uiPriority w:val="99"/>
    <w:semiHidden/>
    <w:qFormat/>
    <w:rPr>
      <w:rFonts w:cs="Times New Roman"/>
      <w:sz w:val="16"/>
      <w:szCs w:val="16"/>
    </w:rPr>
  </w:style>
  <w:style w:type="character" w:styleId="Zarkazkladnhotextu3Char126" w:customStyle="1">
    <w:name w:val="Zarážka základného textu 3 Char126"/>
    <w:basedOn w:val="DefaultParagraphFont"/>
    <w:uiPriority w:val="99"/>
    <w:semiHidden/>
    <w:qFormat/>
    <w:rPr>
      <w:rFonts w:cs="Times New Roman"/>
      <w:sz w:val="16"/>
      <w:szCs w:val="16"/>
    </w:rPr>
  </w:style>
  <w:style w:type="character" w:styleId="Zarkazkladnhotextu3Char125" w:customStyle="1">
    <w:name w:val="Zarážka základného textu 3 Char125"/>
    <w:basedOn w:val="DefaultParagraphFont"/>
    <w:uiPriority w:val="99"/>
    <w:semiHidden/>
    <w:qFormat/>
    <w:rPr>
      <w:rFonts w:cs="Times New Roman"/>
      <w:sz w:val="16"/>
      <w:szCs w:val="16"/>
    </w:rPr>
  </w:style>
  <w:style w:type="character" w:styleId="Zarkazkladnhotextu3Char124" w:customStyle="1">
    <w:name w:val="Zarážka základného textu 3 Char124"/>
    <w:basedOn w:val="DefaultParagraphFont"/>
    <w:uiPriority w:val="99"/>
    <w:semiHidden/>
    <w:qFormat/>
    <w:rPr>
      <w:rFonts w:cs="Times New Roman"/>
      <w:sz w:val="16"/>
      <w:szCs w:val="16"/>
    </w:rPr>
  </w:style>
  <w:style w:type="character" w:styleId="Zarkazkladnhotextu3Char123" w:customStyle="1">
    <w:name w:val="Zarážka základného textu 3 Char123"/>
    <w:basedOn w:val="DefaultParagraphFont"/>
    <w:uiPriority w:val="99"/>
    <w:semiHidden/>
    <w:qFormat/>
    <w:rPr>
      <w:rFonts w:cs="Times New Roman"/>
      <w:sz w:val="16"/>
      <w:szCs w:val="16"/>
    </w:rPr>
  </w:style>
  <w:style w:type="character" w:styleId="Zarkazkladnhotextu3Char122" w:customStyle="1">
    <w:name w:val="Zarážka základného textu 3 Char122"/>
    <w:basedOn w:val="DefaultParagraphFont"/>
    <w:uiPriority w:val="99"/>
    <w:semiHidden/>
    <w:qFormat/>
    <w:rPr>
      <w:rFonts w:cs="Times New Roman"/>
      <w:sz w:val="16"/>
      <w:szCs w:val="16"/>
    </w:rPr>
  </w:style>
  <w:style w:type="character" w:styleId="Zarkazkladnhotextu3Char121" w:customStyle="1">
    <w:name w:val="Zarážka základného textu 3 Char121"/>
    <w:basedOn w:val="DefaultParagraphFont"/>
    <w:uiPriority w:val="99"/>
    <w:semiHidden/>
    <w:qFormat/>
    <w:rPr>
      <w:rFonts w:cs="Times New Roman"/>
      <w:sz w:val="16"/>
      <w:szCs w:val="16"/>
    </w:rPr>
  </w:style>
  <w:style w:type="character" w:styleId="Zarkazkladnhotextu3Char120" w:customStyle="1">
    <w:name w:val="Zarážka základného textu 3 Char120"/>
    <w:basedOn w:val="DefaultParagraphFont"/>
    <w:uiPriority w:val="99"/>
    <w:semiHidden/>
    <w:qFormat/>
    <w:rPr>
      <w:rFonts w:cs="Times New Roman"/>
      <w:sz w:val="16"/>
      <w:szCs w:val="16"/>
    </w:rPr>
  </w:style>
  <w:style w:type="character" w:styleId="Zarkazkladnhotextu3Char119" w:customStyle="1">
    <w:name w:val="Zarážka základného textu 3 Char119"/>
    <w:basedOn w:val="DefaultParagraphFont"/>
    <w:uiPriority w:val="99"/>
    <w:semiHidden/>
    <w:qFormat/>
    <w:rPr>
      <w:rFonts w:cs="Times New Roman"/>
      <w:sz w:val="16"/>
      <w:szCs w:val="16"/>
    </w:rPr>
  </w:style>
  <w:style w:type="character" w:styleId="Zarkazkladnhotextu3Char118" w:customStyle="1">
    <w:name w:val="Zarážka základného textu 3 Char118"/>
    <w:basedOn w:val="DefaultParagraphFont"/>
    <w:uiPriority w:val="99"/>
    <w:semiHidden/>
    <w:qFormat/>
    <w:rPr>
      <w:rFonts w:cs="Times New Roman"/>
      <w:sz w:val="16"/>
      <w:szCs w:val="16"/>
    </w:rPr>
  </w:style>
  <w:style w:type="character" w:styleId="Zarkazkladnhotextu3Char117" w:customStyle="1">
    <w:name w:val="Zarážka základného textu 3 Char117"/>
    <w:basedOn w:val="DefaultParagraphFont"/>
    <w:uiPriority w:val="99"/>
    <w:semiHidden/>
    <w:qFormat/>
    <w:rPr>
      <w:rFonts w:cs="Times New Roman"/>
      <w:sz w:val="16"/>
      <w:szCs w:val="16"/>
    </w:rPr>
  </w:style>
  <w:style w:type="character" w:styleId="Zarkazkladnhotextu3Char116" w:customStyle="1">
    <w:name w:val="Zarážka základného textu 3 Char116"/>
    <w:basedOn w:val="DefaultParagraphFont"/>
    <w:uiPriority w:val="99"/>
    <w:semiHidden/>
    <w:qFormat/>
    <w:rPr>
      <w:rFonts w:cs="Times New Roman"/>
      <w:sz w:val="16"/>
      <w:szCs w:val="16"/>
    </w:rPr>
  </w:style>
  <w:style w:type="character" w:styleId="Zarkazkladnhotextu3Char115" w:customStyle="1">
    <w:name w:val="Zarážka základného textu 3 Char115"/>
    <w:basedOn w:val="DefaultParagraphFont"/>
    <w:uiPriority w:val="99"/>
    <w:semiHidden/>
    <w:qFormat/>
    <w:rPr>
      <w:rFonts w:cs="Times New Roman"/>
      <w:sz w:val="16"/>
      <w:szCs w:val="16"/>
    </w:rPr>
  </w:style>
  <w:style w:type="character" w:styleId="Zarkazkladnhotextu3Char114" w:customStyle="1">
    <w:name w:val="Zarážka základného textu 3 Char114"/>
    <w:basedOn w:val="DefaultParagraphFont"/>
    <w:uiPriority w:val="99"/>
    <w:semiHidden/>
    <w:qFormat/>
    <w:rPr>
      <w:rFonts w:cs="Times New Roman"/>
      <w:sz w:val="16"/>
      <w:szCs w:val="16"/>
    </w:rPr>
  </w:style>
  <w:style w:type="character" w:styleId="Zarkazkladnhotextu3Char113" w:customStyle="1">
    <w:name w:val="Zarážka základného textu 3 Char113"/>
    <w:basedOn w:val="DefaultParagraphFont"/>
    <w:uiPriority w:val="99"/>
    <w:semiHidden/>
    <w:qFormat/>
    <w:rPr>
      <w:rFonts w:cs="Times New Roman"/>
      <w:sz w:val="16"/>
      <w:szCs w:val="16"/>
    </w:rPr>
  </w:style>
  <w:style w:type="character" w:styleId="Zarkazkladnhotextu3Char112" w:customStyle="1">
    <w:name w:val="Zarážka základného textu 3 Char112"/>
    <w:basedOn w:val="DefaultParagraphFont"/>
    <w:uiPriority w:val="99"/>
    <w:semiHidden/>
    <w:qFormat/>
    <w:rPr>
      <w:rFonts w:cs="Times New Roman"/>
      <w:sz w:val="16"/>
      <w:szCs w:val="16"/>
    </w:rPr>
  </w:style>
  <w:style w:type="character" w:styleId="Zarkazkladnhotextu3Char111" w:customStyle="1">
    <w:name w:val="Zarážka základného textu 3 Char111"/>
    <w:basedOn w:val="DefaultParagraphFont"/>
    <w:uiPriority w:val="99"/>
    <w:semiHidden/>
    <w:qFormat/>
    <w:rPr>
      <w:rFonts w:cs="Times New Roman"/>
      <w:sz w:val="16"/>
      <w:szCs w:val="16"/>
    </w:rPr>
  </w:style>
  <w:style w:type="character" w:styleId="Zarkazkladnhotextu3Char110" w:customStyle="1">
    <w:name w:val="Zarážka základného textu 3 Char110"/>
    <w:basedOn w:val="DefaultParagraphFont"/>
    <w:uiPriority w:val="99"/>
    <w:semiHidden/>
    <w:qFormat/>
    <w:rPr>
      <w:rFonts w:cs="Times New Roman"/>
      <w:sz w:val="16"/>
      <w:szCs w:val="16"/>
    </w:rPr>
  </w:style>
  <w:style w:type="character" w:styleId="Zarkazkladnhotextu3Char19" w:customStyle="1">
    <w:name w:val="Zarážka základného textu 3 Char19"/>
    <w:basedOn w:val="DefaultParagraphFont"/>
    <w:uiPriority w:val="99"/>
    <w:semiHidden/>
    <w:qFormat/>
    <w:rPr>
      <w:rFonts w:cs="Times New Roman"/>
      <w:sz w:val="16"/>
      <w:szCs w:val="16"/>
    </w:rPr>
  </w:style>
  <w:style w:type="character" w:styleId="Zarkazkladnhotextu3Char18" w:customStyle="1">
    <w:name w:val="Zarážka základného textu 3 Char18"/>
    <w:basedOn w:val="DefaultParagraphFont"/>
    <w:uiPriority w:val="99"/>
    <w:semiHidden/>
    <w:qFormat/>
    <w:rPr>
      <w:rFonts w:cs="Times New Roman"/>
      <w:sz w:val="16"/>
      <w:szCs w:val="16"/>
    </w:rPr>
  </w:style>
  <w:style w:type="character" w:styleId="Zarkazkladnhotextu3Char17" w:customStyle="1">
    <w:name w:val="Zarážka základného textu 3 Char17"/>
    <w:basedOn w:val="DefaultParagraphFont"/>
    <w:uiPriority w:val="99"/>
    <w:semiHidden/>
    <w:qFormat/>
    <w:rPr>
      <w:rFonts w:cs="Times New Roman"/>
      <w:sz w:val="16"/>
      <w:szCs w:val="16"/>
    </w:rPr>
  </w:style>
  <w:style w:type="character" w:styleId="Zarkazkladnhotextu3Char16" w:customStyle="1">
    <w:name w:val="Zarážka základného textu 3 Char16"/>
    <w:basedOn w:val="DefaultParagraphFont"/>
    <w:uiPriority w:val="99"/>
    <w:semiHidden/>
    <w:qFormat/>
    <w:rPr>
      <w:rFonts w:cs="Times New Roman"/>
      <w:sz w:val="16"/>
      <w:szCs w:val="16"/>
    </w:rPr>
  </w:style>
  <w:style w:type="character" w:styleId="Zarkazkladnhotextu3Char15" w:customStyle="1">
    <w:name w:val="Zarážka základného textu 3 Char15"/>
    <w:basedOn w:val="DefaultParagraphFont"/>
    <w:uiPriority w:val="99"/>
    <w:semiHidden/>
    <w:qFormat/>
    <w:rPr>
      <w:rFonts w:cs="Times New Roman"/>
      <w:sz w:val="16"/>
      <w:szCs w:val="16"/>
    </w:rPr>
  </w:style>
  <w:style w:type="character" w:styleId="Zarkazkladnhotextu3Char14" w:customStyle="1">
    <w:name w:val="Zarážka základného textu 3 Char14"/>
    <w:basedOn w:val="DefaultParagraphFont"/>
    <w:uiPriority w:val="99"/>
    <w:semiHidden/>
    <w:qFormat/>
    <w:rPr>
      <w:rFonts w:cs="Times New Roman"/>
      <w:sz w:val="16"/>
      <w:szCs w:val="16"/>
    </w:rPr>
  </w:style>
  <w:style w:type="character" w:styleId="Zarkazkladnhotextu3Char13" w:customStyle="1">
    <w:name w:val="Zarážka základného textu 3 Char13"/>
    <w:basedOn w:val="DefaultParagraphFont"/>
    <w:uiPriority w:val="99"/>
    <w:semiHidden/>
    <w:qFormat/>
    <w:rPr>
      <w:rFonts w:cs="Times New Roman"/>
      <w:sz w:val="16"/>
      <w:szCs w:val="16"/>
    </w:rPr>
  </w:style>
  <w:style w:type="character" w:styleId="Zarkazkladnhotextu3Char12" w:customStyle="1">
    <w:name w:val="Zarážka základného textu 3 Char12"/>
    <w:basedOn w:val="DefaultParagraphFont"/>
    <w:uiPriority w:val="99"/>
    <w:semiHidden/>
    <w:qFormat/>
    <w:rPr>
      <w:rFonts w:cs="Times New Roman"/>
      <w:sz w:val="16"/>
      <w:szCs w:val="16"/>
    </w:rPr>
  </w:style>
  <w:style w:type="character" w:styleId="Zarkazkladnhotextu3Char11" w:customStyle="1">
    <w:name w:val="Zarážka základného textu 3 Char11"/>
    <w:basedOn w:val="DefaultParagraphFont"/>
    <w:uiPriority w:val="99"/>
    <w:semiHidden/>
    <w:qFormat/>
    <w:rPr>
      <w:rFonts w:cs="Times New Roman"/>
      <w:sz w:val="16"/>
      <w:szCs w:val="16"/>
    </w:rPr>
  </w:style>
  <w:style w:type="character" w:styleId="TextbublinyChar135" w:customStyle="1">
    <w:name w:val="Text bubliny Char135"/>
    <w:basedOn w:val="DefaultParagraphFont"/>
    <w:uiPriority w:val="99"/>
    <w:semiHidden/>
    <w:qFormat/>
    <w:rPr>
      <w:rFonts w:ascii="Tahoma" w:hAnsi="Tahoma" w:cs="Tahoma"/>
      <w:sz w:val="16"/>
      <w:szCs w:val="16"/>
    </w:rPr>
  </w:style>
  <w:style w:type="character" w:styleId="TextbublinyChar" w:customStyle="1">
    <w:name w:val="Text bubliny Char"/>
    <w:basedOn w:val="DefaultParagraphFont"/>
    <w:link w:val="Textbubliny"/>
    <w:uiPriority w:val="99"/>
    <w:semiHidden/>
    <w:qFormat/>
    <w:locked/>
    <w:rPr>
      <w:rFonts w:ascii="Tahoma" w:hAnsi="Tahoma" w:cs="Tahoma"/>
      <w:sz w:val="16"/>
      <w:szCs w:val="16"/>
    </w:rPr>
  </w:style>
  <w:style w:type="character" w:styleId="TextbublinyChar134" w:customStyle="1">
    <w:name w:val="Text bubliny Char134"/>
    <w:basedOn w:val="DefaultParagraphFont"/>
    <w:uiPriority w:val="99"/>
    <w:semiHidden/>
    <w:qFormat/>
    <w:rPr>
      <w:rFonts w:ascii="Tahoma" w:hAnsi="Tahoma" w:cs="Tahoma"/>
      <w:sz w:val="16"/>
      <w:szCs w:val="16"/>
    </w:rPr>
  </w:style>
  <w:style w:type="character" w:styleId="TextbublinyChar133" w:customStyle="1">
    <w:name w:val="Text bubliny Char133"/>
    <w:basedOn w:val="DefaultParagraphFont"/>
    <w:uiPriority w:val="99"/>
    <w:semiHidden/>
    <w:qFormat/>
    <w:rPr>
      <w:rFonts w:ascii="Tahoma" w:hAnsi="Tahoma" w:cs="Tahoma"/>
      <w:sz w:val="16"/>
      <w:szCs w:val="16"/>
    </w:rPr>
  </w:style>
  <w:style w:type="character" w:styleId="TextbublinyChar132" w:customStyle="1">
    <w:name w:val="Text bubliny Char132"/>
    <w:basedOn w:val="DefaultParagraphFont"/>
    <w:uiPriority w:val="99"/>
    <w:semiHidden/>
    <w:qFormat/>
    <w:rPr>
      <w:rFonts w:ascii="Tahoma" w:hAnsi="Tahoma" w:cs="Tahoma"/>
      <w:sz w:val="16"/>
      <w:szCs w:val="16"/>
    </w:rPr>
  </w:style>
  <w:style w:type="character" w:styleId="TextbublinyChar131" w:customStyle="1">
    <w:name w:val="Text bubliny Char131"/>
    <w:basedOn w:val="DefaultParagraphFont"/>
    <w:uiPriority w:val="99"/>
    <w:semiHidden/>
    <w:qFormat/>
    <w:rPr>
      <w:rFonts w:ascii="Tahoma" w:hAnsi="Tahoma" w:cs="Tahoma"/>
      <w:sz w:val="16"/>
      <w:szCs w:val="16"/>
    </w:rPr>
  </w:style>
  <w:style w:type="character" w:styleId="TextbublinyChar130" w:customStyle="1">
    <w:name w:val="Text bubliny Char130"/>
    <w:basedOn w:val="DefaultParagraphFont"/>
    <w:uiPriority w:val="99"/>
    <w:semiHidden/>
    <w:qFormat/>
    <w:rPr>
      <w:rFonts w:ascii="Tahoma" w:hAnsi="Tahoma" w:cs="Tahoma"/>
      <w:sz w:val="16"/>
      <w:szCs w:val="16"/>
    </w:rPr>
  </w:style>
  <w:style w:type="character" w:styleId="TextbublinyChar129" w:customStyle="1">
    <w:name w:val="Text bubliny Char129"/>
    <w:basedOn w:val="DefaultParagraphFont"/>
    <w:uiPriority w:val="99"/>
    <w:semiHidden/>
    <w:qFormat/>
    <w:rPr>
      <w:rFonts w:ascii="Tahoma" w:hAnsi="Tahoma" w:cs="Tahoma"/>
      <w:sz w:val="16"/>
      <w:szCs w:val="16"/>
    </w:rPr>
  </w:style>
  <w:style w:type="character" w:styleId="TextbublinyChar128" w:customStyle="1">
    <w:name w:val="Text bubliny Char128"/>
    <w:basedOn w:val="DefaultParagraphFont"/>
    <w:uiPriority w:val="99"/>
    <w:semiHidden/>
    <w:qFormat/>
    <w:rPr>
      <w:rFonts w:ascii="Tahoma" w:hAnsi="Tahoma" w:cs="Tahoma"/>
      <w:sz w:val="16"/>
      <w:szCs w:val="16"/>
    </w:rPr>
  </w:style>
  <w:style w:type="character" w:styleId="TextbublinyChar127" w:customStyle="1">
    <w:name w:val="Text bubliny Char127"/>
    <w:basedOn w:val="DefaultParagraphFont"/>
    <w:uiPriority w:val="99"/>
    <w:semiHidden/>
    <w:qFormat/>
    <w:rPr>
      <w:rFonts w:ascii="Tahoma" w:hAnsi="Tahoma" w:cs="Tahoma"/>
      <w:sz w:val="16"/>
      <w:szCs w:val="16"/>
    </w:rPr>
  </w:style>
  <w:style w:type="character" w:styleId="TextbublinyChar126" w:customStyle="1">
    <w:name w:val="Text bubliny Char126"/>
    <w:basedOn w:val="DefaultParagraphFont"/>
    <w:uiPriority w:val="99"/>
    <w:semiHidden/>
    <w:qFormat/>
    <w:rPr>
      <w:rFonts w:ascii="Tahoma" w:hAnsi="Tahoma" w:cs="Tahoma"/>
      <w:sz w:val="16"/>
      <w:szCs w:val="16"/>
    </w:rPr>
  </w:style>
  <w:style w:type="character" w:styleId="TextbublinyChar125" w:customStyle="1">
    <w:name w:val="Text bubliny Char125"/>
    <w:basedOn w:val="DefaultParagraphFont"/>
    <w:uiPriority w:val="99"/>
    <w:semiHidden/>
    <w:qFormat/>
    <w:rPr>
      <w:rFonts w:ascii="Tahoma" w:hAnsi="Tahoma" w:cs="Tahoma"/>
      <w:sz w:val="16"/>
      <w:szCs w:val="16"/>
    </w:rPr>
  </w:style>
  <w:style w:type="character" w:styleId="TextbublinyChar124" w:customStyle="1">
    <w:name w:val="Text bubliny Char124"/>
    <w:basedOn w:val="DefaultParagraphFont"/>
    <w:uiPriority w:val="99"/>
    <w:semiHidden/>
    <w:qFormat/>
    <w:rPr>
      <w:rFonts w:ascii="Tahoma" w:hAnsi="Tahoma" w:cs="Tahoma"/>
      <w:sz w:val="16"/>
      <w:szCs w:val="16"/>
    </w:rPr>
  </w:style>
  <w:style w:type="character" w:styleId="TextbublinyChar123" w:customStyle="1">
    <w:name w:val="Text bubliny Char123"/>
    <w:basedOn w:val="DefaultParagraphFont"/>
    <w:uiPriority w:val="99"/>
    <w:semiHidden/>
    <w:qFormat/>
    <w:rPr>
      <w:rFonts w:ascii="Tahoma" w:hAnsi="Tahoma" w:cs="Tahoma"/>
      <w:sz w:val="16"/>
      <w:szCs w:val="16"/>
    </w:rPr>
  </w:style>
  <w:style w:type="character" w:styleId="TextbublinyChar122" w:customStyle="1">
    <w:name w:val="Text bubliny Char122"/>
    <w:basedOn w:val="DefaultParagraphFont"/>
    <w:uiPriority w:val="99"/>
    <w:semiHidden/>
    <w:qFormat/>
    <w:rPr>
      <w:rFonts w:ascii="Tahoma" w:hAnsi="Tahoma" w:cs="Tahoma"/>
      <w:sz w:val="16"/>
      <w:szCs w:val="16"/>
    </w:rPr>
  </w:style>
  <w:style w:type="character" w:styleId="TextbublinyChar121" w:customStyle="1">
    <w:name w:val="Text bubliny Char121"/>
    <w:basedOn w:val="DefaultParagraphFont"/>
    <w:uiPriority w:val="99"/>
    <w:semiHidden/>
    <w:qFormat/>
    <w:rPr>
      <w:rFonts w:ascii="Tahoma" w:hAnsi="Tahoma" w:cs="Tahoma"/>
      <w:sz w:val="16"/>
      <w:szCs w:val="16"/>
    </w:rPr>
  </w:style>
  <w:style w:type="character" w:styleId="TextbublinyChar120" w:customStyle="1">
    <w:name w:val="Text bubliny Char120"/>
    <w:basedOn w:val="DefaultParagraphFont"/>
    <w:uiPriority w:val="99"/>
    <w:semiHidden/>
    <w:qFormat/>
    <w:rPr>
      <w:rFonts w:ascii="Tahoma" w:hAnsi="Tahoma" w:cs="Tahoma"/>
      <w:sz w:val="16"/>
      <w:szCs w:val="16"/>
    </w:rPr>
  </w:style>
  <w:style w:type="character" w:styleId="TextbublinyChar119" w:customStyle="1">
    <w:name w:val="Text bubliny Char119"/>
    <w:basedOn w:val="DefaultParagraphFont"/>
    <w:uiPriority w:val="99"/>
    <w:semiHidden/>
    <w:qFormat/>
    <w:rPr>
      <w:rFonts w:ascii="Tahoma" w:hAnsi="Tahoma" w:cs="Tahoma"/>
      <w:sz w:val="16"/>
      <w:szCs w:val="16"/>
    </w:rPr>
  </w:style>
  <w:style w:type="character" w:styleId="TextbublinyChar118" w:customStyle="1">
    <w:name w:val="Text bubliny Char118"/>
    <w:basedOn w:val="DefaultParagraphFont"/>
    <w:uiPriority w:val="99"/>
    <w:semiHidden/>
    <w:qFormat/>
    <w:rPr>
      <w:rFonts w:ascii="Segoe UI" w:hAnsi="Segoe UI" w:cs="Segoe UI"/>
      <w:sz w:val="18"/>
      <w:szCs w:val="18"/>
    </w:rPr>
  </w:style>
  <w:style w:type="character" w:styleId="TextbublinyChar117" w:customStyle="1">
    <w:name w:val="Text bubliny Char117"/>
    <w:basedOn w:val="DefaultParagraphFont"/>
    <w:uiPriority w:val="99"/>
    <w:semiHidden/>
    <w:qFormat/>
    <w:rPr>
      <w:rFonts w:ascii="Tahoma" w:hAnsi="Tahoma" w:cs="Tahoma"/>
      <w:sz w:val="16"/>
      <w:szCs w:val="16"/>
    </w:rPr>
  </w:style>
  <w:style w:type="character" w:styleId="TextbublinyChar116" w:customStyle="1">
    <w:name w:val="Text bubliny Char116"/>
    <w:basedOn w:val="DefaultParagraphFont"/>
    <w:uiPriority w:val="99"/>
    <w:semiHidden/>
    <w:qFormat/>
    <w:rPr>
      <w:rFonts w:ascii="Tahoma" w:hAnsi="Tahoma" w:cs="Tahoma"/>
      <w:sz w:val="16"/>
      <w:szCs w:val="16"/>
    </w:rPr>
  </w:style>
  <w:style w:type="character" w:styleId="TextbublinyChar115" w:customStyle="1">
    <w:name w:val="Text bubliny Char115"/>
    <w:basedOn w:val="DefaultParagraphFont"/>
    <w:uiPriority w:val="99"/>
    <w:semiHidden/>
    <w:qFormat/>
    <w:rPr>
      <w:rFonts w:ascii="Segoe UI" w:hAnsi="Segoe UI" w:cs="Segoe UI"/>
      <w:sz w:val="18"/>
      <w:szCs w:val="18"/>
    </w:rPr>
  </w:style>
  <w:style w:type="character" w:styleId="TextbublinyChar114" w:customStyle="1">
    <w:name w:val="Text bubliny Char114"/>
    <w:basedOn w:val="DefaultParagraphFont"/>
    <w:uiPriority w:val="99"/>
    <w:semiHidden/>
    <w:qFormat/>
    <w:rPr>
      <w:rFonts w:ascii="Segoe UI" w:hAnsi="Segoe UI" w:cs="Segoe UI"/>
      <w:sz w:val="18"/>
      <w:szCs w:val="18"/>
    </w:rPr>
  </w:style>
  <w:style w:type="character" w:styleId="TextbublinyChar113" w:customStyle="1">
    <w:name w:val="Text bubliny Char113"/>
    <w:basedOn w:val="DefaultParagraphFont"/>
    <w:uiPriority w:val="99"/>
    <w:semiHidden/>
    <w:qFormat/>
    <w:rPr>
      <w:rFonts w:ascii="Tahoma" w:hAnsi="Tahoma" w:cs="Tahoma"/>
      <w:sz w:val="16"/>
      <w:szCs w:val="16"/>
    </w:rPr>
  </w:style>
  <w:style w:type="character" w:styleId="TextbublinyChar112" w:customStyle="1">
    <w:name w:val="Text bubliny Char112"/>
    <w:basedOn w:val="DefaultParagraphFont"/>
    <w:uiPriority w:val="99"/>
    <w:semiHidden/>
    <w:qFormat/>
    <w:rPr>
      <w:rFonts w:ascii="Tahoma" w:hAnsi="Tahoma" w:cs="Tahoma"/>
      <w:sz w:val="16"/>
      <w:szCs w:val="16"/>
    </w:rPr>
  </w:style>
  <w:style w:type="character" w:styleId="TextbublinyChar111" w:customStyle="1">
    <w:name w:val="Text bubliny Char111"/>
    <w:basedOn w:val="DefaultParagraphFont"/>
    <w:uiPriority w:val="99"/>
    <w:semiHidden/>
    <w:qFormat/>
    <w:rPr>
      <w:rFonts w:ascii="Tahoma" w:hAnsi="Tahoma" w:cs="Tahoma"/>
      <w:sz w:val="16"/>
      <w:szCs w:val="16"/>
    </w:rPr>
  </w:style>
  <w:style w:type="character" w:styleId="TextbublinyChar110" w:customStyle="1">
    <w:name w:val="Text bubliny Char110"/>
    <w:basedOn w:val="DefaultParagraphFont"/>
    <w:uiPriority w:val="99"/>
    <w:semiHidden/>
    <w:qFormat/>
    <w:rPr>
      <w:rFonts w:ascii="Tahoma" w:hAnsi="Tahoma" w:cs="Tahoma"/>
      <w:sz w:val="16"/>
      <w:szCs w:val="16"/>
    </w:rPr>
  </w:style>
  <w:style w:type="character" w:styleId="TextbublinyChar19" w:customStyle="1">
    <w:name w:val="Text bubliny Char19"/>
    <w:basedOn w:val="DefaultParagraphFont"/>
    <w:uiPriority w:val="99"/>
    <w:semiHidden/>
    <w:qFormat/>
    <w:rPr>
      <w:rFonts w:ascii="Tahoma" w:hAnsi="Tahoma" w:cs="Tahoma"/>
      <w:sz w:val="16"/>
      <w:szCs w:val="16"/>
    </w:rPr>
  </w:style>
  <w:style w:type="character" w:styleId="TextbublinyChar18" w:customStyle="1">
    <w:name w:val="Text bubliny Char18"/>
    <w:basedOn w:val="DefaultParagraphFont"/>
    <w:uiPriority w:val="99"/>
    <w:semiHidden/>
    <w:qFormat/>
    <w:rPr>
      <w:rFonts w:ascii="Tahoma" w:hAnsi="Tahoma" w:cs="Tahoma"/>
      <w:sz w:val="16"/>
      <w:szCs w:val="16"/>
    </w:rPr>
  </w:style>
  <w:style w:type="character" w:styleId="TextbublinyChar17" w:customStyle="1">
    <w:name w:val="Text bubliny Char17"/>
    <w:basedOn w:val="DefaultParagraphFont"/>
    <w:uiPriority w:val="99"/>
    <w:semiHidden/>
    <w:qFormat/>
    <w:rPr>
      <w:rFonts w:ascii="Tahoma" w:hAnsi="Tahoma" w:cs="Tahoma"/>
      <w:sz w:val="16"/>
      <w:szCs w:val="16"/>
    </w:rPr>
  </w:style>
  <w:style w:type="character" w:styleId="TextbublinyChar16" w:customStyle="1">
    <w:name w:val="Text bubliny Char16"/>
    <w:basedOn w:val="DefaultParagraphFont"/>
    <w:uiPriority w:val="99"/>
    <w:semiHidden/>
    <w:qFormat/>
    <w:rPr>
      <w:rFonts w:ascii="Tahoma" w:hAnsi="Tahoma" w:cs="Tahoma"/>
      <w:sz w:val="16"/>
      <w:szCs w:val="16"/>
    </w:rPr>
  </w:style>
  <w:style w:type="character" w:styleId="TextbublinyChar15" w:customStyle="1">
    <w:name w:val="Text bubliny Char15"/>
    <w:basedOn w:val="DefaultParagraphFont"/>
    <w:uiPriority w:val="99"/>
    <w:semiHidden/>
    <w:qFormat/>
    <w:rPr>
      <w:rFonts w:ascii="Tahoma" w:hAnsi="Tahoma" w:cs="Tahoma"/>
      <w:sz w:val="16"/>
      <w:szCs w:val="16"/>
    </w:rPr>
  </w:style>
  <w:style w:type="character" w:styleId="TextbublinyChar14" w:customStyle="1">
    <w:name w:val="Text bubliny Char14"/>
    <w:basedOn w:val="DefaultParagraphFont"/>
    <w:uiPriority w:val="99"/>
    <w:semiHidden/>
    <w:qFormat/>
    <w:rPr>
      <w:rFonts w:ascii="Tahoma" w:hAnsi="Tahoma" w:cs="Tahoma"/>
      <w:sz w:val="16"/>
      <w:szCs w:val="16"/>
    </w:rPr>
  </w:style>
  <w:style w:type="character" w:styleId="TextbublinyChar13" w:customStyle="1">
    <w:name w:val="Text bubliny Char13"/>
    <w:basedOn w:val="DefaultParagraphFont"/>
    <w:uiPriority w:val="99"/>
    <w:semiHidden/>
    <w:qFormat/>
    <w:rPr>
      <w:rFonts w:ascii="Tahoma" w:hAnsi="Tahoma" w:cs="Tahoma"/>
      <w:sz w:val="16"/>
      <w:szCs w:val="16"/>
    </w:rPr>
  </w:style>
  <w:style w:type="character" w:styleId="TextbublinyChar12" w:customStyle="1">
    <w:name w:val="Text bubliny Char12"/>
    <w:basedOn w:val="DefaultParagraphFont"/>
    <w:uiPriority w:val="99"/>
    <w:semiHidden/>
    <w:qFormat/>
    <w:rPr>
      <w:rFonts w:ascii="Tahoma" w:hAnsi="Tahoma" w:cs="Tahoma"/>
      <w:sz w:val="16"/>
      <w:szCs w:val="16"/>
    </w:rPr>
  </w:style>
  <w:style w:type="character" w:styleId="TextbublinyChar11" w:customStyle="1">
    <w:name w:val="Text bubliny Char11"/>
    <w:basedOn w:val="DefaultParagraphFont"/>
    <w:uiPriority w:val="99"/>
    <w:semiHidden/>
    <w:qFormat/>
    <w:rPr>
      <w:rFonts w:ascii="Tahoma" w:hAnsi="Tahoma" w:cs="Tahoma"/>
      <w:sz w:val="16"/>
      <w:szCs w:val="16"/>
    </w:rPr>
  </w:style>
  <w:style w:type="character" w:styleId="Pagenumber">
    <w:name w:val="page number"/>
    <w:basedOn w:val="DefaultParagraphFont"/>
    <w:uiPriority w:val="99"/>
    <w:qFormat/>
    <w:rsid w:val="00fa03c9"/>
    <w:rPr>
      <w:rFonts w:cs="Times New Roman"/>
    </w:rPr>
  </w:style>
  <w:style w:type="character" w:styleId="Applestylespan" w:customStyle="1">
    <w:name w:val="apple-style-span"/>
    <w:uiPriority w:val="99"/>
    <w:qFormat/>
    <w:rsid w:val="00fa03c9"/>
    <w:rPr/>
  </w:style>
  <w:style w:type="character" w:styleId="ListLabel1">
    <w:name w:val="ListLabel 1"/>
    <w:qFormat/>
    <w:rPr>
      <w:rFonts w:cs="Times New Roman"/>
    </w:rPr>
  </w:style>
  <w:style w:type="character" w:styleId="ListLabel2">
    <w:name w:val="ListLabel 2"/>
    <w:qFormat/>
    <w:rPr>
      <w:rFonts w:cs="Times New Roman"/>
    </w:rPr>
  </w:style>
  <w:style w:type="character" w:styleId="ListLabel3">
    <w:name w:val="ListLabel 3"/>
    <w:qFormat/>
    <w:rPr>
      <w:rFonts w:cs="Times New Roman"/>
    </w:rPr>
  </w:style>
  <w:style w:type="character" w:styleId="ListLabel4">
    <w:name w:val="ListLabel 4"/>
    <w:qFormat/>
    <w:rPr>
      <w:rFonts w:cs="Times New Roman"/>
    </w:rPr>
  </w:style>
  <w:style w:type="character" w:styleId="ListLabel5">
    <w:name w:val="ListLabel 5"/>
    <w:qFormat/>
    <w:rPr>
      <w:rFonts w:cs="Times New Roman"/>
    </w:rPr>
  </w:style>
  <w:style w:type="character" w:styleId="ListLabel6">
    <w:name w:val="ListLabel 6"/>
    <w:qFormat/>
    <w:rPr>
      <w:rFonts w:cs="Times New Roman"/>
    </w:rPr>
  </w:style>
  <w:style w:type="character" w:styleId="ListLabel7">
    <w:name w:val="ListLabel 7"/>
    <w:qFormat/>
    <w:rPr>
      <w:rFonts w:cs="Times New Roman"/>
    </w:rPr>
  </w:style>
  <w:style w:type="character" w:styleId="ListLabel8">
    <w:name w:val="ListLabel 8"/>
    <w:qFormat/>
    <w:rPr>
      <w:rFonts w:cs="Times New Roman"/>
    </w:rPr>
  </w:style>
  <w:style w:type="character" w:styleId="ListLabel9">
    <w:name w:val="ListLabel 9"/>
    <w:qFormat/>
    <w:rPr>
      <w:rFonts w:cs="Times New Roman"/>
    </w:rPr>
  </w:style>
  <w:style w:type="character" w:styleId="ListLabel10">
    <w:name w:val="ListLabel 10"/>
    <w:qFormat/>
    <w:rPr>
      <w:rFonts w:cs="Times New Roman"/>
      <w:b w:val="false"/>
    </w:rPr>
  </w:style>
  <w:style w:type="character" w:styleId="ListLabel11">
    <w:name w:val="ListLabel 11"/>
    <w:qFormat/>
    <w:rPr>
      <w:rFonts w:cs="Times New Roman"/>
    </w:rPr>
  </w:style>
  <w:style w:type="character" w:styleId="ListLabel12">
    <w:name w:val="ListLabel 12"/>
    <w:qFormat/>
    <w:rPr>
      <w:rFonts w:cs="Times New Roman"/>
    </w:rPr>
  </w:style>
  <w:style w:type="character" w:styleId="ListLabel13">
    <w:name w:val="ListLabel 13"/>
    <w:qFormat/>
    <w:rPr>
      <w:rFonts w:cs="Times New Roman"/>
    </w:rPr>
  </w:style>
  <w:style w:type="character" w:styleId="ListLabel14">
    <w:name w:val="ListLabel 14"/>
    <w:qFormat/>
    <w:rPr>
      <w:rFonts w:cs="Times New Roman"/>
    </w:rPr>
  </w:style>
  <w:style w:type="character" w:styleId="ListLabel15">
    <w:name w:val="ListLabel 15"/>
    <w:qFormat/>
    <w:rPr>
      <w:rFonts w:cs="Times New Roman"/>
    </w:rPr>
  </w:style>
  <w:style w:type="character" w:styleId="ListLabel16">
    <w:name w:val="ListLabel 16"/>
    <w:qFormat/>
    <w:rPr>
      <w:rFonts w:cs="Times New Roman"/>
    </w:rPr>
  </w:style>
  <w:style w:type="character" w:styleId="ListLabel17">
    <w:name w:val="ListLabel 17"/>
    <w:qFormat/>
    <w:rPr>
      <w:rFonts w:cs="Times New Roman"/>
    </w:rPr>
  </w:style>
  <w:style w:type="character" w:styleId="ListLabel18">
    <w:name w:val="ListLabel 18"/>
    <w:qFormat/>
    <w:rPr>
      <w:rFonts w:cs="Times New Roman"/>
    </w:rPr>
  </w:style>
  <w:style w:type="character" w:styleId="ListLabel19">
    <w:name w:val="ListLabel 19"/>
    <w:qFormat/>
    <w:rPr>
      <w:rFonts w:ascii="Arial" w:hAnsi="Arial" w:cs="Times New Roman"/>
      <w:b/>
      <w:sz w:val="24"/>
    </w:rPr>
  </w:style>
  <w:style w:type="character" w:styleId="ListLabel20">
    <w:name w:val="ListLabel 20"/>
    <w:qFormat/>
    <w:rPr>
      <w:rFonts w:cs="Times New Roman"/>
    </w:rPr>
  </w:style>
  <w:style w:type="character" w:styleId="ListLabel21">
    <w:name w:val="ListLabel 21"/>
    <w:qFormat/>
    <w:rPr>
      <w:rFonts w:cs="Times New Roman"/>
    </w:rPr>
  </w:style>
  <w:style w:type="character" w:styleId="ListLabel22">
    <w:name w:val="ListLabel 22"/>
    <w:qFormat/>
    <w:rPr>
      <w:rFonts w:cs="Times New Roman"/>
    </w:rPr>
  </w:style>
  <w:style w:type="character" w:styleId="ListLabel23">
    <w:name w:val="ListLabel 23"/>
    <w:qFormat/>
    <w:rPr>
      <w:rFonts w:cs="Times New Roman"/>
    </w:rPr>
  </w:style>
  <w:style w:type="character" w:styleId="ListLabel24">
    <w:name w:val="ListLabel 24"/>
    <w:qFormat/>
    <w:rPr>
      <w:rFonts w:cs="Times New Roman"/>
    </w:rPr>
  </w:style>
  <w:style w:type="character" w:styleId="ListLabel25">
    <w:name w:val="ListLabel 25"/>
    <w:qFormat/>
    <w:rPr>
      <w:rFonts w:cs="Times New Roman"/>
    </w:rPr>
  </w:style>
  <w:style w:type="character" w:styleId="ListLabel26">
    <w:name w:val="ListLabel 26"/>
    <w:qFormat/>
    <w:rPr>
      <w:rFonts w:cs="Times New Roman"/>
    </w:rPr>
  </w:style>
  <w:style w:type="character" w:styleId="ListLabel27">
    <w:name w:val="ListLabel 27"/>
    <w:qFormat/>
    <w:rPr>
      <w:rFonts w:cs="Times New Roman"/>
    </w:rPr>
  </w:style>
  <w:style w:type="character" w:styleId="ListLabel28">
    <w:name w:val="ListLabel 28"/>
    <w:qFormat/>
    <w:rPr>
      <w:rFonts w:ascii="Arial" w:hAnsi="Arial" w:cs="Times New Roman"/>
      <w:sz w:val="24"/>
    </w:rPr>
  </w:style>
  <w:style w:type="character" w:styleId="ListLabel29">
    <w:name w:val="ListLabel 29"/>
    <w:qFormat/>
    <w:rPr>
      <w:rFonts w:cs="Times New Roman"/>
    </w:rPr>
  </w:style>
  <w:style w:type="character" w:styleId="ListLabel30">
    <w:name w:val="ListLabel 30"/>
    <w:qFormat/>
    <w:rPr>
      <w:rFonts w:cs="Times New Roman"/>
    </w:rPr>
  </w:style>
  <w:style w:type="character" w:styleId="ListLabel31">
    <w:name w:val="ListLabel 31"/>
    <w:qFormat/>
    <w:rPr>
      <w:rFonts w:cs="Times New Roman"/>
    </w:rPr>
  </w:style>
  <w:style w:type="character" w:styleId="ListLabel32">
    <w:name w:val="ListLabel 32"/>
    <w:qFormat/>
    <w:rPr>
      <w:rFonts w:cs="Times New Roman"/>
    </w:rPr>
  </w:style>
  <w:style w:type="character" w:styleId="ListLabel33">
    <w:name w:val="ListLabel 33"/>
    <w:qFormat/>
    <w:rPr>
      <w:rFonts w:cs="Times New Roman"/>
    </w:rPr>
  </w:style>
  <w:style w:type="character" w:styleId="ListLabel34">
    <w:name w:val="ListLabel 34"/>
    <w:qFormat/>
    <w:rPr>
      <w:rFonts w:cs="Times New Roman"/>
    </w:rPr>
  </w:style>
  <w:style w:type="character" w:styleId="ListLabel35">
    <w:name w:val="ListLabel 35"/>
    <w:qFormat/>
    <w:rPr>
      <w:rFonts w:cs="Times New Roman"/>
    </w:rPr>
  </w:style>
  <w:style w:type="character" w:styleId="ListLabel36">
    <w:name w:val="ListLabel 36"/>
    <w:qFormat/>
    <w:rPr>
      <w:rFonts w:cs="Times New Roman"/>
    </w:rPr>
  </w:style>
  <w:style w:type="character" w:styleId="ListLabel37">
    <w:name w:val="ListLabel 37"/>
    <w:qFormat/>
    <w:rPr>
      <w:rFonts w:ascii="Arial" w:hAnsi="Arial" w:cs="Times New Roman"/>
      <w:sz w:val="24"/>
    </w:rPr>
  </w:style>
  <w:style w:type="character" w:styleId="ListLabel38">
    <w:name w:val="ListLabel 38"/>
    <w:qFormat/>
    <w:rPr>
      <w:rFonts w:cs="Times New Roman"/>
    </w:rPr>
  </w:style>
  <w:style w:type="character" w:styleId="ListLabel39">
    <w:name w:val="ListLabel 39"/>
    <w:qFormat/>
    <w:rPr>
      <w:rFonts w:cs="Times New Roman"/>
    </w:rPr>
  </w:style>
  <w:style w:type="character" w:styleId="ListLabel40">
    <w:name w:val="ListLabel 40"/>
    <w:qFormat/>
    <w:rPr>
      <w:rFonts w:cs="Times New Roman"/>
    </w:rPr>
  </w:style>
  <w:style w:type="character" w:styleId="ListLabel41">
    <w:name w:val="ListLabel 41"/>
    <w:qFormat/>
    <w:rPr>
      <w:rFonts w:cs="Times New Roman"/>
    </w:rPr>
  </w:style>
  <w:style w:type="character" w:styleId="ListLabel42">
    <w:name w:val="ListLabel 42"/>
    <w:qFormat/>
    <w:rPr>
      <w:rFonts w:cs="Times New Roman"/>
    </w:rPr>
  </w:style>
  <w:style w:type="character" w:styleId="ListLabel43">
    <w:name w:val="ListLabel 43"/>
    <w:qFormat/>
    <w:rPr>
      <w:rFonts w:cs="Times New Roman"/>
    </w:rPr>
  </w:style>
  <w:style w:type="character" w:styleId="ListLabel44">
    <w:name w:val="ListLabel 44"/>
    <w:qFormat/>
    <w:rPr>
      <w:rFonts w:cs="Times New Roman"/>
    </w:rPr>
  </w:style>
  <w:style w:type="character" w:styleId="ListLabel45">
    <w:name w:val="ListLabel 45"/>
    <w:qFormat/>
    <w:rPr>
      <w:rFonts w:cs="Times New Roman"/>
    </w:rPr>
  </w:style>
  <w:style w:type="character" w:styleId="ListLabel46">
    <w:name w:val="ListLabel 46"/>
    <w:qFormat/>
    <w:rPr>
      <w:rFonts w:ascii="Arial" w:hAnsi="Arial" w:cs="Times New Roman"/>
      <w:sz w:val="24"/>
    </w:rPr>
  </w:style>
  <w:style w:type="character" w:styleId="ListLabel47">
    <w:name w:val="ListLabel 47"/>
    <w:qFormat/>
    <w:rPr>
      <w:rFonts w:cs="Times New Roman"/>
    </w:rPr>
  </w:style>
  <w:style w:type="character" w:styleId="ListLabel48">
    <w:name w:val="ListLabel 48"/>
    <w:qFormat/>
    <w:rPr>
      <w:rFonts w:cs="Times New Roman"/>
    </w:rPr>
  </w:style>
  <w:style w:type="character" w:styleId="ListLabel49">
    <w:name w:val="ListLabel 49"/>
    <w:qFormat/>
    <w:rPr>
      <w:rFonts w:cs="Times New Roman"/>
    </w:rPr>
  </w:style>
  <w:style w:type="character" w:styleId="ListLabel50">
    <w:name w:val="ListLabel 50"/>
    <w:qFormat/>
    <w:rPr>
      <w:rFonts w:cs="Times New Roman"/>
    </w:rPr>
  </w:style>
  <w:style w:type="character" w:styleId="ListLabel51">
    <w:name w:val="ListLabel 51"/>
    <w:qFormat/>
    <w:rPr>
      <w:rFonts w:cs="Times New Roman"/>
    </w:rPr>
  </w:style>
  <w:style w:type="character" w:styleId="ListLabel52">
    <w:name w:val="ListLabel 52"/>
    <w:qFormat/>
    <w:rPr>
      <w:rFonts w:cs="Times New Roman"/>
    </w:rPr>
  </w:style>
  <w:style w:type="character" w:styleId="ListLabel53">
    <w:name w:val="ListLabel 53"/>
    <w:qFormat/>
    <w:rPr>
      <w:rFonts w:cs="Times New Roman"/>
    </w:rPr>
  </w:style>
  <w:style w:type="character" w:styleId="ListLabel54">
    <w:name w:val="ListLabel 54"/>
    <w:qFormat/>
    <w:rPr>
      <w:rFonts w:cs="Times New Roman"/>
    </w:rPr>
  </w:style>
  <w:style w:type="character" w:styleId="ListLabel55">
    <w:name w:val="ListLabel 55"/>
    <w:qFormat/>
    <w:rPr>
      <w:rFonts w:ascii="Arial" w:hAnsi="Arial" w:cs="Times New Roman"/>
      <w:b/>
      <w:sz w:val="24"/>
    </w:rPr>
  </w:style>
  <w:style w:type="character" w:styleId="ListLabel56">
    <w:name w:val="ListLabel 56"/>
    <w:qFormat/>
    <w:rPr>
      <w:rFonts w:cs="Times New Roman"/>
    </w:rPr>
  </w:style>
  <w:style w:type="character" w:styleId="ListLabel57">
    <w:name w:val="ListLabel 57"/>
    <w:qFormat/>
    <w:rPr>
      <w:rFonts w:cs="Times New Roman"/>
    </w:rPr>
  </w:style>
  <w:style w:type="character" w:styleId="ListLabel58">
    <w:name w:val="ListLabel 58"/>
    <w:qFormat/>
    <w:rPr>
      <w:rFonts w:cs="Times New Roman"/>
    </w:rPr>
  </w:style>
  <w:style w:type="character" w:styleId="ListLabel59">
    <w:name w:val="ListLabel 59"/>
    <w:qFormat/>
    <w:rPr>
      <w:rFonts w:cs="Times New Roman"/>
    </w:rPr>
  </w:style>
  <w:style w:type="character" w:styleId="ListLabel60">
    <w:name w:val="ListLabel 60"/>
    <w:qFormat/>
    <w:rPr>
      <w:rFonts w:cs="Times New Roman"/>
    </w:rPr>
  </w:style>
  <w:style w:type="character" w:styleId="ListLabel61">
    <w:name w:val="ListLabel 61"/>
    <w:qFormat/>
    <w:rPr>
      <w:rFonts w:cs="Times New Roman"/>
    </w:rPr>
  </w:style>
  <w:style w:type="character" w:styleId="ListLabel62">
    <w:name w:val="ListLabel 62"/>
    <w:qFormat/>
    <w:rPr>
      <w:rFonts w:cs="Times New Roman"/>
    </w:rPr>
  </w:style>
  <w:style w:type="character" w:styleId="ListLabel63">
    <w:name w:val="ListLabel 63"/>
    <w:qFormat/>
    <w:rPr>
      <w:rFonts w:cs="Times New Roman"/>
    </w:rPr>
  </w:style>
  <w:style w:type="character" w:styleId="ListLabel64">
    <w:name w:val="ListLabel 64"/>
    <w:qFormat/>
    <w:rPr>
      <w:rFonts w:ascii="Arial" w:hAnsi="Arial" w:cs="Times New Roman"/>
      <w:sz w:val="24"/>
    </w:rPr>
  </w:style>
  <w:style w:type="character" w:styleId="ListLabel65">
    <w:name w:val="ListLabel 65"/>
    <w:qFormat/>
    <w:rPr>
      <w:rFonts w:cs="Times New Roman"/>
    </w:rPr>
  </w:style>
  <w:style w:type="character" w:styleId="ListLabel66">
    <w:name w:val="ListLabel 66"/>
    <w:qFormat/>
    <w:rPr>
      <w:rFonts w:cs="Times New Roman"/>
    </w:rPr>
  </w:style>
  <w:style w:type="character" w:styleId="ListLabel67">
    <w:name w:val="ListLabel 67"/>
    <w:qFormat/>
    <w:rPr>
      <w:rFonts w:cs="Times New Roman"/>
    </w:rPr>
  </w:style>
  <w:style w:type="character" w:styleId="ListLabel68">
    <w:name w:val="ListLabel 68"/>
    <w:qFormat/>
    <w:rPr>
      <w:rFonts w:cs="Times New Roman"/>
    </w:rPr>
  </w:style>
  <w:style w:type="character" w:styleId="ListLabel69">
    <w:name w:val="ListLabel 69"/>
    <w:qFormat/>
    <w:rPr>
      <w:rFonts w:cs="Times New Roman"/>
    </w:rPr>
  </w:style>
  <w:style w:type="character" w:styleId="ListLabel70">
    <w:name w:val="ListLabel 70"/>
    <w:qFormat/>
    <w:rPr>
      <w:rFonts w:cs="Times New Roman"/>
    </w:rPr>
  </w:style>
  <w:style w:type="character" w:styleId="ListLabel71">
    <w:name w:val="ListLabel 71"/>
    <w:qFormat/>
    <w:rPr>
      <w:rFonts w:cs="Times New Roman"/>
    </w:rPr>
  </w:style>
  <w:style w:type="character" w:styleId="ListLabel72">
    <w:name w:val="ListLabel 72"/>
    <w:qFormat/>
    <w:rPr>
      <w:rFonts w:cs="Times New Roman"/>
    </w:rPr>
  </w:style>
  <w:style w:type="character" w:styleId="ListLabel73">
    <w:name w:val="ListLabel 73"/>
    <w:qFormat/>
    <w:rPr>
      <w:rFonts w:ascii="Arial" w:hAnsi="Arial" w:cs="Times New Roman"/>
      <w:sz w:val="24"/>
    </w:rPr>
  </w:style>
  <w:style w:type="character" w:styleId="ListLabel74">
    <w:name w:val="ListLabel 74"/>
    <w:qFormat/>
    <w:rPr>
      <w:rFonts w:ascii="Arial" w:hAnsi="Arial" w:cs="Times New Roman"/>
      <w:b/>
      <w:sz w:val="24"/>
    </w:rPr>
  </w:style>
  <w:style w:type="character" w:styleId="ListLabel75">
    <w:name w:val="ListLabel 75"/>
    <w:qFormat/>
    <w:rPr>
      <w:rFonts w:cs="Times New Roman"/>
    </w:rPr>
  </w:style>
  <w:style w:type="character" w:styleId="ListLabel76">
    <w:name w:val="ListLabel 76"/>
    <w:qFormat/>
    <w:rPr>
      <w:rFonts w:eastAsia="Times New Roman"/>
    </w:rPr>
  </w:style>
  <w:style w:type="character" w:styleId="ListLabel77">
    <w:name w:val="ListLabel 77"/>
    <w:qFormat/>
    <w:rPr>
      <w:rFonts w:cs="Times New Roman"/>
    </w:rPr>
  </w:style>
  <w:style w:type="character" w:styleId="ListLabel78">
    <w:name w:val="ListLabel 78"/>
    <w:qFormat/>
    <w:rPr>
      <w:rFonts w:cs="Times New Roman"/>
    </w:rPr>
  </w:style>
  <w:style w:type="character" w:styleId="ListLabel79">
    <w:name w:val="ListLabel 79"/>
    <w:qFormat/>
    <w:rPr>
      <w:rFonts w:cs="Times New Roman"/>
    </w:rPr>
  </w:style>
  <w:style w:type="character" w:styleId="ListLabel80">
    <w:name w:val="ListLabel 80"/>
    <w:qFormat/>
    <w:rPr>
      <w:rFonts w:cs="Times New Roman"/>
    </w:rPr>
  </w:style>
  <w:style w:type="character" w:styleId="ListLabel81">
    <w:name w:val="ListLabel 81"/>
    <w:qFormat/>
    <w:rPr>
      <w:rFonts w:cs="Times New Roman"/>
    </w:rPr>
  </w:style>
  <w:style w:type="character" w:styleId="ListLabel82">
    <w:name w:val="ListLabel 82"/>
    <w:qFormat/>
    <w:rPr>
      <w:rFonts w:ascii="Arial" w:hAnsi="Arial" w:cs="Times New Roman"/>
      <w:sz w:val="24"/>
    </w:rPr>
  </w:style>
  <w:style w:type="character" w:styleId="ListLabel83">
    <w:name w:val="ListLabel 83"/>
    <w:qFormat/>
    <w:rPr>
      <w:rFonts w:cs="Times New Roman"/>
    </w:rPr>
  </w:style>
  <w:style w:type="character" w:styleId="ListLabel84">
    <w:name w:val="ListLabel 84"/>
    <w:qFormat/>
    <w:rPr>
      <w:rFonts w:cs="Times New Roman"/>
    </w:rPr>
  </w:style>
  <w:style w:type="character" w:styleId="ListLabel85">
    <w:name w:val="ListLabel 85"/>
    <w:qFormat/>
    <w:rPr>
      <w:rFonts w:cs="Times New Roman"/>
    </w:rPr>
  </w:style>
  <w:style w:type="character" w:styleId="ListLabel86">
    <w:name w:val="ListLabel 86"/>
    <w:qFormat/>
    <w:rPr>
      <w:rFonts w:cs="Times New Roman"/>
    </w:rPr>
  </w:style>
  <w:style w:type="character" w:styleId="ListLabel87">
    <w:name w:val="ListLabel 87"/>
    <w:qFormat/>
    <w:rPr>
      <w:rFonts w:cs="Times New Roman"/>
    </w:rPr>
  </w:style>
  <w:style w:type="character" w:styleId="ListLabel88">
    <w:name w:val="ListLabel 88"/>
    <w:qFormat/>
    <w:rPr>
      <w:rFonts w:cs="Times New Roman"/>
    </w:rPr>
  </w:style>
  <w:style w:type="character" w:styleId="ListLabel89">
    <w:name w:val="ListLabel 89"/>
    <w:qFormat/>
    <w:rPr>
      <w:rFonts w:cs="Times New Roman"/>
    </w:rPr>
  </w:style>
  <w:style w:type="character" w:styleId="ListLabel90">
    <w:name w:val="ListLabel 90"/>
    <w:qFormat/>
    <w:rPr>
      <w:rFonts w:cs="Times New Roman"/>
    </w:rPr>
  </w:style>
  <w:style w:type="character" w:styleId="ListLabel91">
    <w:name w:val="ListLabel 91"/>
    <w:qFormat/>
    <w:rPr>
      <w:rFonts w:ascii="Arial" w:hAnsi="Arial" w:cs="Times New Roman"/>
      <w:sz w:val="24"/>
    </w:rPr>
  </w:style>
  <w:style w:type="character" w:styleId="ListLabel92">
    <w:name w:val="ListLabel 92"/>
    <w:qFormat/>
    <w:rPr>
      <w:rFonts w:cs="Times New Roman"/>
    </w:rPr>
  </w:style>
  <w:style w:type="character" w:styleId="ListLabel93">
    <w:name w:val="ListLabel 93"/>
    <w:qFormat/>
    <w:rPr>
      <w:rFonts w:cs="Times New Roman"/>
    </w:rPr>
  </w:style>
  <w:style w:type="character" w:styleId="ListLabel94">
    <w:name w:val="ListLabel 94"/>
    <w:qFormat/>
    <w:rPr>
      <w:rFonts w:cs="Times New Roman"/>
    </w:rPr>
  </w:style>
  <w:style w:type="character" w:styleId="ListLabel95">
    <w:name w:val="ListLabel 95"/>
    <w:qFormat/>
    <w:rPr>
      <w:rFonts w:cs="Times New Roman"/>
    </w:rPr>
  </w:style>
  <w:style w:type="character" w:styleId="ListLabel96">
    <w:name w:val="ListLabel 96"/>
    <w:qFormat/>
    <w:rPr>
      <w:rFonts w:cs="Times New Roman"/>
    </w:rPr>
  </w:style>
  <w:style w:type="character" w:styleId="ListLabel97">
    <w:name w:val="ListLabel 97"/>
    <w:qFormat/>
    <w:rPr>
      <w:rFonts w:cs="Times New Roman"/>
    </w:rPr>
  </w:style>
  <w:style w:type="character" w:styleId="ListLabel98">
    <w:name w:val="ListLabel 98"/>
    <w:qFormat/>
    <w:rPr>
      <w:rFonts w:cs="Times New Roman"/>
    </w:rPr>
  </w:style>
  <w:style w:type="character" w:styleId="ListLabel99">
    <w:name w:val="ListLabel 99"/>
    <w:qFormat/>
    <w:rPr>
      <w:rFonts w:cs="Times New Roman"/>
    </w:rPr>
  </w:style>
  <w:style w:type="character" w:styleId="ListLabel100">
    <w:name w:val="ListLabel 100"/>
    <w:qFormat/>
    <w:rPr>
      <w:rFonts w:ascii="Arial" w:hAnsi="Arial" w:cs="Times New Roman"/>
      <w:sz w:val="24"/>
    </w:rPr>
  </w:style>
  <w:style w:type="character" w:styleId="ListLabel101">
    <w:name w:val="ListLabel 101"/>
    <w:qFormat/>
    <w:rPr>
      <w:rFonts w:cs="Times New Roman"/>
    </w:rPr>
  </w:style>
  <w:style w:type="character" w:styleId="ListLabel102">
    <w:name w:val="ListLabel 102"/>
    <w:qFormat/>
    <w:rPr>
      <w:rFonts w:cs="Times New Roman"/>
    </w:rPr>
  </w:style>
  <w:style w:type="character" w:styleId="ListLabel103">
    <w:name w:val="ListLabel 103"/>
    <w:qFormat/>
    <w:rPr>
      <w:rFonts w:cs="Times New Roman"/>
    </w:rPr>
  </w:style>
  <w:style w:type="character" w:styleId="ListLabel104">
    <w:name w:val="ListLabel 104"/>
    <w:qFormat/>
    <w:rPr>
      <w:rFonts w:cs="Times New Roman"/>
    </w:rPr>
  </w:style>
  <w:style w:type="character" w:styleId="ListLabel105">
    <w:name w:val="ListLabel 105"/>
    <w:qFormat/>
    <w:rPr>
      <w:rFonts w:cs="Times New Roman"/>
    </w:rPr>
  </w:style>
  <w:style w:type="character" w:styleId="ListLabel106">
    <w:name w:val="ListLabel 106"/>
    <w:qFormat/>
    <w:rPr>
      <w:rFonts w:cs="Times New Roman"/>
    </w:rPr>
  </w:style>
  <w:style w:type="character" w:styleId="ListLabel107">
    <w:name w:val="ListLabel 107"/>
    <w:qFormat/>
    <w:rPr>
      <w:rFonts w:cs="Times New Roman"/>
    </w:rPr>
  </w:style>
  <w:style w:type="character" w:styleId="ListLabel108">
    <w:name w:val="ListLabel 108"/>
    <w:qFormat/>
    <w:rPr>
      <w:rFonts w:cs="Times New Roman"/>
    </w:rPr>
  </w:style>
  <w:style w:type="character" w:styleId="ListLabel109">
    <w:name w:val="ListLabel 109"/>
    <w:qFormat/>
    <w:rPr>
      <w:rFonts w:ascii="Arial" w:hAnsi="Arial" w:cs="Times New Roman"/>
      <w:sz w:val="24"/>
    </w:rPr>
  </w:style>
  <w:style w:type="character" w:styleId="ListLabel110">
    <w:name w:val="ListLabel 110"/>
    <w:qFormat/>
    <w:rPr>
      <w:rFonts w:cs="Times New Roman"/>
    </w:rPr>
  </w:style>
  <w:style w:type="character" w:styleId="ListLabel111">
    <w:name w:val="ListLabel 111"/>
    <w:qFormat/>
    <w:rPr>
      <w:rFonts w:cs="Times New Roman"/>
    </w:rPr>
  </w:style>
  <w:style w:type="character" w:styleId="ListLabel112">
    <w:name w:val="ListLabel 112"/>
    <w:qFormat/>
    <w:rPr>
      <w:rFonts w:cs="Times New Roman"/>
    </w:rPr>
  </w:style>
  <w:style w:type="character" w:styleId="ListLabel113">
    <w:name w:val="ListLabel 113"/>
    <w:qFormat/>
    <w:rPr>
      <w:rFonts w:cs="Times New Roman"/>
    </w:rPr>
  </w:style>
  <w:style w:type="character" w:styleId="ListLabel114">
    <w:name w:val="ListLabel 114"/>
    <w:qFormat/>
    <w:rPr>
      <w:rFonts w:cs="Times New Roman"/>
    </w:rPr>
  </w:style>
  <w:style w:type="character" w:styleId="ListLabel115">
    <w:name w:val="ListLabel 115"/>
    <w:qFormat/>
    <w:rPr>
      <w:rFonts w:cs="Times New Roman"/>
    </w:rPr>
  </w:style>
  <w:style w:type="character" w:styleId="ListLabel116">
    <w:name w:val="ListLabel 116"/>
    <w:qFormat/>
    <w:rPr>
      <w:rFonts w:cs="Times New Roman"/>
    </w:rPr>
  </w:style>
  <w:style w:type="character" w:styleId="ListLabel117">
    <w:name w:val="ListLabel 117"/>
    <w:qFormat/>
    <w:rPr>
      <w:rFonts w:cs="Times New Roman"/>
    </w:rPr>
  </w:style>
  <w:style w:type="character" w:styleId="ListLabel118">
    <w:name w:val="ListLabel 118"/>
    <w:qFormat/>
    <w:rPr>
      <w:rFonts w:ascii="Arial" w:hAnsi="Arial" w:cs="Times New Roman"/>
      <w:b/>
      <w:sz w:val="24"/>
    </w:rPr>
  </w:style>
  <w:style w:type="character" w:styleId="ListLabel119">
    <w:name w:val="ListLabel 119"/>
    <w:qFormat/>
    <w:rPr>
      <w:rFonts w:cs="Times New Roman"/>
    </w:rPr>
  </w:style>
  <w:style w:type="character" w:styleId="ListLabel120">
    <w:name w:val="ListLabel 120"/>
    <w:qFormat/>
    <w:rPr>
      <w:rFonts w:cs="Times New Roman"/>
    </w:rPr>
  </w:style>
  <w:style w:type="character" w:styleId="ListLabel121">
    <w:name w:val="ListLabel 121"/>
    <w:qFormat/>
    <w:rPr>
      <w:rFonts w:cs="Times New Roman"/>
    </w:rPr>
  </w:style>
  <w:style w:type="character" w:styleId="ListLabel122">
    <w:name w:val="ListLabel 122"/>
    <w:qFormat/>
    <w:rPr>
      <w:rFonts w:cs="Times New Roman"/>
    </w:rPr>
  </w:style>
  <w:style w:type="character" w:styleId="ListLabel123">
    <w:name w:val="ListLabel 123"/>
    <w:qFormat/>
    <w:rPr>
      <w:rFonts w:cs="Times New Roman"/>
    </w:rPr>
  </w:style>
  <w:style w:type="character" w:styleId="ListLabel124">
    <w:name w:val="ListLabel 124"/>
    <w:qFormat/>
    <w:rPr>
      <w:rFonts w:cs="Times New Roman"/>
    </w:rPr>
  </w:style>
  <w:style w:type="character" w:styleId="ListLabel125">
    <w:name w:val="ListLabel 125"/>
    <w:qFormat/>
    <w:rPr>
      <w:rFonts w:cs="Times New Roman"/>
    </w:rPr>
  </w:style>
  <w:style w:type="character" w:styleId="ListLabel126">
    <w:name w:val="ListLabel 126"/>
    <w:qFormat/>
    <w:rPr>
      <w:rFonts w:cs="Times New Roman"/>
    </w:rPr>
  </w:style>
  <w:style w:type="character" w:styleId="ListLabel127">
    <w:name w:val="ListLabel 127"/>
    <w:qFormat/>
    <w:rPr>
      <w:rFonts w:ascii="Arial" w:hAnsi="Arial" w:cs="Times New Roman"/>
      <w:sz w:val="24"/>
    </w:rPr>
  </w:style>
  <w:style w:type="character" w:styleId="ListLabel128">
    <w:name w:val="ListLabel 128"/>
    <w:qFormat/>
    <w:rPr>
      <w:rFonts w:cs="Times New Roman"/>
      <w:b/>
    </w:rPr>
  </w:style>
  <w:style w:type="character" w:styleId="ListLabel129">
    <w:name w:val="ListLabel 129"/>
    <w:qFormat/>
    <w:rPr>
      <w:rFonts w:cs="Times New Roman"/>
    </w:rPr>
  </w:style>
  <w:style w:type="character" w:styleId="ListLabel130">
    <w:name w:val="ListLabel 130"/>
    <w:qFormat/>
    <w:rPr>
      <w:rFonts w:cs="Times New Roman"/>
    </w:rPr>
  </w:style>
  <w:style w:type="character" w:styleId="ListLabel131">
    <w:name w:val="ListLabel 131"/>
    <w:qFormat/>
    <w:rPr>
      <w:rFonts w:cs="Times New Roman"/>
    </w:rPr>
  </w:style>
  <w:style w:type="character" w:styleId="ListLabel132">
    <w:name w:val="ListLabel 132"/>
    <w:qFormat/>
    <w:rPr>
      <w:rFonts w:cs="Times New Roman"/>
    </w:rPr>
  </w:style>
  <w:style w:type="character" w:styleId="ListLabel133">
    <w:name w:val="ListLabel 133"/>
    <w:qFormat/>
    <w:rPr>
      <w:rFonts w:cs="Times New Roman"/>
    </w:rPr>
  </w:style>
  <w:style w:type="character" w:styleId="ListLabel134">
    <w:name w:val="ListLabel 134"/>
    <w:qFormat/>
    <w:rPr>
      <w:rFonts w:cs="Times New Roman"/>
    </w:rPr>
  </w:style>
  <w:style w:type="character" w:styleId="ListLabel135">
    <w:name w:val="ListLabel 135"/>
    <w:qFormat/>
    <w:rPr>
      <w:rFonts w:cs="Times New Roman"/>
    </w:rPr>
  </w:style>
  <w:style w:type="character" w:styleId="ListLabel136">
    <w:name w:val="ListLabel 136"/>
    <w:qFormat/>
    <w:rPr>
      <w:rFonts w:cs="Times New Roman"/>
    </w:rPr>
  </w:style>
  <w:style w:type="character" w:styleId="ListLabel137">
    <w:name w:val="ListLabel 137"/>
    <w:qFormat/>
    <w:rPr>
      <w:rFonts w:cs="Times New Roman"/>
    </w:rPr>
  </w:style>
  <w:style w:type="character" w:styleId="ListLabel138">
    <w:name w:val="ListLabel 138"/>
    <w:qFormat/>
    <w:rPr>
      <w:rFonts w:cs="Times New Roman"/>
    </w:rPr>
  </w:style>
  <w:style w:type="character" w:styleId="ListLabel139">
    <w:name w:val="ListLabel 139"/>
    <w:qFormat/>
    <w:rPr>
      <w:rFonts w:cs="Times New Roman"/>
    </w:rPr>
  </w:style>
  <w:style w:type="character" w:styleId="ListLabel140">
    <w:name w:val="ListLabel 140"/>
    <w:qFormat/>
    <w:rPr>
      <w:rFonts w:cs="Times New Roman"/>
    </w:rPr>
  </w:style>
  <w:style w:type="character" w:styleId="ListLabel141">
    <w:name w:val="ListLabel 141"/>
    <w:qFormat/>
    <w:rPr>
      <w:rFonts w:cs="Times New Roman"/>
    </w:rPr>
  </w:style>
  <w:style w:type="character" w:styleId="ListLabel142">
    <w:name w:val="ListLabel 142"/>
    <w:qFormat/>
    <w:rPr>
      <w:rFonts w:cs="Times New Roman"/>
    </w:rPr>
  </w:style>
  <w:style w:type="character" w:styleId="ListLabel143">
    <w:name w:val="ListLabel 143"/>
    <w:qFormat/>
    <w:rPr>
      <w:rFonts w:cs="Times New Roman"/>
    </w:rPr>
  </w:style>
  <w:style w:type="character" w:styleId="ListLabel144">
    <w:name w:val="ListLabel 144"/>
    <w:qFormat/>
    <w:rPr>
      <w:rFonts w:cs="Times New Roman"/>
    </w:rPr>
  </w:style>
  <w:style w:type="character" w:styleId="ListLabel145">
    <w:name w:val="ListLabel 145"/>
    <w:qFormat/>
    <w:rPr>
      <w:rFonts w:ascii="Arial" w:hAnsi="Arial" w:cs="Times New Roman"/>
      <w:sz w:val="24"/>
    </w:rPr>
  </w:style>
  <w:style w:type="character" w:styleId="ListLabel146">
    <w:name w:val="ListLabel 146"/>
    <w:qFormat/>
    <w:rPr>
      <w:rFonts w:cs="Times New Roman"/>
    </w:rPr>
  </w:style>
  <w:style w:type="character" w:styleId="ListLabel147">
    <w:name w:val="ListLabel 147"/>
    <w:qFormat/>
    <w:rPr>
      <w:rFonts w:cs="Times New Roman"/>
    </w:rPr>
  </w:style>
  <w:style w:type="character" w:styleId="ListLabel148">
    <w:name w:val="ListLabel 148"/>
    <w:qFormat/>
    <w:rPr>
      <w:rFonts w:cs="Times New Roman"/>
    </w:rPr>
  </w:style>
  <w:style w:type="character" w:styleId="ListLabel149">
    <w:name w:val="ListLabel 149"/>
    <w:qFormat/>
    <w:rPr>
      <w:rFonts w:cs="Times New Roman"/>
    </w:rPr>
  </w:style>
  <w:style w:type="character" w:styleId="ListLabel150">
    <w:name w:val="ListLabel 150"/>
    <w:qFormat/>
    <w:rPr>
      <w:rFonts w:cs="Times New Roman"/>
    </w:rPr>
  </w:style>
  <w:style w:type="character" w:styleId="ListLabel151">
    <w:name w:val="ListLabel 151"/>
    <w:qFormat/>
    <w:rPr>
      <w:rFonts w:cs="Times New Roman"/>
    </w:rPr>
  </w:style>
  <w:style w:type="character" w:styleId="ListLabel152">
    <w:name w:val="ListLabel 152"/>
    <w:qFormat/>
    <w:rPr>
      <w:rFonts w:cs="Times New Roman"/>
    </w:rPr>
  </w:style>
  <w:style w:type="character" w:styleId="ListLabel153">
    <w:name w:val="ListLabel 153"/>
    <w:qFormat/>
    <w:rPr>
      <w:rFonts w:cs="Times New Roman"/>
    </w:rPr>
  </w:style>
  <w:style w:type="character" w:styleId="ListLabel154">
    <w:name w:val="ListLabel 154"/>
    <w:qFormat/>
    <w:rPr>
      <w:rFonts w:ascii="Arial" w:hAnsi="Arial" w:cs="Times New Roman"/>
      <w:sz w:val="24"/>
    </w:rPr>
  </w:style>
  <w:style w:type="character" w:styleId="ListLabel155">
    <w:name w:val="ListLabel 155"/>
    <w:qFormat/>
    <w:rPr>
      <w:rFonts w:cs="Times New Roman"/>
    </w:rPr>
  </w:style>
  <w:style w:type="character" w:styleId="ListLabel156">
    <w:name w:val="ListLabel 156"/>
    <w:qFormat/>
    <w:rPr>
      <w:rFonts w:cs="Times New Roman"/>
    </w:rPr>
  </w:style>
  <w:style w:type="character" w:styleId="ListLabel157">
    <w:name w:val="ListLabel 157"/>
    <w:qFormat/>
    <w:rPr>
      <w:rFonts w:cs="Times New Roman"/>
    </w:rPr>
  </w:style>
  <w:style w:type="character" w:styleId="ListLabel158">
    <w:name w:val="ListLabel 158"/>
    <w:qFormat/>
    <w:rPr>
      <w:rFonts w:cs="Times New Roman"/>
    </w:rPr>
  </w:style>
  <w:style w:type="character" w:styleId="ListLabel159">
    <w:name w:val="ListLabel 159"/>
    <w:qFormat/>
    <w:rPr>
      <w:rFonts w:cs="Times New Roman"/>
    </w:rPr>
  </w:style>
  <w:style w:type="character" w:styleId="ListLabel160">
    <w:name w:val="ListLabel 160"/>
    <w:qFormat/>
    <w:rPr>
      <w:rFonts w:cs="Times New Roman"/>
    </w:rPr>
  </w:style>
  <w:style w:type="character" w:styleId="ListLabel161">
    <w:name w:val="ListLabel 161"/>
    <w:qFormat/>
    <w:rPr>
      <w:rFonts w:cs="Times New Roman"/>
    </w:rPr>
  </w:style>
  <w:style w:type="character" w:styleId="ListLabel162">
    <w:name w:val="ListLabel 162"/>
    <w:qFormat/>
    <w:rPr>
      <w:rFonts w:cs="Times New Roman"/>
    </w:rPr>
  </w:style>
  <w:style w:type="character" w:styleId="ListLabel163">
    <w:name w:val="ListLabel 163"/>
    <w:qFormat/>
    <w:rPr>
      <w:rFonts w:ascii="Arial" w:hAnsi="Arial" w:cs="Times New Roman"/>
      <w:sz w:val="24"/>
    </w:rPr>
  </w:style>
  <w:style w:type="character" w:styleId="ListLabel164">
    <w:name w:val="ListLabel 164"/>
    <w:qFormat/>
    <w:rPr>
      <w:rFonts w:cs="Times New Roman"/>
    </w:rPr>
  </w:style>
  <w:style w:type="character" w:styleId="ListLabel165">
    <w:name w:val="ListLabel 165"/>
    <w:qFormat/>
    <w:rPr>
      <w:rFonts w:cs="Times New Roman"/>
    </w:rPr>
  </w:style>
  <w:style w:type="character" w:styleId="ListLabel166">
    <w:name w:val="ListLabel 166"/>
    <w:qFormat/>
    <w:rPr>
      <w:rFonts w:cs="Times New Roman"/>
    </w:rPr>
  </w:style>
  <w:style w:type="character" w:styleId="ListLabel167">
    <w:name w:val="ListLabel 167"/>
    <w:qFormat/>
    <w:rPr>
      <w:rFonts w:cs="Times New Roman"/>
    </w:rPr>
  </w:style>
  <w:style w:type="character" w:styleId="ListLabel168">
    <w:name w:val="ListLabel 168"/>
    <w:qFormat/>
    <w:rPr>
      <w:rFonts w:cs="Times New Roman"/>
    </w:rPr>
  </w:style>
  <w:style w:type="character" w:styleId="ListLabel169">
    <w:name w:val="ListLabel 169"/>
    <w:qFormat/>
    <w:rPr>
      <w:rFonts w:cs="Times New Roman"/>
    </w:rPr>
  </w:style>
  <w:style w:type="character" w:styleId="ListLabel170">
    <w:name w:val="ListLabel 170"/>
    <w:qFormat/>
    <w:rPr>
      <w:rFonts w:cs="Times New Roman"/>
    </w:rPr>
  </w:style>
  <w:style w:type="character" w:styleId="ListLabel171">
    <w:name w:val="ListLabel 171"/>
    <w:qFormat/>
    <w:rPr>
      <w:rFonts w:cs="Times New Roman"/>
    </w:rPr>
  </w:style>
  <w:style w:type="character" w:styleId="ListLabel172">
    <w:name w:val="ListLabel 172"/>
    <w:qFormat/>
    <w:rPr>
      <w:rFonts w:cs="Times New Roman"/>
    </w:rPr>
  </w:style>
  <w:style w:type="character" w:styleId="ListLabel173">
    <w:name w:val="ListLabel 173"/>
    <w:qFormat/>
    <w:rPr>
      <w:rFonts w:cs="Times New Roman"/>
    </w:rPr>
  </w:style>
  <w:style w:type="character" w:styleId="ListLabel174">
    <w:name w:val="ListLabel 174"/>
    <w:qFormat/>
    <w:rPr>
      <w:rFonts w:cs="Times New Roman"/>
    </w:rPr>
  </w:style>
  <w:style w:type="character" w:styleId="ListLabel175">
    <w:name w:val="ListLabel 175"/>
    <w:qFormat/>
    <w:rPr>
      <w:rFonts w:cs="Times New Roman"/>
    </w:rPr>
  </w:style>
  <w:style w:type="character" w:styleId="ListLabel176">
    <w:name w:val="ListLabel 176"/>
    <w:qFormat/>
    <w:rPr>
      <w:rFonts w:cs="Times New Roman"/>
    </w:rPr>
  </w:style>
  <w:style w:type="character" w:styleId="ListLabel177">
    <w:name w:val="ListLabel 177"/>
    <w:qFormat/>
    <w:rPr>
      <w:rFonts w:cs="Times New Roman"/>
    </w:rPr>
  </w:style>
  <w:style w:type="character" w:styleId="ListLabel178">
    <w:name w:val="ListLabel 178"/>
    <w:qFormat/>
    <w:rPr>
      <w:rFonts w:cs="Times New Roman"/>
    </w:rPr>
  </w:style>
  <w:style w:type="character" w:styleId="ListLabel179">
    <w:name w:val="ListLabel 179"/>
    <w:qFormat/>
    <w:rPr>
      <w:rFonts w:cs="Times New Roman"/>
    </w:rPr>
  </w:style>
  <w:style w:type="character" w:styleId="ListLabel180">
    <w:name w:val="ListLabel 180"/>
    <w:qFormat/>
    <w:rPr>
      <w:rFonts w:cs="Times New Roman"/>
    </w:rPr>
  </w:style>
  <w:style w:type="character" w:styleId="ListLabel181">
    <w:name w:val="ListLabel 181"/>
    <w:qFormat/>
    <w:rPr>
      <w:rFonts w:cs="Times New Roman"/>
      <w:b w:val="false"/>
    </w:rPr>
  </w:style>
  <w:style w:type="character" w:styleId="ListLabel182">
    <w:name w:val="ListLabel 182"/>
    <w:qFormat/>
    <w:rPr>
      <w:rFonts w:cs="Times New Roman"/>
    </w:rPr>
  </w:style>
  <w:style w:type="character" w:styleId="ListLabel183">
    <w:name w:val="ListLabel 183"/>
    <w:qFormat/>
    <w:rPr>
      <w:rFonts w:cs="Times New Roman"/>
    </w:rPr>
  </w:style>
  <w:style w:type="character" w:styleId="ListLabel184">
    <w:name w:val="ListLabel 184"/>
    <w:qFormat/>
    <w:rPr>
      <w:rFonts w:cs="Times New Roman"/>
    </w:rPr>
  </w:style>
  <w:style w:type="character" w:styleId="ListLabel185">
    <w:name w:val="ListLabel 185"/>
    <w:qFormat/>
    <w:rPr>
      <w:rFonts w:cs="Times New Roman"/>
    </w:rPr>
  </w:style>
  <w:style w:type="character" w:styleId="ListLabel186">
    <w:name w:val="ListLabel 186"/>
    <w:qFormat/>
    <w:rPr>
      <w:rFonts w:cs="Times New Roman"/>
    </w:rPr>
  </w:style>
  <w:style w:type="character" w:styleId="ListLabel187">
    <w:name w:val="ListLabel 187"/>
    <w:qFormat/>
    <w:rPr>
      <w:rFonts w:cs="Times New Roman"/>
    </w:rPr>
  </w:style>
  <w:style w:type="character" w:styleId="ListLabel188">
    <w:name w:val="ListLabel 188"/>
    <w:qFormat/>
    <w:rPr>
      <w:rFonts w:cs="Times New Roman"/>
    </w:rPr>
  </w:style>
  <w:style w:type="character" w:styleId="ListLabel189">
    <w:name w:val="ListLabel 189"/>
    <w:qFormat/>
    <w:rPr>
      <w:rFonts w:cs="Times New Roman"/>
    </w:rPr>
  </w:style>
  <w:style w:type="character" w:styleId="ListLabel190">
    <w:name w:val="ListLabel 190"/>
    <w:qFormat/>
    <w:rPr>
      <w:rFonts w:ascii="Arial" w:hAnsi="Arial" w:cs="Times New Roman"/>
      <w:b/>
      <w:sz w:val="24"/>
    </w:rPr>
  </w:style>
  <w:style w:type="character" w:styleId="ListLabel191">
    <w:name w:val="ListLabel 191"/>
    <w:qFormat/>
    <w:rPr>
      <w:rFonts w:cs="Times New Roman"/>
    </w:rPr>
  </w:style>
  <w:style w:type="character" w:styleId="ListLabel192">
    <w:name w:val="ListLabel 192"/>
    <w:qFormat/>
    <w:rPr>
      <w:rFonts w:cs="Times New Roman"/>
    </w:rPr>
  </w:style>
  <w:style w:type="character" w:styleId="ListLabel193">
    <w:name w:val="ListLabel 193"/>
    <w:qFormat/>
    <w:rPr>
      <w:rFonts w:cs="Times New Roman"/>
    </w:rPr>
  </w:style>
  <w:style w:type="character" w:styleId="ListLabel194">
    <w:name w:val="ListLabel 194"/>
    <w:qFormat/>
    <w:rPr>
      <w:rFonts w:cs="Times New Roman"/>
    </w:rPr>
  </w:style>
  <w:style w:type="character" w:styleId="ListLabel195">
    <w:name w:val="ListLabel 195"/>
    <w:qFormat/>
    <w:rPr>
      <w:rFonts w:cs="Times New Roman"/>
    </w:rPr>
  </w:style>
  <w:style w:type="character" w:styleId="ListLabel196">
    <w:name w:val="ListLabel 196"/>
    <w:qFormat/>
    <w:rPr>
      <w:rFonts w:cs="Times New Roman"/>
    </w:rPr>
  </w:style>
  <w:style w:type="character" w:styleId="ListLabel197">
    <w:name w:val="ListLabel 197"/>
    <w:qFormat/>
    <w:rPr>
      <w:rFonts w:cs="Times New Roman"/>
    </w:rPr>
  </w:style>
  <w:style w:type="character" w:styleId="ListLabel198">
    <w:name w:val="ListLabel 198"/>
    <w:qFormat/>
    <w:rPr>
      <w:rFonts w:cs="Times New Roman"/>
    </w:rPr>
  </w:style>
  <w:style w:type="character" w:styleId="ListLabel199">
    <w:name w:val="ListLabel 199"/>
    <w:qFormat/>
    <w:rPr>
      <w:rFonts w:ascii="Arial" w:hAnsi="Arial" w:cs="Times New Roman"/>
      <w:sz w:val="24"/>
    </w:rPr>
  </w:style>
  <w:style w:type="character" w:styleId="ListLabel200">
    <w:name w:val="ListLabel 200"/>
    <w:qFormat/>
    <w:rPr>
      <w:rFonts w:cs="Times New Roman"/>
    </w:rPr>
  </w:style>
  <w:style w:type="character" w:styleId="ListLabel201">
    <w:name w:val="ListLabel 201"/>
    <w:qFormat/>
    <w:rPr>
      <w:rFonts w:cs="Times New Roman"/>
    </w:rPr>
  </w:style>
  <w:style w:type="character" w:styleId="ListLabel202">
    <w:name w:val="ListLabel 202"/>
    <w:qFormat/>
    <w:rPr>
      <w:rFonts w:cs="Times New Roman"/>
    </w:rPr>
  </w:style>
  <w:style w:type="character" w:styleId="ListLabel203">
    <w:name w:val="ListLabel 203"/>
    <w:qFormat/>
    <w:rPr>
      <w:rFonts w:cs="Times New Roman"/>
    </w:rPr>
  </w:style>
  <w:style w:type="character" w:styleId="ListLabel204">
    <w:name w:val="ListLabel 204"/>
    <w:qFormat/>
    <w:rPr>
      <w:rFonts w:cs="Times New Roman"/>
    </w:rPr>
  </w:style>
  <w:style w:type="character" w:styleId="ListLabel205">
    <w:name w:val="ListLabel 205"/>
    <w:qFormat/>
    <w:rPr>
      <w:rFonts w:cs="Times New Roman"/>
    </w:rPr>
  </w:style>
  <w:style w:type="character" w:styleId="ListLabel206">
    <w:name w:val="ListLabel 206"/>
    <w:qFormat/>
    <w:rPr>
      <w:rFonts w:cs="Times New Roman"/>
    </w:rPr>
  </w:style>
  <w:style w:type="character" w:styleId="ListLabel207">
    <w:name w:val="ListLabel 207"/>
    <w:qFormat/>
    <w:rPr>
      <w:rFonts w:cs="Times New Roman"/>
    </w:rPr>
  </w:style>
  <w:style w:type="character" w:styleId="ListLabel208">
    <w:name w:val="ListLabel 208"/>
    <w:qFormat/>
    <w:rPr>
      <w:rFonts w:ascii="Arial" w:hAnsi="Arial" w:cs="Times New Roman"/>
      <w:sz w:val="24"/>
    </w:rPr>
  </w:style>
  <w:style w:type="character" w:styleId="ListLabel209">
    <w:name w:val="ListLabel 209"/>
    <w:qFormat/>
    <w:rPr>
      <w:rFonts w:cs="Times New Roman"/>
    </w:rPr>
  </w:style>
  <w:style w:type="character" w:styleId="ListLabel210">
    <w:name w:val="ListLabel 210"/>
    <w:qFormat/>
    <w:rPr>
      <w:rFonts w:cs="Times New Roman"/>
    </w:rPr>
  </w:style>
  <w:style w:type="character" w:styleId="ListLabel211">
    <w:name w:val="ListLabel 211"/>
    <w:qFormat/>
    <w:rPr>
      <w:rFonts w:cs="Times New Roman"/>
    </w:rPr>
  </w:style>
  <w:style w:type="character" w:styleId="ListLabel212">
    <w:name w:val="ListLabel 212"/>
    <w:qFormat/>
    <w:rPr>
      <w:rFonts w:cs="Times New Roman"/>
    </w:rPr>
  </w:style>
  <w:style w:type="character" w:styleId="ListLabel213">
    <w:name w:val="ListLabel 213"/>
    <w:qFormat/>
    <w:rPr>
      <w:rFonts w:cs="Times New Roman"/>
    </w:rPr>
  </w:style>
  <w:style w:type="character" w:styleId="ListLabel214">
    <w:name w:val="ListLabel 214"/>
    <w:qFormat/>
    <w:rPr>
      <w:rFonts w:cs="Times New Roman"/>
    </w:rPr>
  </w:style>
  <w:style w:type="character" w:styleId="ListLabel215">
    <w:name w:val="ListLabel 215"/>
    <w:qFormat/>
    <w:rPr>
      <w:rFonts w:cs="Times New Roman"/>
    </w:rPr>
  </w:style>
  <w:style w:type="character" w:styleId="ListLabel216">
    <w:name w:val="ListLabel 216"/>
    <w:qFormat/>
    <w:rPr>
      <w:rFonts w:cs="Times New Roman"/>
    </w:rPr>
  </w:style>
  <w:style w:type="character" w:styleId="ListLabel217">
    <w:name w:val="ListLabel 217"/>
    <w:qFormat/>
    <w:rPr>
      <w:rFonts w:ascii="Arial" w:hAnsi="Arial" w:cs="Times New Roman"/>
      <w:sz w:val="24"/>
    </w:rPr>
  </w:style>
  <w:style w:type="character" w:styleId="ListLabel218">
    <w:name w:val="ListLabel 218"/>
    <w:qFormat/>
    <w:rPr>
      <w:rFonts w:cs="Times New Roman"/>
    </w:rPr>
  </w:style>
  <w:style w:type="character" w:styleId="ListLabel219">
    <w:name w:val="ListLabel 219"/>
    <w:qFormat/>
    <w:rPr>
      <w:rFonts w:cs="Times New Roman"/>
    </w:rPr>
  </w:style>
  <w:style w:type="character" w:styleId="ListLabel220">
    <w:name w:val="ListLabel 220"/>
    <w:qFormat/>
    <w:rPr>
      <w:rFonts w:cs="Times New Roman"/>
    </w:rPr>
  </w:style>
  <w:style w:type="character" w:styleId="ListLabel221">
    <w:name w:val="ListLabel 221"/>
    <w:qFormat/>
    <w:rPr>
      <w:rFonts w:cs="Times New Roman"/>
    </w:rPr>
  </w:style>
  <w:style w:type="character" w:styleId="ListLabel222">
    <w:name w:val="ListLabel 222"/>
    <w:qFormat/>
    <w:rPr>
      <w:rFonts w:cs="Times New Roman"/>
    </w:rPr>
  </w:style>
  <w:style w:type="character" w:styleId="ListLabel223">
    <w:name w:val="ListLabel 223"/>
    <w:qFormat/>
    <w:rPr>
      <w:rFonts w:cs="Times New Roman"/>
    </w:rPr>
  </w:style>
  <w:style w:type="character" w:styleId="ListLabel224">
    <w:name w:val="ListLabel 224"/>
    <w:qFormat/>
    <w:rPr>
      <w:rFonts w:cs="Times New Roman"/>
    </w:rPr>
  </w:style>
  <w:style w:type="character" w:styleId="ListLabel225">
    <w:name w:val="ListLabel 225"/>
    <w:qFormat/>
    <w:rPr>
      <w:rFonts w:cs="Times New Roman"/>
    </w:rPr>
  </w:style>
  <w:style w:type="character" w:styleId="ListLabel226">
    <w:name w:val="ListLabel 226"/>
    <w:qFormat/>
    <w:rPr>
      <w:rFonts w:ascii="Arial" w:hAnsi="Arial" w:cs="Times New Roman"/>
      <w:b/>
      <w:sz w:val="24"/>
    </w:rPr>
  </w:style>
  <w:style w:type="character" w:styleId="ListLabel227">
    <w:name w:val="ListLabel 227"/>
    <w:qFormat/>
    <w:rPr>
      <w:rFonts w:cs="Times New Roman"/>
    </w:rPr>
  </w:style>
  <w:style w:type="character" w:styleId="ListLabel228">
    <w:name w:val="ListLabel 228"/>
    <w:qFormat/>
    <w:rPr>
      <w:rFonts w:cs="Times New Roman"/>
    </w:rPr>
  </w:style>
  <w:style w:type="character" w:styleId="ListLabel229">
    <w:name w:val="ListLabel 229"/>
    <w:qFormat/>
    <w:rPr>
      <w:rFonts w:cs="Times New Roman"/>
    </w:rPr>
  </w:style>
  <w:style w:type="character" w:styleId="ListLabel230">
    <w:name w:val="ListLabel 230"/>
    <w:qFormat/>
    <w:rPr>
      <w:rFonts w:cs="Times New Roman"/>
    </w:rPr>
  </w:style>
  <w:style w:type="character" w:styleId="ListLabel231">
    <w:name w:val="ListLabel 231"/>
    <w:qFormat/>
    <w:rPr>
      <w:rFonts w:cs="Times New Roman"/>
    </w:rPr>
  </w:style>
  <w:style w:type="character" w:styleId="ListLabel232">
    <w:name w:val="ListLabel 232"/>
    <w:qFormat/>
    <w:rPr>
      <w:rFonts w:cs="Times New Roman"/>
    </w:rPr>
  </w:style>
  <w:style w:type="character" w:styleId="ListLabel233">
    <w:name w:val="ListLabel 233"/>
    <w:qFormat/>
    <w:rPr>
      <w:rFonts w:cs="Times New Roman"/>
    </w:rPr>
  </w:style>
  <w:style w:type="character" w:styleId="ListLabel234">
    <w:name w:val="ListLabel 234"/>
    <w:qFormat/>
    <w:rPr>
      <w:rFonts w:cs="Times New Roman"/>
    </w:rPr>
  </w:style>
  <w:style w:type="character" w:styleId="ListLabel235">
    <w:name w:val="ListLabel 235"/>
    <w:qFormat/>
    <w:rPr>
      <w:rFonts w:ascii="Arial" w:hAnsi="Arial" w:cs="Times New Roman"/>
      <w:sz w:val="24"/>
    </w:rPr>
  </w:style>
  <w:style w:type="character" w:styleId="ListLabel236">
    <w:name w:val="ListLabel 236"/>
    <w:qFormat/>
    <w:rPr>
      <w:rFonts w:cs="Times New Roman"/>
    </w:rPr>
  </w:style>
  <w:style w:type="character" w:styleId="ListLabel237">
    <w:name w:val="ListLabel 237"/>
    <w:qFormat/>
    <w:rPr>
      <w:rFonts w:cs="Times New Roman"/>
    </w:rPr>
  </w:style>
  <w:style w:type="character" w:styleId="ListLabel238">
    <w:name w:val="ListLabel 238"/>
    <w:qFormat/>
    <w:rPr>
      <w:rFonts w:cs="Times New Roman"/>
    </w:rPr>
  </w:style>
  <w:style w:type="character" w:styleId="ListLabel239">
    <w:name w:val="ListLabel 239"/>
    <w:qFormat/>
    <w:rPr>
      <w:rFonts w:cs="Times New Roman"/>
    </w:rPr>
  </w:style>
  <w:style w:type="character" w:styleId="ListLabel240">
    <w:name w:val="ListLabel 240"/>
    <w:qFormat/>
    <w:rPr>
      <w:rFonts w:cs="Times New Roman"/>
    </w:rPr>
  </w:style>
  <w:style w:type="character" w:styleId="ListLabel241">
    <w:name w:val="ListLabel 241"/>
    <w:qFormat/>
    <w:rPr>
      <w:rFonts w:cs="Times New Roman"/>
    </w:rPr>
  </w:style>
  <w:style w:type="character" w:styleId="ListLabel242">
    <w:name w:val="ListLabel 242"/>
    <w:qFormat/>
    <w:rPr>
      <w:rFonts w:cs="Times New Roman"/>
    </w:rPr>
  </w:style>
  <w:style w:type="character" w:styleId="ListLabel243">
    <w:name w:val="ListLabel 243"/>
    <w:qFormat/>
    <w:rPr>
      <w:rFonts w:cs="Times New Roman"/>
    </w:rPr>
  </w:style>
  <w:style w:type="character" w:styleId="ListLabel244">
    <w:name w:val="ListLabel 244"/>
    <w:qFormat/>
    <w:rPr>
      <w:rFonts w:ascii="Arial" w:hAnsi="Arial" w:cs="Times New Roman"/>
      <w:sz w:val="24"/>
    </w:rPr>
  </w:style>
  <w:style w:type="character" w:styleId="ListLabel245">
    <w:name w:val="ListLabel 245"/>
    <w:qFormat/>
    <w:rPr>
      <w:rFonts w:ascii="Arial" w:hAnsi="Arial" w:cs="Times New Roman"/>
      <w:b/>
      <w:sz w:val="24"/>
    </w:rPr>
  </w:style>
  <w:style w:type="character" w:styleId="ListLabel246">
    <w:name w:val="ListLabel 246"/>
    <w:qFormat/>
    <w:rPr>
      <w:rFonts w:cs="Times New Roman"/>
    </w:rPr>
  </w:style>
  <w:style w:type="character" w:styleId="ListLabel247">
    <w:name w:val="ListLabel 247"/>
    <w:qFormat/>
    <w:rPr>
      <w:rFonts w:cs="Arial"/>
    </w:rPr>
  </w:style>
  <w:style w:type="character" w:styleId="ListLabel248">
    <w:name w:val="ListLabel 248"/>
    <w:qFormat/>
    <w:rPr>
      <w:rFonts w:cs="Times New Roman"/>
    </w:rPr>
  </w:style>
  <w:style w:type="character" w:styleId="ListLabel249">
    <w:name w:val="ListLabel 249"/>
    <w:qFormat/>
    <w:rPr>
      <w:rFonts w:cs="Times New Roman"/>
    </w:rPr>
  </w:style>
  <w:style w:type="character" w:styleId="ListLabel250">
    <w:name w:val="ListLabel 250"/>
    <w:qFormat/>
    <w:rPr>
      <w:rFonts w:cs="Times New Roman"/>
    </w:rPr>
  </w:style>
  <w:style w:type="character" w:styleId="ListLabel251">
    <w:name w:val="ListLabel 251"/>
    <w:qFormat/>
    <w:rPr>
      <w:rFonts w:cs="Times New Roman"/>
    </w:rPr>
  </w:style>
  <w:style w:type="character" w:styleId="ListLabel252">
    <w:name w:val="ListLabel 252"/>
    <w:qFormat/>
    <w:rPr>
      <w:rFonts w:cs="Times New Roman"/>
    </w:rPr>
  </w:style>
  <w:style w:type="character" w:styleId="ListLabel253">
    <w:name w:val="ListLabel 253"/>
    <w:qFormat/>
    <w:rPr>
      <w:rFonts w:ascii="Arial" w:hAnsi="Arial" w:cs="Times New Roman"/>
      <w:sz w:val="24"/>
    </w:rPr>
  </w:style>
  <w:style w:type="character" w:styleId="ListLabel254">
    <w:name w:val="ListLabel 254"/>
    <w:qFormat/>
    <w:rPr>
      <w:rFonts w:cs="Times New Roman"/>
    </w:rPr>
  </w:style>
  <w:style w:type="character" w:styleId="ListLabel255">
    <w:name w:val="ListLabel 255"/>
    <w:qFormat/>
    <w:rPr>
      <w:rFonts w:cs="Times New Roman"/>
    </w:rPr>
  </w:style>
  <w:style w:type="character" w:styleId="ListLabel256">
    <w:name w:val="ListLabel 256"/>
    <w:qFormat/>
    <w:rPr>
      <w:rFonts w:cs="Times New Roman"/>
    </w:rPr>
  </w:style>
  <w:style w:type="character" w:styleId="ListLabel257">
    <w:name w:val="ListLabel 257"/>
    <w:qFormat/>
    <w:rPr>
      <w:rFonts w:cs="Times New Roman"/>
    </w:rPr>
  </w:style>
  <w:style w:type="character" w:styleId="ListLabel258">
    <w:name w:val="ListLabel 258"/>
    <w:qFormat/>
    <w:rPr>
      <w:rFonts w:cs="Times New Roman"/>
    </w:rPr>
  </w:style>
  <w:style w:type="character" w:styleId="ListLabel259">
    <w:name w:val="ListLabel 259"/>
    <w:qFormat/>
    <w:rPr>
      <w:rFonts w:cs="Times New Roman"/>
    </w:rPr>
  </w:style>
  <w:style w:type="character" w:styleId="ListLabel260">
    <w:name w:val="ListLabel 260"/>
    <w:qFormat/>
    <w:rPr>
      <w:rFonts w:cs="Times New Roman"/>
    </w:rPr>
  </w:style>
  <w:style w:type="character" w:styleId="ListLabel261">
    <w:name w:val="ListLabel 261"/>
    <w:qFormat/>
    <w:rPr>
      <w:rFonts w:cs="Times New Roman"/>
    </w:rPr>
  </w:style>
  <w:style w:type="character" w:styleId="ListLabel262">
    <w:name w:val="ListLabel 262"/>
    <w:qFormat/>
    <w:rPr>
      <w:rFonts w:ascii="Arial" w:hAnsi="Arial" w:cs="Times New Roman"/>
      <w:sz w:val="24"/>
    </w:rPr>
  </w:style>
  <w:style w:type="character" w:styleId="ListLabel263">
    <w:name w:val="ListLabel 263"/>
    <w:qFormat/>
    <w:rPr>
      <w:rFonts w:cs="Times New Roman"/>
    </w:rPr>
  </w:style>
  <w:style w:type="character" w:styleId="ListLabel264">
    <w:name w:val="ListLabel 264"/>
    <w:qFormat/>
    <w:rPr>
      <w:rFonts w:cs="Times New Roman"/>
    </w:rPr>
  </w:style>
  <w:style w:type="character" w:styleId="ListLabel265">
    <w:name w:val="ListLabel 265"/>
    <w:qFormat/>
    <w:rPr>
      <w:rFonts w:cs="Times New Roman"/>
    </w:rPr>
  </w:style>
  <w:style w:type="character" w:styleId="ListLabel266">
    <w:name w:val="ListLabel 266"/>
    <w:qFormat/>
    <w:rPr>
      <w:rFonts w:cs="Times New Roman"/>
    </w:rPr>
  </w:style>
  <w:style w:type="character" w:styleId="ListLabel267">
    <w:name w:val="ListLabel 267"/>
    <w:qFormat/>
    <w:rPr>
      <w:rFonts w:cs="Times New Roman"/>
    </w:rPr>
  </w:style>
  <w:style w:type="character" w:styleId="ListLabel268">
    <w:name w:val="ListLabel 268"/>
    <w:qFormat/>
    <w:rPr>
      <w:rFonts w:cs="Times New Roman"/>
    </w:rPr>
  </w:style>
  <w:style w:type="character" w:styleId="ListLabel269">
    <w:name w:val="ListLabel 269"/>
    <w:qFormat/>
    <w:rPr>
      <w:rFonts w:cs="Times New Roman"/>
    </w:rPr>
  </w:style>
  <w:style w:type="character" w:styleId="ListLabel270">
    <w:name w:val="ListLabel 270"/>
    <w:qFormat/>
    <w:rPr>
      <w:rFonts w:cs="Times New Roman"/>
    </w:rPr>
  </w:style>
  <w:style w:type="character" w:styleId="ListLabel271">
    <w:name w:val="ListLabel 271"/>
    <w:qFormat/>
    <w:rPr>
      <w:rFonts w:ascii="Arial" w:hAnsi="Arial" w:cs="Times New Roman"/>
      <w:sz w:val="24"/>
    </w:rPr>
  </w:style>
  <w:style w:type="character" w:styleId="ListLabel272">
    <w:name w:val="ListLabel 272"/>
    <w:qFormat/>
    <w:rPr>
      <w:rFonts w:cs="Times New Roman"/>
    </w:rPr>
  </w:style>
  <w:style w:type="character" w:styleId="ListLabel273">
    <w:name w:val="ListLabel 273"/>
    <w:qFormat/>
    <w:rPr>
      <w:rFonts w:cs="Times New Roman"/>
    </w:rPr>
  </w:style>
  <w:style w:type="character" w:styleId="ListLabel274">
    <w:name w:val="ListLabel 274"/>
    <w:qFormat/>
    <w:rPr>
      <w:rFonts w:cs="Times New Roman"/>
    </w:rPr>
  </w:style>
  <w:style w:type="character" w:styleId="ListLabel275">
    <w:name w:val="ListLabel 275"/>
    <w:qFormat/>
    <w:rPr>
      <w:rFonts w:cs="Times New Roman"/>
    </w:rPr>
  </w:style>
  <w:style w:type="character" w:styleId="ListLabel276">
    <w:name w:val="ListLabel 276"/>
    <w:qFormat/>
    <w:rPr>
      <w:rFonts w:cs="Times New Roman"/>
    </w:rPr>
  </w:style>
  <w:style w:type="character" w:styleId="ListLabel277">
    <w:name w:val="ListLabel 277"/>
    <w:qFormat/>
    <w:rPr>
      <w:rFonts w:cs="Times New Roman"/>
    </w:rPr>
  </w:style>
  <w:style w:type="character" w:styleId="ListLabel278">
    <w:name w:val="ListLabel 278"/>
    <w:qFormat/>
    <w:rPr>
      <w:rFonts w:cs="Times New Roman"/>
    </w:rPr>
  </w:style>
  <w:style w:type="character" w:styleId="ListLabel279">
    <w:name w:val="ListLabel 279"/>
    <w:qFormat/>
    <w:rPr>
      <w:rFonts w:cs="Times New Roman"/>
    </w:rPr>
  </w:style>
  <w:style w:type="character" w:styleId="ListLabel280">
    <w:name w:val="ListLabel 280"/>
    <w:qFormat/>
    <w:rPr>
      <w:rFonts w:ascii="Arial" w:hAnsi="Arial" w:cs="Times New Roman"/>
      <w:sz w:val="24"/>
    </w:rPr>
  </w:style>
  <w:style w:type="character" w:styleId="ListLabel281">
    <w:name w:val="ListLabel 281"/>
    <w:qFormat/>
    <w:rPr>
      <w:rFonts w:cs="Times New Roman"/>
    </w:rPr>
  </w:style>
  <w:style w:type="character" w:styleId="ListLabel282">
    <w:name w:val="ListLabel 282"/>
    <w:qFormat/>
    <w:rPr>
      <w:rFonts w:cs="Times New Roman"/>
    </w:rPr>
  </w:style>
  <w:style w:type="character" w:styleId="ListLabel283">
    <w:name w:val="ListLabel 283"/>
    <w:qFormat/>
    <w:rPr>
      <w:rFonts w:cs="Times New Roman"/>
    </w:rPr>
  </w:style>
  <w:style w:type="character" w:styleId="ListLabel284">
    <w:name w:val="ListLabel 284"/>
    <w:qFormat/>
    <w:rPr>
      <w:rFonts w:cs="Times New Roman"/>
    </w:rPr>
  </w:style>
  <w:style w:type="character" w:styleId="ListLabel285">
    <w:name w:val="ListLabel 285"/>
    <w:qFormat/>
    <w:rPr>
      <w:rFonts w:cs="Times New Roman"/>
    </w:rPr>
  </w:style>
  <w:style w:type="character" w:styleId="ListLabel286">
    <w:name w:val="ListLabel 286"/>
    <w:qFormat/>
    <w:rPr>
      <w:rFonts w:cs="Times New Roman"/>
    </w:rPr>
  </w:style>
  <w:style w:type="character" w:styleId="ListLabel287">
    <w:name w:val="ListLabel 287"/>
    <w:qFormat/>
    <w:rPr>
      <w:rFonts w:cs="Times New Roman"/>
    </w:rPr>
  </w:style>
  <w:style w:type="character" w:styleId="ListLabel288">
    <w:name w:val="ListLabel 288"/>
    <w:qFormat/>
    <w:rPr>
      <w:rFonts w:cs="Times New Roman"/>
    </w:rPr>
  </w:style>
  <w:style w:type="character" w:styleId="ListLabel289">
    <w:name w:val="ListLabel 289"/>
    <w:qFormat/>
    <w:rPr>
      <w:rFonts w:ascii="Arial" w:hAnsi="Arial" w:cs="Times New Roman"/>
      <w:b/>
      <w:sz w:val="24"/>
    </w:rPr>
  </w:style>
  <w:style w:type="character" w:styleId="ListLabel290">
    <w:name w:val="ListLabel 290"/>
    <w:qFormat/>
    <w:rPr>
      <w:rFonts w:cs="Times New Roman"/>
    </w:rPr>
  </w:style>
  <w:style w:type="character" w:styleId="ListLabel291">
    <w:name w:val="ListLabel 291"/>
    <w:qFormat/>
    <w:rPr>
      <w:rFonts w:cs="Times New Roman"/>
    </w:rPr>
  </w:style>
  <w:style w:type="character" w:styleId="ListLabel292">
    <w:name w:val="ListLabel 292"/>
    <w:qFormat/>
    <w:rPr>
      <w:rFonts w:cs="Times New Roman"/>
    </w:rPr>
  </w:style>
  <w:style w:type="character" w:styleId="ListLabel293">
    <w:name w:val="ListLabel 293"/>
    <w:qFormat/>
    <w:rPr>
      <w:rFonts w:cs="Times New Roman"/>
    </w:rPr>
  </w:style>
  <w:style w:type="character" w:styleId="ListLabel294">
    <w:name w:val="ListLabel 294"/>
    <w:qFormat/>
    <w:rPr>
      <w:rFonts w:cs="Times New Roman"/>
    </w:rPr>
  </w:style>
  <w:style w:type="character" w:styleId="ListLabel295">
    <w:name w:val="ListLabel 295"/>
    <w:qFormat/>
    <w:rPr>
      <w:rFonts w:cs="Times New Roman"/>
    </w:rPr>
  </w:style>
  <w:style w:type="character" w:styleId="ListLabel296">
    <w:name w:val="ListLabel 296"/>
    <w:qFormat/>
    <w:rPr>
      <w:rFonts w:cs="Times New Roman"/>
    </w:rPr>
  </w:style>
  <w:style w:type="character" w:styleId="ListLabel297">
    <w:name w:val="ListLabel 297"/>
    <w:qFormat/>
    <w:rPr>
      <w:rFonts w:cs="Times New Roman"/>
    </w:rPr>
  </w:style>
  <w:style w:type="character" w:styleId="ListLabel298">
    <w:name w:val="ListLabel 298"/>
    <w:qFormat/>
    <w:rPr>
      <w:rFonts w:ascii="Arial" w:hAnsi="Arial" w:cs="Times New Roman"/>
      <w:sz w:val="24"/>
    </w:rPr>
  </w:style>
  <w:style w:type="character" w:styleId="ListLabel299">
    <w:name w:val="ListLabel 299"/>
    <w:qFormat/>
    <w:rPr>
      <w:rFonts w:cs="Times New Roman"/>
      <w:b/>
    </w:rPr>
  </w:style>
  <w:style w:type="character" w:styleId="ListLabel300">
    <w:name w:val="ListLabel 300"/>
    <w:qFormat/>
    <w:rPr>
      <w:rFonts w:cs="Times New Roman"/>
    </w:rPr>
  </w:style>
  <w:style w:type="character" w:styleId="ListLabel301">
    <w:name w:val="ListLabel 301"/>
    <w:qFormat/>
    <w:rPr>
      <w:rFonts w:cs="Times New Roman"/>
    </w:rPr>
  </w:style>
  <w:style w:type="character" w:styleId="ListLabel302">
    <w:name w:val="ListLabel 302"/>
    <w:qFormat/>
    <w:rPr>
      <w:rFonts w:cs="Times New Roman"/>
    </w:rPr>
  </w:style>
  <w:style w:type="character" w:styleId="ListLabel303">
    <w:name w:val="ListLabel 303"/>
    <w:qFormat/>
    <w:rPr>
      <w:rFonts w:cs="Times New Roman"/>
    </w:rPr>
  </w:style>
  <w:style w:type="character" w:styleId="ListLabel304">
    <w:name w:val="ListLabel 304"/>
    <w:qFormat/>
    <w:rPr>
      <w:rFonts w:cs="Times New Roman"/>
    </w:rPr>
  </w:style>
  <w:style w:type="character" w:styleId="ListLabel305">
    <w:name w:val="ListLabel 305"/>
    <w:qFormat/>
    <w:rPr>
      <w:rFonts w:cs="Times New Roman"/>
    </w:rPr>
  </w:style>
  <w:style w:type="character" w:styleId="ListLabel306">
    <w:name w:val="ListLabel 306"/>
    <w:qFormat/>
    <w:rPr>
      <w:rFonts w:cs="Times New Roman"/>
    </w:rPr>
  </w:style>
  <w:style w:type="character" w:styleId="ListLabel307">
    <w:name w:val="ListLabel 307"/>
    <w:qFormat/>
    <w:rPr>
      <w:rFonts w:cs="Times New Roman"/>
    </w:rPr>
  </w:style>
  <w:style w:type="character" w:styleId="ListLabel308">
    <w:name w:val="ListLabel 308"/>
    <w:qFormat/>
    <w:rPr>
      <w:rFonts w:cs="Times New Roman"/>
    </w:rPr>
  </w:style>
  <w:style w:type="character" w:styleId="ListLabel309">
    <w:name w:val="ListLabel 309"/>
    <w:qFormat/>
    <w:rPr>
      <w:rFonts w:cs="Times New Roman"/>
    </w:rPr>
  </w:style>
  <w:style w:type="character" w:styleId="ListLabel310">
    <w:name w:val="ListLabel 310"/>
    <w:qFormat/>
    <w:rPr>
      <w:rFonts w:cs="Times New Roman"/>
    </w:rPr>
  </w:style>
  <w:style w:type="character" w:styleId="ListLabel311">
    <w:name w:val="ListLabel 311"/>
    <w:qFormat/>
    <w:rPr>
      <w:rFonts w:cs="Times New Roman"/>
    </w:rPr>
  </w:style>
  <w:style w:type="character" w:styleId="ListLabel312">
    <w:name w:val="ListLabel 312"/>
    <w:qFormat/>
    <w:rPr>
      <w:rFonts w:cs="Times New Roman"/>
    </w:rPr>
  </w:style>
  <w:style w:type="character" w:styleId="ListLabel313">
    <w:name w:val="ListLabel 313"/>
    <w:qFormat/>
    <w:rPr>
      <w:rFonts w:cs="Times New Roman"/>
    </w:rPr>
  </w:style>
  <w:style w:type="character" w:styleId="ListLabel314">
    <w:name w:val="ListLabel 314"/>
    <w:qFormat/>
    <w:rPr>
      <w:rFonts w:cs="Times New Roman"/>
    </w:rPr>
  </w:style>
  <w:style w:type="character" w:styleId="ListLabel315">
    <w:name w:val="ListLabel 315"/>
    <w:qFormat/>
    <w:rPr>
      <w:rFonts w:cs="Times New Roman"/>
    </w:rPr>
  </w:style>
  <w:style w:type="character" w:styleId="ListLabel316">
    <w:name w:val="ListLabel 316"/>
    <w:qFormat/>
    <w:rPr>
      <w:rFonts w:ascii="Arial" w:hAnsi="Arial" w:cs="Times New Roman"/>
      <w:sz w:val="24"/>
    </w:rPr>
  </w:style>
  <w:style w:type="character" w:styleId="ListLabel317">
    <w:name w:val="ListLabel 317"/>
    <w:qFormat/>
    <w:rPr>
      <w:rFonts w:cs="Times New Roman"/>
    </w:rPr>
  </w:style>
  <w:style w:type="character" w:styleId="ListLabel318">
    <w:name w:val="ListLabel 318"/>
    <w:qFormat/>
    <w:rPr>
      <w:rFonts w:cs="Times New Roman"/>
    </w:rPr>
  </w:style>
  <w:style w:type="character" w:styleId="ListLabel319">
    <w:name w:val="ListLabel 319"/>
    <w:qFormat/>
    <w:rPr>
      <w:rFonts w:cs="Times New Roman"/>
    </w:rPr>
  </w:style>
  <w:style w:type="character" w:styleId="ListLabel320">
    <w:name w:val="ListLabel 320"/>
    <w:qFormat/>
    <w:rPr>
      <w:rFonts w:cs="Times New Roman"/>
    </w:rPr>
  </w:style>
  <w:style w:type="character" w:styleId="ListLabel321">
    <w:name w:val="ListLabel 321"/>
    <w:qFormat/>
    <w:rPr>
      <w:rFonts w:cs="Times New Roman"/>
    </w:rPr>
  </w:style>
  <w:style w:type="character" w:styleId="ListLabel322">
    <w:name w:val="ListLabel 322"/>
    <w:qFormat/>
    <w:rPr>
      <w:rFonts w:cs="Times New Roman"/>
    </w:rPr>
  </w:style>
  <w:style w:type="character" w:styleId="ListLabel323">
    <w:name w:val="ListLabel 323"/>
    <w:qFormat/>
    <w:rPr>
      <w:rFonts w:cs="Times New Roman"/>
    </w:rPr>
  </w:style>
  <w:style w:type="character" w:styleId="ListLabel324">
    <w:name w:val="ListLabel 324"/>
    <w:qFormat/>
    <w:rPr>
      <w:rFonts w:cs="Times New Roman"/>
    </w:rPr>
  </w:style>
  <w:style w:type="character" w:styleId="ListLabel325">
    <w:name w:val="ListLabel 325"/>
    <w:qFormat/>
    <w:rPr>
      <w:rFonts w:ascii="Arial" w:hAnsi="Arial" w:cs="Times New Roman"/>
      <w:sz w:val="24"/>
    </w:rPr>
  </w:style>
  <w:style w:type="character" w:styleId="ListLabel326">
    <w:name w:val="ListLabel 326"/>
    <w:qFormat/>
    <w:rPr>
      <w:rFonts w:cs="Times New Roman"/>
    </w:rPr>
  </w:style>
  <w:style w:type="character" w:styleId="ListLabel327">
    <w:name w:val="ListLabel 327"/>
    <w:qFormat/>
    <w:rPr>
      <w:rFonts w:cs="Times New Roman"/>
    </w:rPr>
  </w:style>
  <w:style w:type="character" w:styleId="ListLabel328">
    <w:name w:val="ListLabel 328"/>
    <w:qFormat/>
    <w:rPr>
      <w:rFonts w:cs="Times New Roman"/>
    </w:rPr>
  </w:style>
  <w:style w:type="character" w:styleId="ListLabel329">
    <w:name w:val="ListLabel 329"/>
    <w:qFormat/>
    <w:rPr>
      <w:rFonts w:cs="Times New Roman"/>
    </w:rPr>
  </w:style>
  <w:style w:type="character" w:styleId="ListLabel330">
    <w:name w:val="ListLabel 330"/>
    <w:qFormat/>
    <w:rPr>
      <w:rFonts w:cs="Times New Roman"/>
    </w:rPr>
  </w:style>
  <w:style w:type="character" w:styleId="ListLabel331">
    <w:name w:val="ListLabel 331"/>
    <w:qFormat/>
    <w:rPr>
      <w:rFonts w:cs="Times New Roman"/>
    </w:rPr>
  </w:style>
  <w:style w:type="character" w:styleId="ListLabel332">
    <w:name w:val="ListLabel 332"/>
    <w:qFormat/>
    <w:rPr>
      <w:rFonts w:cs="Times New Roman"/>
    </w:rPr>
  </w:style>
  <w:style w:type="character" w:styleId="ListLabel333">
    <w:name w:val="ListLabel 333"/>
    <w:qFormat/>
    <w:rPr>
      <w:rFonts w:cs="Times New Roman"/>
    </w:rPr>
  </w:style>
  <w:style w:type="character" w:styleId="ListLabel334">
    <w:name w:val="ListLabel 334"/>
    <w:qFormat/>
    <w:rPr>
      <w:rFonts w:ascii="Arial" w:hAnsi="Arial" w:cs="Times New Roman"/>
      <w:sz w:val="24"/>
    </w:rPr>
  </w:style>
  <w:style w:type="character" w:styleId="ListLabel335">
    <w:name w:val="ListLabel 335"/>
    <w:qFormat/>
    <w:rPr>
      <w:rFonts w:cs="Times New Roman"/>
    </w:rPr>
  </w:style>
  <w:style w:type="character" w:styleId="ListLabel336">
    <w:name w:val="ListLabel 336"/>
    <w:qFormat/>
    <w:rPr>
      <w:rFonts w:cs="Times New Roman"/>
    </w:rPr>
  </w:style>
  <w:style w:type="character" w:styleId="ListLabel337">
    <w:name w:val="ListLabel 337"/>
    <w:qFormat/>
    <w:rPr>
      <w:rFonts w:cs="Times New Roman"/>
    </w:rPr>
  </w:style>
  <w:style w:type="character" w:styleId="ListLabel338">
    <w:name w:val="ListLabel 338"/>
    <w:qFormat/>
    <w:rPr>
      <w:rFonts w:cs="Times New Roman"/>
    </w:rPr>
  </w:style>
  <w:style w:type="character" w:styleId="ListLabel339">
    <w:name w:val="ListLabel 339"/>
    <w:qFormat/>
    <w:rPr>
      <w:rFonts w:cs="Times New Roman"/>
    </w:rPr>
  </w:style>
  <w:style w:type="character" w:styleId="ListLabel340">
    <w:name w:val="ListLabel 340"/>
    <w:qFormat/>
    <w:rPr>
      <w:rFonts w:cs="Times New Roman"/>
    </w:rPr>
  </w:style>
  <w:style w:type="character" w:styleId="ListLabel341">
    <w:name w:val="ListLabel 341"/>
    <w:qFormat/>
    <w:rPr>
      <w:rFonts w:cs="Times New Roman"/>
    </w:rPr>
  </w:style>
  <w:style w:type="character" w:styleId="ListLabel342">
    <w:name w:val="ListLabel 342"/>
    <w:qFormat/>
    <w:rPr>
      <w:rFonts w:cs="Times New Roman"/>
    </w:rPr>
  </w:style>
  <w:style w:type="character" w:styleId="ListLabel343">
    <w:name w:val="ListLabel 343"/>
    <w:qFormat/>
    <w:rPr>
      <w:rFonts w:cs="Times New Roman"/>
    </w:rPr>
  </w:style>
  <w:style w:type="character" w:styleId="ListLabel344">
    <w:name w:val="ListLabel 344"/>
    <w:qFormat/>
    <w:rPr>
      <w:rFonts w:cs="Times New Roman"/>
    </w:rPr>
  </w:style>
  <w:style w:type="character" w:styleId="ListLabel345">
    <w:name w:val="ListLabel 345"/>
    <w:qFormat/>
    <w:rPr>
      <w:rFonts w:cs="Times New Roman"/>
    </w:rPr>
  </w:style>
  <w:style w:type="character" w:styleId="ListLabel346">
    <w:name w:val="ListLabel 346"/>
    <w:qFormat/>
    <w:rPr>
      <w:rFonts w:cs="Times New Roman"/>
    </w:rPr>
  </w:style>
  <w:style w:type="character" w:styleId="ListLabel347">
    <w:name w:val="ListLabel 347"/>
    <w:qFormat/>
    <w:rPr>
      <w:rFonts w:cs="Times New Roman"/>
    </w:rPr>
  </w:style>
  <w:style w:type="character" w:styleId="ListLabel348">
    <w:name w:val="ListLabel 348"/>
    <w:qFormat/>
    <w:rPr>
      <w:rFonts w:cs="Times New Roman"/>
    </w:rPr>
  </w:style>
  <w:style w:type="character" w:styleId="ListLabel349">
    <w:name w:val="ListLabel 349"/>
    <w:qFormat/>
    <w:rPr>
      <w:rFonts w:cs="Times New Roman"/>
    </w:rPr>
  </w:style>
  <w:style w:type="character" w:styleId="ListLabel350">
    <w:name w:val="ListLabel 350"/>
    <w:qFormat/>
    <w:rPr>
      <w:rFonts w:cs="Times New Roman"/>
    </w:rPr>
  </w:style>
  <w:style w:type="character" w:styleId="ListLabel351">
    <w:name w:val="ListLabel 351"/>
    <w:qFormat/>
    <w:rPr>
      <w:rFonts w:cs="Times New Roman"/>
    </w:rPr>
  </w:style>
  <w:style w:type="character" w:styleId="ListLabel352">
    <w:name w:val="ListLabel 352"/>
    <w:qFormat/>
    <w:rPr>
      <w:rFonts w:cs="Times New Roman"/>
      <w:b w:val="false"/>
    </w:rPr>
  </w:style>
  <w:style w:type="character" w:styleId="ListLabel353">
    <w:name w:val="ListLabel 353"/>
    <w:qFormat/>
    <w:rPr>
      <w:rFonts w:cs="Times New Roman"/>
    </w:rPr>
  </w:style>
  <w:style w:type="character" w:styleId="ListLabel354">
    <w:name w:val="ListLabel 354"/>
    <w:qFormat/>
    <w:rPr>
      <w:rFonts w:cs="Times New Roman"/>
    </w:rPr>
  </w:style>
  <w:style w:type="character" w:styleId="ListLabel355">
    <w:name w:val="ListLabel 355"/>
    <w:qFormat/>
    <w:rPr>
      <w:rFonts w:cs="Times New Roman"/>
    </w:rPr>
  </w:style>
  <w:style w:type="character" w:styleId="ListLabel356">
    <w:name w:val="ListLabel 356"/>
    <w:qFormat/>
    <w:rPr>
      <w:rFonts w:cs="Times New Roman"/>
    </w:rPr>
  </w:style>
  <w:style w:type="character" w:styleId="ListLabel357">
    <w:name w:val="ListLabel 357"/>
    <w:qFormat/>
    <w:rPr>
      <w:rFonts w:cs="Times New Roman"/>
    </w:rPr>
  </w:style>
  <w:style w:type="character" w:styleId="ListLabel358">
    <w:name w:val="ListLabel 358"/>
    <w:qFormat/>
    <w:rPr>
      <w:rFonts w:cs="Times New Roman"/>
    </w:rPr>
  </w:style>
  <w:style w:type="character" w:styleId="ListLabel359">
    <w:name w:val="ListLabel 359"/>
    <w:qFormat/>
    <w:rPr>
      <w:rFonts w:cs="Times New Roman"/>
    </w:rPr>
  </w:style>
  <w:style w:type="character" w:styleId="ListLabel360">
    <w:name w:val="ListLabel 360"/>
    <w:qFormat/>
    <w:rPr>
      <w:rFonts w:cs="Times New Roman"/>
    </w:rPr>
  </w:style>
  <w:style w:type="character" w:styleId="ListLabel361">
    <w:name w:val="ListLabel 361"/>
    <w:qFormat/>
    <w:rPr>
      <w:rFonts w:ascii="Arial" w:hAnsi="Arial" w:cs="Times New Roman"/>
      <w:b/>
      <w:sz w:val="24"/>
    </w:rPr>
  </w:style>
  <w:style w:type="character" w:styleId="ListLabel362">
    <w:name w:val="ListLabel 362"/>
    <w:qFormat/>
    <w:rPr>
      <w:rFonts w:cs="Times New Roman"/>
    </w:rPr>
  </w:style>
  <w:style w:type="character" w:styleId="ListLabel363">
    <w:name w:val="ListLabel 363"/>
    <w:qFormat/>
    <w:rPr>
      <w:rFonts w:cs="Times New Roman"/>
    </w:rPr>
  </w:style>
  <w:style w:type="character" w:styleId="ListLabel364">
    <w:name w:val="ListLabel 364"/>
    <w:qFormat/>
    <w:rPr>
      <w:rFonts w:cs="Times New Roman"/>
    </w:rPr>
  </w:style>
  <w:style w:type="character" w:styleId="ListLabel365">
    <w:name w:val="ListLabel 365"/>
    <w:qFormat/>
    <w:rPr>
      <w:rFonts w:cs="Times New Roman"/>
    </w:rPr>
  </w:style>
  <w:style w:type="character" w:styleId="ListLabel366">
    <w:name w:val="ListLabel 366"/>
    <w:qFormat/>
    <w:rPr>
      <w:rFonts w:cs="Times New Roman"/>
    </w:rPr>
  </w:style>
  <w:style w:type="character" w:styleId="ListLabel367">
    <w:name w:val="ListLabel 367"/>
    <w:qFormat/>
    <w:rPr>
      <w:rFonts w:cs="Times New Roman"/>
    </w:rPr>
  </w:style>
  <w:style w:type="character" w:styleId="ListLabel368">
    <w:name w:val="ListLabel 368"/>
    <w:qFormat/>
    <w:rPr>
      <w:rFonts w:cs="Times New Roman"/>
    </w:rPr>
  </w:style>
  <w:style w:type="character" w:styleId="ListLabel369">
    <w:name w:val="ListLabel 369"/>
    <w:qFormat/>
    <w:rPr>
      <w:rFonts w:cs="Times New Roman"/>
    </w:rPr>
  </w:style>
  <w:style w:type="character" w:styleId="ListLabel370">
    <w:name w:val="ListLabel 370"/>
    <w:qFormat/>
    <w:rPr>
      <w:rFonts w:ascii="Arial" w:hAnsi="Arial" w:cs="Times New Roman"/>
      <w:sz w:val="24"/>
    </w:rPr>
  </w:style>
  <w:style w:type="character" w:styleId="ListLabel371">
    <w:name w:val="ListLabel 371"/>
    <w:qFormat/>
    <w:rPr>
      <w:rFonts w:cs="Times New Roman"/>
    </w:rPr>
  </w:style>
  <w:style w:type="character" w:styleId="ListLabel372">
    <w:name w:val="ListLabel 372"/>
    <w:qFormat/>
    <w:rPr>
      <w:rFonts w:cs="Times New Roman"/>
    </w:rPr>
  </w:style>
  <w:style w:type="character" w:styleId="ListLabel373">
    <w:name w:val="ListLabel 373"/>
    <w:qFormat/>
    <w:rPr>
      <w:rFonts w:cs="Times New Roman"/>
    </w:rPr>
  </w:style>
  <w:style w:type="character" w:styleId="ListLabel374">
    <w:name w:val="ListLabel 374"/>
    <w:qFormat/>
    <w:rPr>
      <w:rFonts w:cs="Times New Roman"/>
    </w:rPr>
  </w:style>
  <w:style w:type="character" w:styleId="ListLabel375">
    <w:name w:val="ListLabel 375"/>
    <w:qFormat/>
    <w:rPr>
      <w:rFonts w:cs="Times New Roman"/>
    </w:rPr>
  </w:style>
  <w:style w:type="character" w:styleId="ListLabel376">
    <w:name w:val="ListLabel 376"/>
    <w:qFormat/>
    <w:rPr>
      <w:rFonts w:cs="Times New Roman"/>
    </w:rPr>
  </w:style>
  <w:style w:type="character" w:styleId="ListLabel377">
    <w:name w:val="ListLabel 377"/>
    <w:qFormat/>
    <w:rPr>
      <w:rFonts w:cs="Times New Roman"/>
    </w:rPr>
  </w:style>
  <w:style w:type="character" w:styleId="ListLabel378">
    <w:name w:val="ListLabel 378"/>
    <w:qFormat/>
    <w:rPr>
      <w:rFonts w:cs="Times New Roman"/>
    </w:rPr>
  </w:style>
  <w:style w:type="character" w:styleId="ListLabel379">
    <w:name w:val="ListLabel 379"/>
    <w:qFormat/>
    <w:rPr>
      <w:rFonts w:ascii="Arial" w:hAnsi="Arial" w:cs="Times New Roman"/>
      <w:sz w:val="24"/>
    </w:rPr>
  </w:style>
  <w:style w:type="character" w:styleId="ListLabel380">
    <w:name w:val="ListLabel 380"/>
    <w:qFormat/>
    <w:rPr>
      <w:rFonts w:cs="Times New Roman"/>
    </w:rPr>
  </w:style>
  <w:style w:type="character" w:styleId="ListLabel381">
    <w:name w:val="ListLabel 381"/>
    <w:qFormat/>
    <w:rPr>
      <w:rFonts w:cs="Times New Roman"/>
    </w:rPr>
  </w:style>
  <w:style w:type="character" w:styleId="ListLabel382">
    <w:name w:val="ListLabel 382"/>
    <w:qFormat/>
    <w:rPr>
      <w:rFonts w:cs="Times New Roman"/>
    </w:rPr>
  </w:style>
  <w:style w:type="character" w:styleId="ListLabel383">
    <w:name w:val="ListLabel 383"/>
    <w:qFormat/>
    <w:rPr>
      <w:rFonts w:cs="Times New Roman"/>
    </w:rPr>
  </w:style>
  <w:style w:type="character" w:styleId="ListLabel384">
    <w:name w:val="ListLabel 384"/>
    <w:qFormat/>
    <w:rPr>
      <w:rFonts w:cs="Times New Roman"/>
    </w:rPr>
  </w:style>
  <w:style w:type="character" w:styleId="ListLabel385">
    <w:name w:val="ListLabel 385"/>
    <w:qFormat/>
    <w:rPr>
      <w:rFonts w:cs="Times New Roman"/>
    </w:rPr>
  </w:style>
  <w:style w:type="character" w:styleId="ListLabel386">
    <w:name w:val="ListLabel 386"/>
    <w:qFormat/>
    <w:rPr>
      <w:rFonts w:cs="Times New Roman"/>
    </w:rPr>
  </w:style>
  <w:style w:type="character" w:styleId="ListLabel387">
    <w:name w:val="ListLabel 387"/>
    <w:qFormat/>
    <w:rPr>
      <w:rFonts w:cs="Times New Roman"/>
    </w:rPr>
  </w:style>
  <w:style w:type="character" w:styleId="ListLabel388">
    <w:name w:val="ListLabel 388"/>
    <w:qFormat/>
    <w:rPr>
      <w:rFonts w:ascii="Arial" w:hAnsi="Arial" w:cs="Times New Roman"/>
      <w:sz w:val="24"/>
    </w:rPr>
  </w:style>
  <w:style w:type="character" w:styleId="ListLabel389">
    <w:name w:val="ListLabel 389"/>
    <w:qFormat/>
    <w:rPr>
      <w:rFonts w:cs="Times New Roman"/>
    </w:rPr>
  </w:style>
  <w:style w:type="character" w:styleId="ListLabel390">
    <w:name w:val="ListLabel 390"/>
    <w:qFormat/>
    <w:rPr>
      <w:rFonts w:cs="Times New Roman"/>
    </w:rPr>
  </w:style>
  <w:style w:type="character" w:styleId="ListLabel391">
    <w:name w:val="ListLabel 391"/>
    <w:qFormat/>
    <w:rPr>
      <w:rFonts w:cs="Times New Roman"/>
    </w:rPr>
  </w:style>
  <w:style w:type="character" w:styleId="ListLabel392">
    <w:name w:val="ListLabel 392"/>
    <w:qFormat/>
    <w:rPr>
      <w:rFonts w:cs="Times New Roman"/>
    </w:rPr>
  </w:style>
  <w:style w:type="character" w:styleId="ListLabel393">
    <w:name w:val="ListLabel 393"/>
    <w:qFormat/>
    <w:rPr>
      <w:rFonts w:cs="Times New Roman"/>
    </w:rPr>
  </w:style>
  <w:style w:type="character" w:styleId="ListLabel394">
    <w:name w:val="ListLabel 394"/>
    <w:qFormat/>
    <w:rPr>
      <w:rFonts w:cs="Times New Roman"/>
    </w:rPr>
  </w:style>
  <w:style w:type="character" w:styleId="ListLabel395">
    <w:name w:val="ListLabel 395"/>
    <w:qFormat/>
    <w:rPr>
      <w:rFonts w:cs="Times New Roman"/>
    </w:rPr>
  </w:style>
  <w:style w:type="character" w:styleId="ListLabel396">
    <w:name w:val="ListLabel 396"/>
    <w:qFormat/>
    <w:rPr>
      <w:rFonts w:cs="Times New Roman"/>
    </w:rPr>
  </w:style>
  <w:style w:type="character" w:styleId="ListLabel397">
    <w:name w:val="ListLabel 397"/>
    <w:qFormat/>
    <w:rPr>
      <w:rFonts w:ascii="Arial" w:hAnsi="Arial" w:cs="Times New Roman"/>
      <w:b/>
      <w:sz w:val="24"/>
    </w:rPr>
  </w:style>
  <w:style w:type="character" w:styleId="ListLabel398">
    <w:name w:val="ListLabel 398"/>
    <w:qFormat/>
    <w:rPr>
      <w:rFonts w:cs="Times New Roman"/>
    </w:rPr>
  </w:style>
  <w:style w:type="character" w:styleId="ListLabel399">
    <w:name w:val="ListLabel 399"/>
    <w:qFormat/>
    <w:rPr>
      <w:rFonts w:cs="Times New Roman"/>
    </w:rPr>
  </w:style>
  <w:style w:type="character" w:styleId="ListLabel400">
    <w:name w:val="ListLabel 400"/>
    <w:qFormat/>
    <w:rPr>
      <w:rFonts w:cs="Times New Roman"/>
    </w:rPr>
  </w:style>
  <w:style w:type="character" w:styleId="ListLabel401">
    <w:name w:val="ListLabel 401"/>
    <w:qFormat/>
    <w:rPr>
      <w:rFonts w:cs="Times New Roman"/>
    </w:rPr>
  </w:style>
  <w:style w:type="character" w:styleId="ListLabel402">
    <w:name w:val="ListLabel 402"/>
    <w:qFormat/>
    <w:rPr>
      <w:rFonts w:cs="Times New Roman"/>
    </w:rPr>
  </w:style>
  <w:style w:type="character" w:styleId="ListLabel403">
    <w:name w:val="ListLabel 403"/>
    <w:qFormat/>
    <w:rPr>
      <w:rFonts w:cs="Times New Roman"/>
    </w:rPr>
  </w:style>
  <w:style w:type="character" w:styleId="ListLabel404">
    <w:name w:val="ListLabel 404"/>
    <w:qFormat/>
    <w:rPr>
      <w:rFonts w:cs="Times New Roman"/>
    </w:rPr>
  </w:style>
  <w:style w:type="character" w:styleId="ListLabel405">
    <w:name w:val="ListLabel 405"/>
    <w:qFormat/>
    <w:rPr>
      <w:rFonts w:cs="Times New Roman"/>
    </w:rPr>
  </w:style>
  <w:style w:type="character" w:styleId="ListLabel406">
    <w:name w:val="ListLabel 406"/>
    <w:qFormat/>
    <w:rPr>
      <w:rFonts w:ascii="Arial" w:hAnsi="Arial" w:cs="Times New Roman"/>
      <w:sz w:val="24"/>
    </w:rPr>
  </w:style>
  <w:style w:type="character" w:styleId="ListLabel407">
    <w:name w:val="ListLabel 407"/>
    <w:qFormat/>
    <w:rPr>
      <w:rFonts w:cs="Times New Roman"/>
    </w:rPr>
  </w:style>
  <w:style w:type="character" w:styleId="ListLabel408">
    <w:name w:val="ListLabel 408"/>
    <w:qFormat/>
    <w:rPr>
      <w:rFonts w:cs="Times New Roman"/>
    </w:rPr>
  </w:style>
  <w:style w:type="character" w:styleId="ListLabel409">
    <w:name w:val="ListLabel 409"/>
    <w:qFormat/>
    <w:rPr>
      <w:rFonts w:cs="Times New Roman"/>
    </w:rPr>
  </w:style>
  <w:style w:type="character" w:styleId="ListLabel410">
    <w:name w:val="ListLabel 410"/>
    <w:qFormat/>
    <w:rPr>
      <w:rFonts w:cs="Times New Roman"/>
    </w:rPr>
  </w:style>
  <w:style w:type="character" w:styleId="ListLabel411">
    <w:name w:val="ListLabel 411"/>
    <w:qFormat/>
    <w:rPr>
      <w:rFonts w:cs="Times New Roman"/>
    </w:rPr>
  </w:style>
  <w:style w:type="character" w:styleId="ListLabel412">
    <w:name w:val="ListLabel 412"/>
    <w:qFormat/>
    <w:rPr>
      <w:rFonts w:cs="Times New Roman"/>
    </w:rPr>
  </w:style>
  <w:style w:type="character" w:styleId="ListLabel413">
    <w:name w:val="ListLabel 413"/>
    <w:qFormat/>
    <w:rPr>
      <w:rFonts w:cs="Times New Roman"/>
    </w:rPr>
  </w:style>
  <w:style w:type="character" w:styleId="ListLabel414">
    <w:name w:val="ListLabel 414"/>
    <w:qFormat/>
    <w:rPr>
      <w:rFonts w:cs="Times New Roman"/>
    </w:rPr>
  </w:style>
  <w:style w:type="character" w:styleId="ListLabel415">
    <w:name w:val="ListLabel 415"/>
    <w:qFormat/>
    <w:rPr>
      <w:rFonts w:ascii="Arial" w:hAnsi="Arial" w:cs="Times New Roman"/>
      <w:sz w:val="24"/>
    </w:rPr>
  </w:style>
  <w:style w:type="character" w:styleId="ListLabel416">
    <w:name w:val="ListLabel 416"/>
    <w:qFormat/>
    <w:rPr>
      <w:rFonts w:ascii="Arial" w:hAnsi="Arial" w:cs="Times New Roman"/>
      <w:b/>
      <w:sz w:val="24"/>
    </w:rPr>
  </w:style>
  <w:style w:type="character" w:styleId="ListLabel417">
    <w:name w:val="ListLabel 417"/>
    <w:qFormat/>
    <w:rPr>
      <w:rFonts w:cs="Times New Roman"/>
    </w:rPr>
  </w:style>
  <w:style w:type="character" w:styleId="ListLabel418">
    <w:name w:val="ListLabel 418"/>
    <w:qFormat/>
    <w:rPr>
      <w:rFonts w:cs="Arial"/>
    </w:rPr>
  </w:style>
  <w:style w:type="character" w:styleId="ListLabel419">
    <w:name w:val="ListLabel 419"/>
    <w:qFormat/>
    <w:rPr>
      <w:rFonts w:cs="Times New Roman"/>
    </w:rPr>
  </w:style>
  <w:style w:type="character" w:styleId="ListLabel420">
    <w:name w:val="ListLabel 420"/>
    <w:qFormat/>
    <w:rPr>
      <w:rFonts w:cs="Times New Roman"/>
    </w:rPr>
  </w:style>
  <w:style w:type="character" w:styleId="ListLabel421">
    <w:name w:val="ListLabel 421"/>
    <w:qFormat/>
    <w:rPr>
      <w:rFonts w:cs="Times New Roman"/>
    </w:rPr>
  </w:style>
  <w:style w:type="character" w:styleId="ListLabel422">
    <w:name w:val="ListLabel 422"/>
    <w:qFormat/>
    <w:rPr>
      <w:rFonts w:cs="Times New Roman"/>
    </w:rPr>
  </w:style>
  <w:style w:type="character" w:styleId="ListLabel423">
    <w:name w:val="ListLabel 423"/>
    <w:qFormat/>
    <w:rPr>
      <w:rFonts w:cs="Times New Roman"/>
    </w:rPr>
  </w:style>
  <w:style w:type="character" w:styleId="ListLabel424">
    <w:name w:val="ListLabel 424"/>
    <w:qFormat/>
    <w:rPr>
      <w:rFonts w:ascii="Arial" w:hAnsi="Arial" w:cs="Times New Roman"/>
      <w:sz w:val="24"/>
    </w:rPr>
  </w:style>
  <w:style w:type="character" w:styleId="ListLabel425">
    <w:name w:val="ListLabel 425"/>
    <w:qFormat/>
    <w:rPr>
      <w:rFonts w:cs="Times New Roman"/>
    </w:rPr>
  </w:style>
  <w:style w:type="character" w:styleId="ListLabel426">
    <w:name w:val="ListLabel 426"/>
    <w:qFormat/>
    <w:rPr>
      <w:rFonts w:cs="Times New Roman"/>
    </w:rPr>
  </w:style>
  <w:style w:type="character" w:styleId="ListLabel427">
    <w:name w:val="ListLabel 427"/>
    <w:qFormat/>
    <w:rPr>
      <w:rFonts w:cs="Times New Roman"/>
    </w:rPr>
  </w:style>
  <w:style w:type="character" w:styleId="ListLabel428">
    <w:name w:val="ListLabel 428"/>
    <w:qFormat/>
    <w:rPr>
      <w:rFonts w:cs="Times New Roman"/>
    </w:rPr>
  </w:style>
  <w:style w:type="character" w:styleId="ListLabel429">
    <w:name w:val="ListLabel 429"/>
    <w:qFormat/>
    <w:rPr>
      <w:rFonts w:cs="Times New Roman"/>
    </w:rPr>
  </w:style>
  <w:style w:type="character" w:styleId="ListLabel430">
    <w:name w:val="ListLabel 430"/>
    <w:qFormat/>
    <w:rPr>
      <w:rFonts w:cs="Times New Roman"/>
    </w:rPr>
  </w:style>
  <w:style w:type="character" w:styleId="ListLabel431">
    <w:name w:val="ListLabel 431"/>
    <w:qFormat/>
    <w:rPr>
      <w:rFonts w:cs="Times New Roman"/>
    </w:rPr>
  </w:style>
  <w:style w:type="character" w:styleId="ListLabel432">
    <w:name w:val="ListLabel 432"/>
    <w:qFormat/>
    <w:rPr>
      <w:rFonts w:cs="Times New Roman"/>
    </w:rPr>
  </w:style>
  <w:style w:type="character" w:styleId="ListLabel433">
    <w:name w:val="ListLabel 433"/>
    <w:qFormat/>
    <w:rPr>
      <w:rFonts w:ascii="Arial" w:hAnsi="Arial" w:cs="Times New Roman"/>
      <w:sz w:val="24"/>
    </w:rPr>
  </w:style>
  <w:style w:type="character" w:styleId="ListLabel434">
    <w:name w:val="ListLabel 434"/>
    <w:qFormat/>
    <w:rPr>
      <w:rFonts w:cs="Times New Roman"/>
    </w:rPr>
  </w:style>
  <w:style w:type="character" w:styleId="ListLabel435">
    <w:name w:val="ListLabel 435"/>
    <w:qFormat/>
    <w:rPr>
      <w:rFonts w:cs="Times New Roman"/>
    </w:rPr>
  </w:style>
  <w:style w:type="character" w:styleId="ListLabel436">
    <w:name w:val="ListLabel 436"/>
    <w:qFormat/>
    <w:rPr>
      <w:rFonts w:cs="Times New Roman"/>
    </w:rPr>
  </w:style>
  <w:style w:type="character" w:styleId="ListLabel437">
    <w:name w:val="ListLabel 437"/>
    <w:qFormat/>
    <w:rPr>
      <w:rFonts w:cs="Times New Roman"/>
    </w:rPr>
  </w:style>
  <w:style w:type="character" w:styleId="ListLabel438">
    <w:name w:val="ListLabel 438"/>
    <w:qFormat/>
    <w:rPr>
      <w:rFonts w:cs="Times New Roman"/>
    </w:rPr>
  </w:style>
  <w:style w:type="character" w:styleId="ListLabel439">
    <w:name w:val="ListLabel 439"/>
    <w:qFormat/>
    <w:rPr>
      <w:rFonts w:cs="Times New Roman"/>
    </w:rPr>
  </w:style>
  <w:style w:type="character" w:styleId="ListLabel440">
    <w:name w:val="ListLabel 440"/>
    <w:qFormat/>
    <w:rPr>
      <w:rFonts w:cs="Times New Roman"/>
    </w:rPr>
  </w:style>
  <w:style w:type="character" w:styleId="ListLabel441">
    <w:name w:val="ListLabel 441"/>
    <w:qFormat/>
    <w:rPr>
      <w:rFonts w:cs="Times New Roman"/>
    </w:rPr>
  </w:style>
  <w:style w:type="character" w:styleId="ListLabel442">
    <w:name w:val="ListLabel 442"/>
    <w:qFormat/>
    <w:rPr>
      <w:rFonts w:ascii="Arial" w:hAnsi="Arial" w:cs="Times New Roman"/>
      <w:sz w:val="24"/>
    </w:rPr>
  </w:style>
  <w:style w:type="character" w:styleId="ListLabel443">
    <w:name w:val="ListLabel 443"/>
    <w:qFormat/>
    <w:rPr>
      <w:rFonts w:cs="Times New Roman"/>
    </w:rPr>
  </w:style>
  <w:style w:type="character" w:styleId="ListLabel444">
    <w:name w:val="ListLabel 444"/>
    <w:qFormat/>
    <w:rPr>
      <w:rFonts w:cs="Times New Roman"/>
    </w:rPr>
  </w:style>
  <w:style w:type="character" w:styleId="ListLabel445">
    <w:name w:val="ListLabel 445"/>
    <w:qFormat/>
    <w:rPr>
      <w:rFonts w:cs="Times New Roman"/>
    </w:rPr>
  </w:style>
  <w:style w:type="character" w:styleId="ListLabel446">
    <w:name w:val="ListLabel 446"/>
    <w:qFormat/>
    <w:rPr>
      <w:rFonts w:cs="Times New Roman"/>
    </w:rPr>
  </w:style>
  <w:style w:type="character" w:styleId="ListLabel447">
    <w:name w:val="ListLabel 447"/>
    <w:qFormat/>
    <w:rPr>
      <w:rFonts w:cs="Times New Roman"/>
    </w:rPr>
  </w:style>
  <w:style w:type="character" w:styleId="ListLabel448">
    <w:name w:val="ListLabel 448"/>
    <w:qFormat/>
    <w:rPr>
      <w:rFonts w:cs="Times New Roman"/>
    </w:rPr>
  </w:style>
  <w:style w:type="character" w:styleId="ListLabel449">
    <w:name w:val="ListLabel 449"/>
    <w:qFormat/>
    <w:rPr>
      <w:rFonts w:cs="Times New Roman"/>
    </w:rPr>
  </w:style>
  <w:style w:type="character" w:styleId="ListLabel450">
    <w:name w:val="ListLabel 450"/>
    <w:qFormat/>
    <w:rPr>
      <w:rFonts w:cs="Times New Roman"/>
    </w:rPr>
  </w:style>
  <w:style w:type="character" w:styleId="ListLabel451">
    <w:name w:val="ListLabel 451"/>
    <w:qFormat/>
    <w:rPr>
      <w:rFonts w:ascii="Arial" w:hAnsi="Arial" w:cs="Times New Roman"/>
      <w:sz w:val="24"/>
    </w:rPr>
  </w:style>
  <w:style w:type="character" w:styleId="ListLabel452">
    <w:name w:val="ListLabel 452"/>
    <w:qFormat/>
    <w:rPr>
      <w:rFonts w:cs="Times New Roman"/>
    </w:rPr>
  </w:style>
  <w:style w:type="character" w:styleId="ListLabel453">
    <w:name w:val="ListLabel 453"/>
    <w:qFormat/>
    <w:rPr>
      <w:rFonts w:cs="Times New Roman"/>
    </w:rPr>
  </w:style>
  <w:style w:type="character" w:styleId="ListLabel454">
    <w:name w:val="ListLabel 454"/>
    <w:qFormat/>
    <w:rPr>
      <w:rFonts w:cs="Times New Roman"/>
    </w:rPr>
  </w:style>
  <w:style w:type="character" w:styleId="ListLabel455">
    <w:name w:val="ListLabel 455"/>
    <w:qFormat/>
    <w:rPr>
      <w:rFonts w:cs="Times New Roman"/>
    </w:rPr>
  </w:style>
  <w:style w:type="character" w:styleId="ListLabel456">
    <w:name w:val="ListLabel 456"/>
    <w:qFormat/>
    <w:rPr>
      <w:rFonts w:cs="Times New Roman"/>
    </w:rPr>
  </w:style>
  <w:style w:type="character" w:styleId="ListLabel457">
    <w:name w:val="ListLabel 457"/>
    <w:qFormat/>
    <w:rPr>
      <w:rFonts w:cs="Times New Roman"/>
    </w:rPr>
  </w:style>
  <w:style w:type="character" w:styleId="ListLabel458">
    <w:name w:val="ListLabel 458"/>
    <w:qFormat/>
    <w:rPr>
      <w:rFonts w:cs="Times New Roman"/>
    </w:rPr>
  </w:style>
  <w:style w:type="character" w:styleId="ListLabel459">
    <w:name w:val="ListLabel 459"/>
    <w:qFormat/>
    <w:rPr>
      <w:rFonts w:cs="Times New Roman"/>
    </w:rPr>
  </w:style>
  <w:style w:type="character" w:styleId="ListLabel460">
    <w:name w:val="ListLabel 460"/>
    <w:qFormat/>
    <w:rPr>
      <w:rFonts w:ascii="Arial" w:hAnsi="Arial" w:cs="Times New Roman"/>
      <w:b/>
      <w:sz w:val="24"/>
    </w:rPr>
  </w:style>
  <w:style w:type="character" w:styleId="ListLabel461">
    <w:name w:val="ListLabel 461"/>
    <w:qFormat/>
    <w:rPr>
      <w:rFonts w:cs="Times New Roman"/>
    </w:rPr>
  </w:style>
  <w:style w:type="character" w:styleId="ListLabel462">
    <w:name w:val="ListLabel 462"/>
    <w:qFormat/>
    <w:rPr>
      <w:rFonts w:cs="Times New Roman"/>
    </w:rPr>
  </w:style>
  <w:style w:type="character" w:styleId="ListLabel463">
    <w:name w:val="ListLabel 463"/>
    <w:qFormat/>
    <w:rPr>
      <w:rFonts w:cs="Times New Roman"/>
    </w:rPr>
  </w:style>
  <w:style w:type="character" w:styleId="ListLabel464">
    <w:name w:val="ListLabel 464"/>
    <w:qFormat/>
    <w:rPr>
      <w:rFonts w:cs="Times New Roman"/>
    </w:rPr>
  </w:style>
  <w:style w:type="character" w:styleId="ListLabel465">
    <w:name w:val="ListLabel 465"/>
    <w:qFormat/>
    <w:rPr>
      <w:rFonts w:cs="Times New Roman"/>
    </w:rPr>
  </w:style>
  <w:style w:type="character" w:styleId="ListLabel466">
    <w:name w:val="ListLabel 466"/>
    <w:qFormat/>
    <w:rPr>
      <w:rFonts w:cs="Times New Roman"/>
    </w:rPr>
  </w:style>
  <w:style w:type="character" w:styleId="ListLabel467">
    <w:name w:val="ListLabel 467"/>
    <w:qFormat/>
    <w:rPr>
      <w:rFonts w:cs="Times New Roman"/>
    </w:rPr>
  </w:style>
  <w:style w:type="character" w:styleId="ListLabel468">
    <w:name w:val="ListLabel 468"/>
    <w:qFormat/>
    <w:rPr>
      <w:rFonts w:cs="Times New Roman"/>
    </w:rPr>
  </w:style>
  <w:style w:type="character" w:styleId="ListLabel469">
    <w:name w:val="ListLabel 469"/>
    <w:qFormat/>
    <w:rPr>
      <w:rFonts w:ascii="Arial" w:hAnsi="Arial" w:cs="Times New Roman"/>
      <w:sz w:val="24"/>
    </w:rPr>
  </w:style>
  <w:style w:type="character" w:styleId="ListLabel470">
    <w:name w:val="ListLabel 470"/>
    <w:qFormat/>
    <w:rPr>
      <w:rFonts w:cs="Times New Roman"/>
      <w:b/>
    </w:rPr>
  </w:style>
  <w:style w:type="character" w:styleId="ListLabel471">
    <w:name w:val="ListLabel 471"/>
    <w:qFormat/>
    <w:rPr>
      <w:rFonts w:cs="Times New Roman"/>
    </w:rPr>
  </w:style>
  <w:style w:type="character" w:styleId="ListLabel472">
    <w:name w:val="ListLabel 472"/>
    <w:qFormat/>
    <w:rPr>
      <w:rFonts w:cs="Times New Roman"/>
    </w:rPr>
  </w:style>
  <w:style w:type="character" w:styleId="ListLabel473">
    <w:name w:val="ListLabel 473"/>
    <w:qFormat/>
    <w:rPr>
      <w:rFonts w:cs="Times New Roman"/>
    </w:rPr>
  </w:style>
  <w:style w:type="character" w:styleId="ListLabel474">
    <w:name w:val="ListLabel 474"/>
    <w:qFormat/>
    <w:rPr>
      <w:rFonts w:cs="Times New Roman"/>
    </w:rPr>
  </w:style>
  <w:style w:type="character" w:styleId="ListLabel475">
    <w:name w:val="ListLabel 475"/>
    <w:qFormat/>
    <w:rPr>
      <w:rFonts w:cs="Times New Roman"/>
    </w:rPr>
  </w:style>
  <w:style w:type="character" w:styleId="ListLabel476">
    <w:name w:val="ListLabel 476"/>
    <w:qFormat/>
    <w:rPr>
      <w:rFonts w:cs="Times New Roman"/>
    </w:rPr>
  </w:style>
  <w:style w:type="character" w:styleId="ListLabel477">
    <w:name w:val="ListLabel 477"/>
    <w:qFormat/>
    <w:rPr>
      <w:rFonts w:cs="Times New Roman"/>
    </w:rPr>
  </w:style>
  <w:style w:type="character" w:styleId="ListLabel478">
    <w:name w:val="ListLabel 478"/>
    <w:qFormat/>
    <w:rPr>
      <w:rFonts w:cs="Times New Roman"/>
    </w:rPr>
  </w:style>
  <w:style w:type="character" w:styleId="ListLabel479">
    <w:name w:val="ListLabel 479"/>
    <w:qFormat/>
    <w:rPr>
      <w:rFonts w:cs="Times New Roman"/>
    </w:rPr>
  </w:style>
  <w:style w:type="character" w:styleId="ListLabel480">
    <w:name w:val="ListLabel 480"/>
    <w:qFormat/>
    <w:rPr>
      <w:rFonts w:cs="Times New Roman"/>
    </w:rPr>
  </w:style>
  <w:style w:type="character" w:styleId="ListLabel481">
    <w:name w:val="ListLabel 481"/>
    <w:qFormat/>
    <w:rPr>
      <w:rFonts w:cs="Times New Roman"/>
    </w:rPr>
  </w:style>
  <w:style w:type="character" w:styleId="ListLabel482">
    <w:name w:val="ListLabel 482"/>
    <w:qFormat/>
    <w:rPr>
      <w:rFonts w:cs="Times New Roman"/>
    </w:rPr>
  </w:style>
  <w:style w:type="character" w:styleId="ListLabel483">
    <w:name w:val="ListLabel 483"/>
    <w:qFormat/>
    <w:rPr>
      <w:rFonts w:cs="Times New Roman"/>
    </w:rPr>
  </w:style>
  <w:style w:type="character" w:styleId="ListLabel484">
    <w:name w:val="ListLabel 484"/>
    <w:qFormat/>
    <w:rPr>
      <w:rFonts w:cs="Times New Roman"/>
    </w:rPr>
  </w:style>
  <w:style w:type="character" w:styleId="ListLabel485">
    <w:name w:val="ListLabel 485"/>
    <w:qFormat/>
    <w:rPr>
      <w:rFonts w:cs="Times New Roman"/>
    </w:rPr>
  </w:style>
  <w:style w:type="character" w:styleId="ListLabel486">
    <w:name w:val="ListLabel 486"/>
    <w:qFormat/>
    <w:rPr>
      <w:rFonts w:cs="Times New Roman"/>
    </w:rPr>
  </w:style>
  <w:style w:type="character" w:styleId="ListLabel487">
    <w:name w:val="ListLabel 487"/>
    <w:qFormat/>
    <w:rPr>
      <w:rFonts w:ascii="Arial" w:hAnsi="Arial" w:cs="Times New Roman"/>
      <w:sz w:val="24"/>
    </w:rPr>
  </w:style>
  <w:style w:type="character" w:styleId="ListLabel488">
    <w:name w:val="ListLabel 488"/>
    <w:qFormat/>
    <w:rPr>
      <w:rFonts w:cs="Times New Roman"/>
    </w:rPr>
  </w:style>
  <w:style w:type="character" w:styleId="ListLabel489">
    <w:name w:val="ListLabel 489"/>
    <w:qFormat/>
    <w:rPr>
      <w:rFonts w:cs="Times New Roman"/>
    </w:rPr>
  </w:style>
  <w:style w:type="character" w:styleId="ListLabel490">
    <w:name w:val="ListLabel 490"/>
    <w:qFormat/>
    <w:rPr>
      <w:rFonts w:cs="Times New Roman"/>
    </w:rPr>
  </w:style>
  <w:style w:type="character" w:styleId="ListLabel491">
    <w:name w:val="ListLabel 491"/>
    <w:qFormat/>
    <w:rPr>
      <w:rFonts w:cs="Times New Roman"/>
    </w:rPr>
  </w:style>
  <w:style w:type="character" w:styleId="ListLabel492">
    <w:name w:val="ListLabel 492"/>
    <w:qFormat/>
    <w:rPr>
      <w:rFonts w:cs="Times New Roman"/>
    </w:rPr>
  </w:style>
  <w:style w:type="character" w:styleId="ListLabel493">
    <w:name w:val="ListLabel 493"/>
    <w:qFormat/>
    <w:rPr>
      <w:rFonts w:cs="Times New Roman"/>
    </w:rPr>
  </w:style>
  <w:style w:type="character" w:styleId="ListLabel494">
    <w:name w:val="ListLabel 494"/>
    <w:qFormat/>
    <w:rPr>
      <w:rFonts w:cs="Times New Roman"/>
    </w:rPr>
  </w:style>
  <w:style w:type="character" w:styleId="ListLabel495">
    <w:name w:val="ListLabel 495"/>
    <w:qFormat/>
    <w:rPr>
      <w:rFonts w:cs="Times New Roman"/>
    </w:rPr>
  </w:style>
  <w:style w:type="character" w:styleId="ListLabel496">
    <w:name w:val="ListLabel 496"/>
    <w:qFormat/>
    <w:rPr>
      <w:rFonts w:ascii="Arial" w:hAnsi="Arial" w:cs="Times New Roman"/>
      <w:sz w:val="24"/>
    </w:rPr>
  </w:style>
  <w:style w:type="character" w:styleId="ListLabel497">
    <w:name w:val="ListLabel 497"/>
    <w:qFormat/>
    <w:rPr>
      <w:rFonts w:cs="Times New Roman"/>
    </w:rPr>
  </w:style>
  <w:style w:type="character" w:styleId="ListLabel498">
    <w:name w:val="ListLabel 498"/>
    <w:qFormat/>
    <w:rPr>
      <w:rFonts w:cs="Times New Roman"/>
    </w:rPr>
  </w:style>
  <w:style w:type="character" w:styleId="ListLabel499">
    <w:name w:val="ListLabel 499"/>
    <w:qFormat/>
    <w:rPr>
      <w:rFonts w:cs="Times New Roman"/>
    </w:rPr>
  </w:style>
  <w:style w:type="character" w:styleId="ListLabel500">
    <w:name w:val="ListLabel 500"/>
    <w:qFormat/>
    <w:rPr>
      <w:rFonts w:cs="Times New Roman"/>
    </w:rPr>
  </w:style>
  <w:style w:type="character" w:styleId="ListLabel501">
    <w:name w:val="ListLabel 501"/>
    <w:qFormat/>
    <w:rPr>
      <w:rFonts w:cs="Times New Roman"/>
    </w:rPr>
  </w:style>
  <w:style w:type="character" w:styleId="ListLabel502">
    <w:name w:val="ListLabel 502"/>
    <w:qFormat/>
    <w:rPr>
      <w:rFonts w:cs="Times New Roman"/>
    </w:rPr>
  </w:style>
  <w:style w:type="character" w:styleId="ListLabel503">
    <w:name w:val="ListLabel 503"/>
    <w:qFormat/>
    <w:rPr>
      <w:rFonts w:cs="Times New Roman"/>
    </w:rPr>
  </w:style>
  <w:style w:type="character" w:styleId="ListLabel504">
    <w:name w:val="ListLabel 504"/>
    <w:qFormat/>
    <w:rPr>
      <w:rFonts w:cs="Times New Roman"/>
    </w:rPr>
  </w:style>
  <w:style w:type="character" w:styleId="ListLabel505">
    <w:name w:val="ListLabel 505"/>
    <w:qFormat/>
    <w:rPr>
      <w:rFonts w:ascii="Arial" w:hAnsi="Arial" w:cs="Times New Roman"/>
      <w:sz w:val="24"/>
    </w:rPr>
  </w:style>
  <w:style w:type="character" w:styleId="ListLabel506">
    <w:name w:val="ListLabel 506"/>
    <w:qFormat/>
    <w:rPr>
      <w:rFonts w:cs="Times New Roman"/>
    </w:rPr>
  </w:style>
  <w:style w:type="character" w:styleId="ListLabel507">
    <w:name w:val="ListLabel 507"/>
    <w:qFormat/>
    <w:rPr>
      <w:rFonts w:cs="Times New Roman"/>
    </w:rPr>
  </w:style>
  <w:style w:type="character" w:styleId="ListLabel508">
    <w:name w:val="ListLabel 508"/>
    <w:qFormat/>
    <w:rPr>
      <w:rFonts w:cs="Times New Roman"/>
    </w:rPr>
  </w:style>
  <w:style w:type="character" w:styleId="ListLabel509">
    <w:name w:val="ListLabel 509"/>
    <w:qFormat/>
    <w:rPr>
      <w:rFonts w:cs="Times New Roman"/>
    </w:rPr>
  </w:style>
  <w:style w:type="character" w:styleId="ListLabel510">
    <w:name w:val="ListLabel 510"/>
    <w:qFormat/>
    <w:rPr>
      <w:rFonts w:cs="Times New Roman"/>
    </w:rPr>
  </w:style>
  <w:style w:type="character" w:styleId="ListLabel511">
    <w:name w:val="ListLabel 511"/>
    <w:qFormat/>
    <w:rPr>
      <w:rFonts w:cs="Times New Roman"/>
    </w:rPr>
  </w:style>
  <w:style w:type="character" w:styleId="ListLabel512">
    <w:name w:val="ListLabel 512"/>
    <w:qFormat/>
    <w:rPr>
      <w:rFonts w:cs="Times New Roman"/>
    </w:rPr>
  </w:style>
  <w:style w:type="character" w:styleId="ListLabel513">
    <w:name w:val="ListLabel 513"/>
    <w:qFormat/>
    <w:rPr>
      <w:rFonts w:cs="Times New Roman"/>
    </w:rPr>
  </w:style>
  <w:style w:type="character" w:styleId="ListLabel514">
    <w:name w:val="ListLabel 514"/>
    <w:qFormat/>
    <w:rPr>
      <w:rFonts w:cs="Times New Roman"/>
    </w:rPr>
  </w:style>
  <w:style w:type="character" w:styleId="ListLabel515">
    <w:name w:val="ListLabel 515"/>
    <w:qFormat/>
    <w:rPr>
      <w:rFonts w:cs="Times New Roman"/>
    </w:rPr>
  </w:style>
  <w:style w:type="character" w:styleId="ListLabel516">
    <w:name w:val="ListLabel 516"/>
    <w:qFormat/>
    <w:rPr>
      <w:rFonts w:cs="Times New Roman"/>
    </w:rPr>
  </w:style>
  <w:style w:type="character" w:styleId="ListLabel517">
    <w:name w:val="ListLabel 517"/>
    <w:qFormat/>
    <w:rPr>
      <w:rFonts w:cs="Times New Roman"/>
    </w:rPr>
  </w:style>
  <w:style w:type="character" w:styleId="ListLabel518">
    <w:name w:val="ListLabel 518"/>
    <w:qFormat/>
    <w:rPr>
      <w:rFonts w:cs="Times New Roman"/>
    </w:rPr>
  </w:style>
  <w:style w:type="character" w:styleId="ListLabel519">
    <w:name w:val="ListLabel 519"/>
    <w:qFormat/>
    <w:rPr>
      <w:rFonts w:cs="Times New Roman"/>
    </w:rPr>
  </w:style>
  <w:style w:type="character" w:styleId="ListLabel520">
    <w:name w:val="ListLabel 520"/>
    <w:qFormat/>
    <w:rPr>
      <w:rFonts w:cs="Times New Roman"/>
    </w:rPr>
  </w:style>
  <w:style w:type="character" w:styleId="ListLabel521">
    <w:name w:val="ListLabel 521"/>
    <w:qFormat/>
    <w:rPr>
      <w:rFonts w:cs="Times New Roman"/>
    </w:rPr>
  </w:style>
  <w:style w:type="character" w:styleId="ListLabel522">
    <w:name w:val="ListLabel 522"/>
    <w:qFormat/>
    <w:rPr>
      <w:rFonts w:cs="Times New Roman"/>
    </w:rPr>
  </w:style>
  <w:style w:type="character" w:styleId="ListLabel523">
    <w:name w:val="ListLabel 523"/>
    <w:qFormat/>
    <w:rPr>
      <w:rFonts w:cs="Times New Roman"/>
      <w:b w:val="false"/>
    </w:rPr>
  </w:style>
  <w:style w:type="character" w:styleId="ListLabel524">
    <w:name w:val="ListLabel 524"/>
    <w:qFormat/>
    <w:rPr>
      <w:rFonts w:cs="Times New Roman"/>
    </w:rPr>
  </w:style>
  <w:style w:type="character" w:styleId="ListLabel525">
    <w:name w:val="ListLabel 525"/>
    <w:qFormat/>
    <w:rPr>
      <w:rFonts w:cs="Times New Roman"/>
    </w:rPr>
  </w:style>
  <w:style w:type="character" w:styleId="ListLabel526">
    <w:name w:val="ListLabel 526"/>
    <w:qFormat/>
    <w:rPr>
      <w:rFonts w:cs="Times New Roman"/>
    </w:rPr>
  </w:style>
  <w:style w:type="character" w:styleId="ListLabel527">
    <w:name w:val="ListLabel 527"/>
    <w:qFormat/>
    <w:rPr>
      <w:rFonts w:cs="Times New Roman"/>
    </w:rPr>
  </w:style>
  <w:style w:type="character" w:styleId="ListLabel528">
    <w:name w:val="ListLabel 528"/>
    <w:qFormat/>
    <w:rPr>
      <w:rFonts w:cs="Times New Roman"/>
    </w:rPr>
  </w:style>
  <w:style w:type="character" w:styleId="ListLabel529">
    <w:name w:val="ListLabel 529"/>
    <w:qFormat/>
    <w:rPr>
      <w:rFonts w:cs="Times New Roman"/>
    </w:rPr>
  </w:style>
  <w:style w:type="character" w:styleId="ListLabel530">
    <w:name w:val="ListLabel 530"/>
    <w:qFormat/>
    <w:rPr>
      <w:rFonts w:cs="Times New Roman"/>
    </w:rPr>
  </w:style>
  <w:style w:type="character" w:styleId="ListLabel531">
    <w:name w:val="ListLabel 531"/>
    <w:qFormat/>
    <w:rPr>
      <w:rFonts w:cs="Times New Roman"/>
    </w:rPr>
  </w:style>
  <w:style w:type="character" w:styleId="ListLabel532">
    <w:name w:val="ListLabel 532"/>
    <w:qFormat/>
    <w:rPr>
      <w:rFonts w:ascii="Arial" w:hAnsi="Arial" w:cs="Times New Roman"/>
      <w:b/>
      <w:sz w:val="24"/>
    </w:rPr>
  </w:style>
  <w:style w:type="character" w:styleId="ListLabel533">
    <w:name w:val="ListLabel 533"/>
    <w:qFormat/>
    <w:rPr>
      <w:rFonts w:cs="Times New Roman"/>
    </w:rPr>
  </w:style>
  <w:style w:type="character" w:styleId="ListLabel534">
    <w:name w:val="ListLabel 534"/>
    <w:qFormat/>
    <w:rPr>
      <w:rFonts w:cs="Times New Roman"/>
    </w:rPr>
  </w:style>
  <w:style w:type="character" w:styleId="ListLabel535">
    <w:name w:val="ListLabel 535"/>
    <w:qFormat/>
    <w:rPr>
      <w:rFonts w:cs="Times New Roman"/>
    </w:rPr>
  </w:style>
  <w:style w:type="character" w:styleId="ListLabel536">
    <w:name w:val="ListLabel 536"/>
    <w:qFormat/>
    <w:rPr>
      <w:rFonts w:cs="Times New Roman"/>
    </w:rPr>
  </w:style>
  <w:style w:type="character" w:styleId="ListLabel537">
    <w:name w:val="ListLabel 537"/>
    <w:qFormat/>
    <w:rPr>
      <w:rFonts w:cs="Times New Roman"/>
    </w:rPr>
  </w:style>
  <w:style w:type="character" w:styleId="ListLabel538">
    <w:name w:val="ListLabel 538"/>
    <w:qFormat/>
    <w:rPr>
      <w:rFonts w:cs="Times New Roman"/>
    </w:rPr>
  </w:style>
  <w:style w:type="character" w:styleId="ListLabel539">
    <w:name w:val="ListLabel 539"/>
    <w:qFormat/>
    <w:rPr>
      <w:rFonts w:cs="Times New Roman"/>
    </w:rPr>
  </w:style>
  <w:style w:type="character" w:styleId="ListLabel540">
    <w:name w:val="ListLabel 540"/>
    <w:qFormat/>
    <w:rPr>
      <w:rFonts w:cs="Times New Roman"/>
    </w:rPr>
  </w:style>
  <w:style w:type="character" w:styleId="ListLabel541">
    <w:name w:val="ListLabel 541"/>
    <w:qFormat/>
    <w:rPr>
      <w:rFonts w:ascii="Arial" w:hAnsi="Arial" w:cs="Times New Roman"/>
      <w:sz w:val="24"/>
    </w:rPr>
  </w:style>
  <w:style w:type="character" w:styleId="ListLabel542">
    <w:name w:val="ListLabel 542"/>
    <w:qFormat/>
    <w:rPr>
      <w:rFonts w:cs="Times New Roman"/>
    </w:rPr>
  </w:style>
  <w:style w:type="character" w:styleId="ListLabel543">
    <w:name w:val="ListLabel 543"/>
    <w:qFormat/>
    <w:rPr>
      <w:rFonts w:cs="Times New Roman"/>
    </w:rPr>
  </w:style>
  <w:style w:type="character" w:styleId="ListLabel544">
    <w:name w:val="ListLabel 544"/>
    <w:qFormat/>
    <w:rPr>
      <w:rFonts w:cs="Times New Roman"/>
    </w:rPr>
  </w:style>
  <w:style w:type="character" w:styleId="ListLabel545">
    <w:name w:val="ListLabel 545"/>
    <w:qFormat/>
    <w:rPr>
      <w:rFonts w:cs="Times New Roman"/>
    </w:rPr>
  </w:style>
  <w:style w:type="character" w:styleId="ListLabel546">
    <w:name w:val="ListLabel 546"/>
    <w:qFormat/>
    <w:rPr>
      <w:rFonts w:cs="Times New Roman"/>
    </w:rPr>
  </w:style>
  <w:style w:type="character" w:styleId="ListLabel547">
    <w:name w:val="ListLabel 547"/>
    <w:qFormat/>
    <w:rPr>
      <w:rFonts w:cs="Times New Roman"/>
    </w:rPr>
  </w:style>
  <w:style w:type="character" w:styleId="ListLabel548">
    <w:name w:val="ListLabel 548"/>
    <w:qFormat/>
    <w:rPr>
      <w:rFonts w:cs="Times New Roman"/>
    </w:rPr>
  </w:style>
  <w:style w:type="character" w:styleId="ListLabel549">
    <w:name w:val="ListLabel 549"/>
    <w:qFormat/>
    <w:rPr>
      <w:rFonts w:cs="Times New Roman"/>
    </w:rPr>
  </w:style>
  <w:style w:type="character" w:styleId="ListLabel550">
    <w:name w:val="ListLabel 550"/>
    <w:qFormat/>
    <w:rPr>
      <w:rFonts w:ascii="Arial" w:hAnsi="Arial" w:cs="Times New Roman"/>
      <w:sz w:val="24"/>
    </w:rPr>
  </w:style>
  <w:style w:type="character" w:styleId="ListLabel551">
    <w:name w:val="ListLabel 551"/>
    <w:qFormat/>
    <w:rPr>
      <w:rFonts w:cs="Times New Roman"/>
    </w:rPr>
  </w:style>
  <w:style w:type="character" w:styleId="ListLabel552">
    <w:name w:val="ListLabel 552"/>
    <w:qFormat/>
    <w:rPr>
      <w:rFonts w:cs="Times New Roman"/>
    </w:rPr>
  </w:style>
  <w:style w:type="character" w:styleId="ListLabel553">
    <w:name w:val="ListLabel 553"/>
    <w:qFormat/>
    <w:rPr>
      <w:rFonts w:cs="Times New Roman"/>
    </w:rPr>
  </w:style>
  <w:style w:type="character" w:styleId="ListLabel554">
    <w:name w:val="ListLabel 554"/>
    <w:qFormat/>
    <w:rPr>
      <w:rFonts w:cs="Times New Roman"/>
    </w:rPr>
  </w:style>
  <w:style w:type="character" w:styleId="ListLabel555">
    <w:name w:val="ListLabel 555"/>
    <w:qFormat/>
    <w:rPr>
      <w:rFonts w:cs="Times New Roman"/>
    </w:rPr>
  </w:style>
  <w:style w:type="character" w:styleId="ListLabel556">
    <w:name w:val="ListLabel 556"/>
    <w:qFormat/>
    <w:rPr>
      <w:rFonts w:cs="Times New Roman"/>
    </w:rPr>
  </w:style>
  <w:style w:type="character" w:styleId="ListLabel557">
    <w:name w:val="ListLabel 557"/>
    <w:qFormat/>
    <w:rPr>
      <w:rFonts w:cs="Times New Roman"/>
    </w:rPr>
  </w:style>
  <w:style w:type="character" w:styleId="ListLabel558">
    <w:name w:val="ListLabel 558"/>
    <w:qFormat/>
    <w:rPr>
      <w:rFonts w:cs="Times New Roman"/>
    </w:rPr>
  </w:style>
  <w:style w:type="character" w:styleId="ListLabel559">
    <w:name w:val="ListLabel 559"/>
    <w:qFormat/>
    <w:rPr>
      <w:rFonts w:ascii="Arial" w:hAnsi="Arial" w:cs="Times New Roman"/>
      <w:sz w:val="24"/>
    </w:rPr>
  </w:style>
  <w:style w:type="character" w:styleId="ListLabel560">
    <w:name w:val="ListLabel 560"/>
    <w:qFormat/>
    <w:rPr>
      <w:rFonts w:cs="Times New Roman"/>
    </w:rPr>
  </w:style>
  <w:style w:type="character" w:styleId="ListLabel561">
    <w:name w:val="ListLabel 561"/>
    <w:qFormat/>
    <w:rPr>
      <w:rFonts w:cs="Times New Roman"/>
    </w:rPr>
  </w:style>
  <w:style w:type="character" w:styleId="ListLabel562">
    <w:name w:val="ListLabel 562"/>
    <w:qFormat/>
    <w:rPr>
      <w:rFonts w:cs="Times New Roman"/>
    </w:rPr>
  </w:style>
  <w:style w:type="character" w:styleId="ListLabel563">
    <w:name w:val="ListLabel 563"/>
    <w:qFormat/>
    <w:rPr>
      <w:rFonts w:cs="Times New Roman"/>
    </w:rPr>
  </w:style>
  <w:style w:type="character" w:styleId="ListLabel564">
    <w:name w:val="ListLabel 564"/>
    <w:qFormat/>
    <w:rPr>
      <w:rFonts w:cs="Times New Roman"/>
    </w:rPr>
  </w:style>
  <w:style w:type="character" w:styleId="ListLabel565">
    <w:name w:val="ListLabel 565"/>
    <w:qFormat/>
    <w:rPr>
      <w:rFonts w:cs="Times New Roman"/>
    </w:rPr>
  </w:style>
  <w:style w:type="character" w:styleId="ListLabel566">
    <w:name w:val="ListLabel 566"/>
    <w:qFormat/>
    <w:rPr>
      <w:rFonts w:cs="Times New Roman"/>
    </w:rPr>
  </w:style>
  <w:style w:type="character" w:styleId="ListLabel567">
    <w:name w:val="ListLabel 567"/>
    <w:qFormat/>
    <w:rPr>
      <w:rFonts w:cs="Times New Roman"/>
    </w:rPr>
  </w:style>
  <w:style w:type="character" w:styleId="ListLabel568">
    <w:name w:val="ListLabel 568"/>
    <w:qFormat/>
    <w:rPr>
      <w:rFonts w:ascii="Arial" w:hAnsi="Arial" w:cs="Times New Roman"/>
      <w:b/>
      <w:sz w:val="24"/>
    </w:rPr>
  </w:style>
  <w:style w:type="character" w:styleId="ListLabel569">
    <w:name w:val="ListLabel 569"/>
    <w:qFormat/>
    <w:rPr>
      <w:rFonts w:cs="Times New Roman"/>
    </w:rPr>
  </w:style>
  <w:style w:type="character" w:styleId="ListLabel570">
    <w:name w:val="ListLabel 570"/>
    <w:qFormat/>
    <w:rPr>
      <w:rFonts w:cs="Times New Roman"/>
    </w:rPr>
  </w:style>
  <w:style w:type="character" w:styleId="ListLabel571">
    <w:name w:val="ListLabel 571"/>
    <w:qFormat/>
    <w:rPr>
      <w:rFonts w:cs="Times New Roman"/>
    </w:rPr>
  </w:style>
  <w:style w:type="character" w:styleId="ListLabel572">
    <w:name w:val="ListLabel 572"/>
    <w:qFormat/>
    <w:rPr>
      <w:rFonts w:cs="Times New Roman"/>
    </w:rPr>
  </w:style>
  <w:style w:type="character" w:styleId="ListLabel573">
    <w:name w:val="ListLabel 573"/>
    <w:qFormat/>
    <w:rPr>
      <w:rFonts w:cs="Times New Roman"/>
    </w:rPr>
  </w:style>
  <w:style w:type="character" w:styleId="ListLabel574">
    <w:name w:val="ListLabel 574"/>
    <w:qFormat/>
    <w:rPr>
      <w:rFonts w:cs="Times New Roman"/>
    </w:rPr>
  </w:style>
  <w:style w:type="character" w:styleId="ListLabel575">
    <w:name w:val="ListLabel 575"/>
    <w:qFormat/>
    <w:rPr>
      <w:rFonts w:cs="Times New Roman"/>
    </w:rPr>
  </w:style>
  <w:style w:type="character" w:styleId="ListLabel576">
    <w:name w:val="ListLabel 576"/>
    <w:qFormat/>
    <w:rPr>
      <w:rFonts w:cs="Times New Roman"/>
    </w:rPr>
  </w:style>
  <w:style w:type="character" w:styleId="ListLabel577">
    <w:name w:val="ListLabel 577"/>
    <w:qFormat/>
    <w:rPr>
      <w:rFonts w:ascii="Arial" w:hAnsi="Arial" w:cs="Times New Roman"/>
      <w:sz w:val="24"/>
    </w:rPr>
  </w:style>
  <w:style w:type="character" w:styleId="ListLabel578">
    <w:name w:val="ListLabel 578"/>
    <w:qFormat/>
    <w:rPr>
      <w:rFonts w:cs="Times New Roman"/>
    </w:rPr>
  </w:style>
  <w:style w:type="character" w:styleId="ListLabel579">
    <w:name w:val="ListLabel 579"/>
    <w:qFormat/>
    <w:rPr>
      <w:rFonts w:cs="Times New Roman"/>
    </w:rPr>
  </w:style>
  <w:style w:type="character" w:styleId="ListLabel580">
    <w:name w:val="ListLabel 580"/>
    <w:qFormat/>
    <w:rPr>
      <w:rFonts w:cs="Times New Roman"/>
    </w:rPr>
  </w:style>
  <w:style w:type="character" w:styleId="ListLabel581">
    <w:name w:val="ListLabel 581"/>
    <w:qFormat/>
    <w:rPr>
      <w:rFonts w:cs="Times New Roman"/>
    </w:rPr>
  </w:style>
  <w:style w:type="character" w:styleId="ListLabel582">
    <w:name w:val="ListLabel 582"/>
    <w:qFormat/>
    <w:rPr>
      <w:rFonts w:cs="Times New Roman"/>
    </w:rPr>
  </w:style>
  <w:style w:type="character" w:styleId="ListLabel583">
    <w:name w:val="ListLabel 583"/>
    <w:qFormat/>
    <w:rPr>
      <w:rFonts w:cs="Times New Roman"/>
    </w:rPr>
  </w:style>
  <w:style w:type="character" w:styleId="ListLabel584">
    <w:name w:val="ListLabel 584"/>
    <w:qFormat/>
    <w:rPr>
      <w:rFonts w:cs="Times New Roman"/>
    </w:rPr>
  </w:style>
  <w:style w:type="character" w:styleId="ListLabel585">
    <w:name w:val="ListLabel 585"/>
    <w:qFormat/>
    <w:rPr>
      <w:rFonts w:cs="Times New Roman"/>
    </w:rPr>
  </w:style>
  <w:style w:type="character" w:styleId="ListLabel586">
    <w:name w:val="ListLabel 586"/>
    <w:qFormat/>
    <w:rPr>
      <w:rFonts w:ascii="Arial" w:hAnsi="Arial" w:cs="Times New Roman"/>
      <w:sz w:val="24"/>
    </w:rPr>
  </w:style>
  <w:style w:type="character" w:styleId="ListLabel587">
    <w:name w:val="ListLabel 587"/>
    <w:qFormat/>
    <w:rPr>
      <w:rFonts w:ascii="Arial" w:hAnsi="Arial" w:cs="Times New Roman"/>
      <w:b/>
      <w:sz w:val="24"/>
    </w:rPr>
  </w:style>
  <w:style w:type="character" w:styleId="ListLabel588">
    <w:name w:val="ListLabel 588"/>
    <w:qFormat/>
    <w:rPr>
      <w:rFonts w:cs="Times New Roman"/>
    </w:rPr>
  </w:style>
  <w:style w:type="character" w:styleId="ListLabel589">
    <w:name w:val="ListLabel 589"/>
    <w:qFormat/>
    <w:rPr>
      <w:rFonts w:cs="Arial"/>
    </w:rPr>
  </w:style>
  <w:style w:type="character" w:styleId="ListLabel590">
    <w:name w:val="ListLabel 590"/>
    <w:qFormat/>
    <w:rPr>
      <w:rFonts w:cs="Times New Roman"/>
    </w:rPr>
  </w:style>
  <w:style w:type="character" w:styleId="ListLabel591">
    <w:name w:val="ListLabel 591"/>
    <w:qFormat/>
    <w:rPr>
      <w:rFonts w:cs="Times New Roman"/>
    </w:rPr>
  </w:style>
  <w:style w:type="character" w:styleId="ListLabel592">
    <w:name w:val="ListLabel 592"/>
    <w:qFormat/>
    <w:rPr>
      <w:rFonts w:cs="Times New Roman"/>
    </w:rPr>
  </w:style>
  <w:style w:type="character" w:styleId="ListLabel593">
    <w:name w:val="ListLabel 593"/>
    <w:qFormat/>
    <w:rPr>
      <w:rFonts w:cs="Times New Roman"/>
    </w:rPr>
  </w:style>
  <w:style w:type="character" w:styleId="ListLabel594">
    <w:name w:val="ListLabel 594"/>
    <w:qFormat/>
    <w:rPr>
      <w:rFonts w:cs="Times New Roman"/>
    </w:rPr>
  </w:style>
  <w:style w:type="character" w:styleId="ListLabel595">
    <w:name w:val="ListLabel 595"/>
    <w:qFormat/>
    <w:rPr>
      <w:rFonts w:ascii="Arial" w:hAnsi="Arial" w:cs="Times New Roman"/>
      <w:sz w:val="24"/>
    </w:rPr>
  </w:style>
  <w:style w:type="character" w:styleId="ListLabel596">
    <w:name w:val="ListLabel 596"/>
    <w:qFormat/>
    <w:rPr>
      <w:rFonts w:cs="Times New Roman"/>
    </w:rPr>
  </w:style>
  <w:style w:type="character" w:styleId="ListLabel597">
    <w:name w:val="ListLabel 597"/>
    <w:qFormat/>
    <w:rPr>
      <w:rFonts w:cs="Times New Roman"/>
    </w:rPr>
  </w:style>
  <w:style w:type="character" w:styleId="ListLabel598">
    <w:name w:val="ListLabel 598"/>
    <w:qFormat/>
    <w:rPr>
      <w:rFonts w:cs="Times New Roman"/>
    </w:rPr>
  </w:style>
  <w:style w:type="character" w:styleId="ListLabel599">
    <w:name w:val="ListLabel 599"/>
    <w:qFormat/>
    <w:rPr>
      <w:rFonts w:cs="Times New Roman"/>
    </w:rPr>
  </w:style>
  <w:style w:type="character" w:styleId="ListLabel600">
    <w:name w:val="ListLabel 600"/>
    <w:qFormat/>
    <w:rPr>
      <w:rFonts w:cs="Times New Roman"/>
    </w:rPr>
  </w:style>
  <w:style w:type="character" w:styleId="ListLabel601">
    <w:name w:val="ListLabel 601"/>
    <w:qFormat/>
    <w:rPr>
      <w:rFonts w:cs="Times New Roman"/>
    </w:rPr>
  </w:style>
  <w:style w:type="character" w:styleId="ListLabel602">
    <w:name w:val="ListLabel 602"/>
    <w:qFormat/>
    <w:rPr>
      <w:rFonts w:cs="Times New Roman"/>
    </w:rPr>
  </w:style>
  <w:style w:type="character" w:styleId="ListLabel603">
    <w:name w:val="ListLabel 603"/>
    <w:qFormat/>
    <w:rPr>
      <w:rFonts w:cs="Times New Roman"/>
    </w:rPr>
  </w:style>
  <w:style w:type="character" w:styleId="ListLabel604">
    <w:name w:val="ListLabel 604"/>
    <w:qFormat/>
    <w:rPr>
      <w:rFonts w:ascii="Arial" w:hAnsi="Arial" w:cs="Times New Roman"/>
      <w:sz w:val="24"/>
    </w:rPr>
  </w:style>
  <w:style w:type="character" w:styleId="ListLabel605">
    <w:name w:val="ListLabel 605"/>
    <w:qFormat/>
    <w:rPr>
      <w:rFonts w:cs="Times New Roman"/>
    </w:rPr>
  </w:style>
  <w:style w:type="character" w:styleId="ListLabel606">
    <w:name w:val="ListLabel 606"/>
    <w:qFormat/>
    <w:rPr>
      <w:rFonts w:cs="Times New Roman"/>
    </w:rPr>
  </w:style>
  <w:style w:type="character" w:styleId="ListLabel607">
    <w:name w:val="ListLabel 607"/>
    <w:qFormat/>
    <w:rPr>
      <w:rFonts w:cs="Times New Roman"/>
    </w:rPr>
  </w:style>
  <w:style w:type="character" w:styleId="ListLabel608">
    <w:name w:val="ListLabel 608"/>
    <w:qFormat/>
    <w:rPr>
      <w:rFonts w:cs="Times New Roman"/>
    </w:rPr>
  </w:style>
  <w:style w:type="character" w:styleId="ListLabel609">
    <w:name w:val="ListLabel 609"/>
    <w:qFormat/>
    <w:rPr>
      <w:rFonts w:cs="Times New Roman"/>
    </w:rPr>
  </w:style>
  <w:style w:type="character" w:styleId="ListLabel610">
    <w:name w:val="ListLabel 610"/>
    <w:qFormat/>
    <w:rPr>
      <w:rFonts w:cs="Times New Roman"/>
    </w:rPr>
  </w:style>
  <w:style w:type="character" w:styleId="ListLabel611">
    <w:name w:val="ListLabel 611"/>
    <w:qFormat/>
    <w:rPr>
      <w:rFonts w:cs="Times New Roman"/>
    </w:rPr>
  </w:style>
  <w:style w:type="character" w:styleId="ListLabel612">
    <w:name w:val="ListLabel 612"/>
    <w:qFormat/>
    <w:rPr>
      <w:rFonts w:cs="Times New Roman"/>
    </w:rPr>
  </w:style>
  <w:style w:type="character" w:styleId="ListLabel613">
    <w:name w:val="ListLabel 613"/>
    <w:qFormat/>
    <w:rPr>
      <w:rFonts w:ascii="Arial" w:hAnsi="Arial" w:cs="Times New Roman"/>
      <w:sz w:val="24"/>
    </w:rPr>
  </w:style>
  <w:style w:type="character" w:styleId="ListLabel614">
    <w:name w:val="ListLabel 614"/>
    <w:qFormat/>
    <w:rPr>
      <w:rFonts w:cs="Times New Roman"/>
    </w:rPr>
  </w:style>
  <w:style w:type="character" w:styleId="ListLabel615">
    <w:name w:val="ListLabel 615"/>
    <w:qFormat/>
    <w:rPr>
      <w:rFonts w:cs="Times New Roman"/>
    </w:rPr>
  </w:style>
  <w:style w:type="character" w:styleId="ListLabel616">
    <w:name w:val="ListLabel 616"/>
    <w:qFormat/>
    <w:rPr>
      <w:rFonts w:cs="Times New Roman"/>
    </w:rPr>
  </w:style>
  <w:style w:type="character" w:styleId="ListLabel617">
    <w:name w:val="ListLabel 617"/>
    <w:qFormat/>
    <w:rPr>
      <w:rFonts w:cs="Times New Roman"/>
    </w:rPr>
  </w:style>
  <w:style w:type="character" w:styleId="ListLabel618">
    <w:name w:val="ListLabel 618"/>
    <w:qFormat/>
    <w:rPr>
      <w:rFonts w:cs="Times New Roman"/>
    </w:rPr>
  </w:style>
  <w:style w:type="character" w:styleId="ListLabel619">
    <w:name w:val="ListLabel 619"/>
    <w:qFormat/>
    <w:rPr>
      <w:rFonts w:cs="Times New Roman"/>
    </w:rPr>
  </w:style>
  <w:style w:type="character" w:styleId="ListLabel620">
    <w:name w:val="ListLabel 620"/>
    <w:qFormat/>
    <w:rPr>
      <w:rFonts w:cs="Times New Roman"/>
    </w:rPr>
  </w:style>
  <w:style w:type="character" w:styleId="ListLabel621">
    <w:name w:val="ListLabel 621"/>
    <w:qFormat/>
    <w:rPr>
      <w:rFonts w:cs="Times New Roman"/>
    </w:rPr>
  </w:style>
  <w:style w:type="character" w:styleId="ListLabel622">
    <w:name w:val="ListLabel 622"/>
    <w:qFormat/>
    <w:rPr>
      <w:rFonts w:ascii="Arial" w:hAnsi="Arial" w:cs="Times New Roman"/>
      <w:sz w:val="24"/>
    </w:rPr>
  </w:style>
  <w:style w:type="character" w:styleId="ListLabel623">
    <w:name w:val="ListLabel 623"/>
    <w:qFormat/>
    <w:rPr>
      <w:rFonts w:cs="Times New Roman"/>
    </w:rPr>
  </w:style>
  <w:style w:type="character" w:styleId="ListLabel624">
    <w:name w:val="ListLabel 624"/>
    <w:qFormat/>
    <w:rPr>
      <w:rFonts w:cs="Times New Roman"/>
    </w:rPr>
  </w:style>
  <w:style w:type="character" w:styleId="ListLabel625">
    <w:name w:val="ListLabel 625"/>
    <w:qFormat/>
    <w:rPr>
      <w:rFonts w:cs="Times New Roman"/>
    </w:rPr>
  </w:style>
  <w:style w:type="character" w:styleId="ListLabel626">
    <w:name w:val="ListLabel 626"/>
    <w:qFormat/>
    <w:rPr>
      <w:rFonts w:cs="Times New Roman"/>
    </w:rPr>
  </w:style>
  <w:style w:type="character" w:styleId="ListLabel627">
    <w:name w:val="ListLabel 627"/>
    <w:qFormat/>
    <w:rPr>
      <w:rFonts w:cs="Times New Roman"/>
    </w:rPr>
  </w:style>
  <w:style w:type="character" w:styleId="ListLabel628">
    <w:name w:val="ListLabel 628"/>
    <w:qFormat/>
    <w:rPr>
      <w:rFonts w:cs="Times New Roman"/>
    </w:rPr>
  </w:style>
  <w:style w:type="character" w:styleId="ListLabel629">
    <w:name w:val="ListLabel 629"/>
    <w:qFormat/>
    <w:rPr>
      <w:rFonts w:cs="Times New Roman"/>
    </w:rPr>
  </w:style>
  <w:style w:type="character" w:styleId="ListLabel630">
    <w:name w:val="ListLabel 630"/>
    <w:qFormat/>
    <w:rPr>
      <w:rFonts w:cs="Times New Roman"/>
    </w:rPr>
  </w:style>
  <w:style w:type="character" w:styleId="ListLabel631">
    <w:name w:val="ListLabel 631"/>
    <w:qFormat/>
    <w:rPr>
      <w:rFonts w:ascii="Arial" w:hAnsi="Arial" w:cs="Times New Roman"/>
      <w:b/>
      <w:sz w:val="24"/>
    </w:rPr>
  </w:style>
  <w:style w:type="character" w:styleId="ListLabel632">
    <w:name w:val="ListLabel 632"/>
    <w:qFormat/>
    <w:rPr>
      <w:rFonts w:cs="Times New Roman"/>
    </w:rPr>
  </w:style>
  <w:style w:type="character" w:styleId="ListLabel633">
    <w:name w:val="ListLabel 633"/>
    <w:qFormat/>
    <w:rPr>
      <w:rFonts w:cs="Times New Roman"/>
    </w:rPr>
  </w:style>
  <w:style w:type="character" w:styleId="ListLabel634">
    <w:name w:val="ListLabel 634"/>
    <w:qFormat/>
    <w:rPr>
      <w:rFonts w:cs="Times New Roman"/>
    </w:rPr>
  </w:style>
  <w:style w:type="character" w:styleId="ListLabel635">
    <w:name w:val="ListLabel 635"/>
    <w:qFormat/>
    <w:rPr>
      <w:rFonts w:cs="Times New Roman"/>
    </w:rPr>
  </w:style>
  <w:style w:type="character" w:styleId="ListLabel636">
    <w:name w:val="ListLabel 636"/>
    <w:qFormat/>
    <w:rPr>
      <w:rFonts w:cs="Times New Roman"/>
    </w:rPr>
  </w:style>
  <w:style w:type="character" w:styleId="ListLabel637">
    <w:name w:val="ListLabel 637"/>
    <w:qFormat/>
    <w:rPr>
      <w:rFonts w:cs="Times New Roman"/>
    </w:rPr>
  </w:style>
  <w:style w:type="character" w:styleId="ListLabel638">
    <w:name w:val="ListLabel 638"/>
    <w:qFormat/>
    <w:rPr>
      <w:rFonts w:cs="Times New Roman"/>
    </w:rPr>
  </w:style>
  <w:style w:type="character" w:styleId="ListLabel639">
    <w:name w:val="ListLabel 639"/>
    <w:qFormat/>
    <w:rPr>
      <w:rFonts w:cs="Times New Roman"/>
    </w:rPr>
  </w:style>
  <w:style w:type="character" w:styleId="ListLabel640">
    <w:name w:val="ListLabel 640"/>
    <w:qFormat/>
    <w:rPr>
      <w:rFonts w:ascii="Arial" w:hAnsi="Arial" w:cs="Times New Roman"/>
      <w:sz w:val="24"/>
    </w:rPr>
  </w:style>
  <w:style w:type="character" w:styleId="ListLabel641">
    <w:name w:val="ListLabel 641"/>
    <w:qFormat/>
    <w:rPr>
      <w:rFonts w:cs="Times New Roman"/>
      <w:b/>
    </w:rPr>
  </w:style>
  <w:style w:type="character" w:styleId="ListLabel642">
    <w:name w:val="ListLabel 642"/>
    <w:qFormat/>
    <w:rPr>
      <w:rFonts w:cs="Times New Roman"/>
    </w:rPr>
  </w:style>
  <w:style w:type="character" w:styleId="ListLabel643">
    <w:name w:val="ListLabel 643"/>
    <w:qFormat/>
    <w:rPr>
      <w:rFonts w:cs="Times New Roman"/>
    </w:rPr>
  </w:style>
  <w:style w:type="character" w:styleId="ListLabel644">
    <w:name w:val="ListLabel 644"/>
    <w:qFormat/>
    <w:rPr>
      <w:rFonts w:cs="Times New Roman"/>
    </w:rPr>
  </w:style>
  <w:style w:type="character" w:styleId="ListLabel645">
    <w:name w:val="ListLabel 645"/>
    <w:qFormat/>
    <w:rPr>
      <w:rFonts w:cs="Times New Roman"/>
    </w:rPr>
  </w:style>
  <w:style w:type="character" w:styleId="ListLabel646">
    <w:name w:val="ListLabel 646"/>
    <w:qFormat/>
    <w:rPr>
      <w:rFonts w:cs="Times New Roman"/>
    </w:rPr>
  </w:style>
  <w:style w:type="character" w:styleId="ListLabel647">
    <w:name w:val="ListLabel 647"/>
    <w:qFormat/>
    <w:rPr>
      <w:rFonts w:cs="Times New Roman"/>
    </w:rPr>
  </w:style>
  <w:style w:type="character" w:styleId="ListLabel648">
    <w:name w:val="ListLabel 648"/>
    <w:qFormat/>
    <w:rPr>
      <w:rFonts w:cs="Times New Roman"/>
    </w:rPr>
  </w:style>
  <w:style w:type="character" w:styleId="ListLabel649">
    <w:name w:val="ListLabel 649"/>
    <w:qFormat/>
    <w:rPr>
      <w:rFonts w:cs="Times New Roman"/>
    </w:rPr>
  </w:style>
  <w:style w:type="character" w:styleId="ListLabel650">
    <w:name w:val="ListLabel 650"/>
    <w:qFormat/>
    <w:rPr>
      <w:rFonts w:cs="Times New Roman"/>
    </w:rPr>
  </w:style>
  <w:style w:type="character" w:styleId="ListLabel651">
    <w:name w:val="ListLabel 651"/>
    <w:qFormat/>
    <w:rPr>
      <w:rFonts w:cs="Times New Roman"/>
    </w:rPr>
  </w:style>
  <w:style w:type="character" w:styleId="ListLabel652">
    <w:name w:val="ListLabel 652"/>
    <w:qFormat/>
    <w:rPr>
      <w:rFonts w:cs="Times New Roman"/>
    </w:rPr>
  </w:style>
  <w:style w:type="character" w:styleId="ListLabel653">
    <w:name w:val="ListLabel 653"/>
    <w:qFormat/>
    <w:rPr>
      <w:rFonts w:cs="Times New Roman"/>
    </w:rPr>
  </w:style>
  <w:style w:type="character" w:styleId="ListLabel654">
    <w:name w:val="ListLabel 654"/>
    <w:qFormat/>
    <w:rPr>
      <w:rFonts w:cs="Times New Roman"/>
    </w:rPr>
  </w:style>
  <w:style w:type="character" w:styleId="ListLabel655">
    <w:name w:val="ListLabel 655"/>
    <w:qFormat/>
    <w:rPr>
      <w:rFonts w:cs="Times New Roman"/>
    </w:rPr>
  </w:style>
  <w:style w:type="character" w:styleId="ListLabel656">
    <w:name w:val="ListLabel 656"/>
    <w:qFormat/>
    <w:rPr>
      <w:rFonts w:cs="Times New Roman"/>
    </w:rPr>
  </w:style>
  <w:style w:type="character" w:styleId="ListLabel657">
    <w:name w:val="ListLabel 657"/>
    <w:qFormat/>
    <w:rPr>
      <w:rFonts w:cs="Times New Roman"/>
    </w:rPr>
  </w:style>
  <w:style w:type="character" w:styleId="ListLabel658">
    <w:name w:val="ListLabel 658"/>
    <w:qFormat/>
    <w:rPr>
      <w:rFonts w:ascii="Arial" w:hAnsi="Arial" w:cs="Times New Roman"/>
      <w:sz w:val="24"/>
    </w:rPr>
  </w:style>
  <w:style w:type="character" w:styleId="ListLabel659">
    <w:name w:val="ListLabel 659"/>
    <w:qFormat/>
    <w:rPr>
      <w:rFonts w:cs="Times New Roman"/>
    </w:rPr>
  </w:style>
  <w:style w:type="character" w:styleId="ListLabel660">
    <w:name w:val="ListLabel 660"/>
    <w:qFormat/>
    <w:rPr>
      <w:rFonts w:cs="Times New Roman"/>
    </w:rPr>
  </w:style>
  <w:style w:type="character" w:styleId="ListLabel661">
    <w:name w:val="ListLabel 661"/>
    <w:qFormat/>
    <w:rPr>
      <w:rFonts w:cs="Times New Roman"/>
    </w:rPr>
  </w:style>
  <w:style w:type="character" w:styleId="ListLabel662">
    <w:name w:val="ListLabel 662"/>
    <w:qFormat/>
    <w:rPr>
      <w:rFonts w:cs="Times New Roman"/>
    </w:rPr>
  </w:style>
  <w:style w:type="character" w:styleId="ListLabel663">
    <w:name w:val="ListLabel 663"/>
    <w:qFormat/>
    <w:rPr>
      <w:rFonts w:cs="Times New Roman"/>
    </w:rPr>
  </w:style>
  <w:style w:type="character" w:styleId="ListLabel664">
    <w:name w:val="ListLabel 664"/>
    <w:qFormat/>
    <w:rPr>
      <w:rFonts w:cs="Times New Roman"/>
    </w:rPr>
  </w:style>
  <w:style w:type="character" w:styleId="ListLabel665">
    <w:name w:val="ListLabel 665"/>
    <w:qFormat/>
    <w:rPr>
      <w:rFonts w:cs="Times New Roman"/>
    </w:rPr>
  </w:style>
  <w:style w:type="character" w:styleId="ListLabel666">
    <w:name w:val="ListLabel 666"/>
    <w:qFormat/>
    <w:rPr>
      <w:rFonts w:cs="Times New Roman"/>
    </w:rPr>
  </w:style>
  <w:style w:type="character" w:styleId="ListLabel667">
    <w:name w:val="ListLabel 667"/>
    <w:qFormat/>
    <w:rPr>
      <w:rFonts w:ascii="Arial" w:hAnsi="Arial" w:cs="Times New Roman"/>
      <w:sz w:val="24"/>
    </w:rPr>
  </w:style>
  <w:style w:type="character" w:styleId="ListLabel668">
    <w:name w:val="ListLabel 668"/>
    <w:qFormat/>
    <w:rPr>
      <w:rFonts w:cs="Times New Roman"/>
    </w:rPr>
  </w:style>
  <w:style w:type="character" w:styleId="ListLabel669">
    <w:name w:val="ListLabel 669"/>
    <w:qFormat/>
    <w:rPr>
      <w:rFonts w:cs="Times New Roman"/>
    </w:rPr>
  </w:style>
  <w:style w:type="character" w:styleId="ListLabel670">
    <w:name w:val="ListLabel 670"/>
    <w:qFormat/>
    <w:rPr>
      <w:rFonts w:cs="Times New Roman"/>
    </w:rPr>
  </w:style>
  <w:style w:type="character" w:styleId="ListLabel671">
    <w:name w:val="ListLabel 671"/>
    <w:qFormat/>
    <w:rPr>
      <w:rFonts w:cs="Times New Roman"/>
    </w:rPr>
  </w:style>
  <w:style w:type="character" w:styleId="ListLabel672">
    <w:name w:val="ListLabel 672"/>
    <w:qFormat/>
    <w:rPr>
      <w:rFonts w:cs="Times New Roman"/>
    </w:rPr>
  </w:style>
  <w:style w:type="character" w:styleId="ListLabel673">
    <w:name w:val="ListLabel 673"/>
    <w:qFormat/>
    <w:rPr>
      <w:rFonts w:cs="Times New Roman"/>
    </w:rPr>
  </w:style>
  <w:style w:type="character" w:styleId="ListLabel674">
    <w:name w:val="ListLabel 674"/>
    <w:qFormat/>
    <w:rPr>
      <w:rFonts w:cs="Times New Roman"/>
    </w:rPr>
  </w:style>
  <w:style w:type="character" w:styleId="ListLabel675">
    <w:name w:val="ListLabel 675"/>
    <w:qFormat/>
    <w:rPr>
      <w:rFonts w:cs="Times New Roman"/>
    </w:rPr>
  </w:style>
  <w:style w:type="character" w:styleId="ListLabel676">
    <w:name w:val="ListLabel 676"/>
    <w:qFormat/>
    <w:rPr>
      <w:rFonts w:ascii="Arial" w:hAnsi="Arial" w:cs="Times New Roman"/>
      <w:sz w:val="24"/>
    </w:rPr>
  </w:style>
  <w:style w:type="character" w:styleId="ListLabel677">
    <w:name w:val="ListLabel 677"/>
    <w:qFormat/>
    <w:rPr>
      <w:rFonts w:cs="Times New Roman"/>
    </w:rPr>
  </w:style>
  <w:style w:type="character" w:styleId="ListLabel678">
    <w:name w:val="ListLabel 678"/>
    <w:qFormat/>
    <w:rPr>
      <w:rFonts w:cs="Times New Roman"/>
    </w:rPr>
  </w:style>
  <w:style w:type="character" w:styleId="ListLabel679">
    <w:name w:val="ListLabel 679"/>
    <w:qFormat/>
    <w:rPr>
      <w:rFonts w:cs="Times New Roman"/>
    </w:rPr>
  </w:style>
  <w:style w:type="character" w:styleId="ListLabel680">
    <w:name w:val="ListLabel 680"/>
    <w:qFormat/>
    <w:rPr>
      <w:rFonts w:cs="Times New Roman"/>
    </w:rPr>
  </w:style>
  <w:style w:type="character" w:styleId="ListLabel681">
    <w:name w:val="ListLabel 681"/>
    <w:qFormat/>
    <w:rPr>
      <w:rFonts w:cs="Times New Roman"/>
    </w:rPr>
  </w:style>
  <w:style w:type="character" w:styleId="ListLabel682">
    <w:name w:val="ListLabel 682"/>
    <w:qFormat/>
    <w:rPr>
      <w:rFonts w:cs="Times New Roman"/>
    </w:rPr>
  </w:style>
  <w:style w:type="character" w:styleId="ListLabel683">
    <w:name w:val="ListLabel 683"/>
    <w:qFormat/>
    <w:rPr>
      <w:rFonts w:cs="Times New Roman"/>
    </w:rPr>
  </w:style>
  <w:style w:type="character" w:styleId="ListLabel684">
    <w:name w:val="ListLabel 684"/>
    <w:qFormat/>
    <w:rPr>
      <w:rFonts w:cs="Times New Roman"/>
    </w:rPr>
  </w:style>
  <w:style w:type="character" w:styleId="ListLabel685">
    <w:name w:val="ListLabel 685"/>
    <w:qFormat/>
    <w:rPr>
      <w:rFonts w:cs="Times New Roman"/>
    </w:rPr>
  </w:style>
  <w:style w:type="character" w:styleId="ListLabel686">
    <w:name w:val="ListLabel 686"/>
    <w:qFormat/>
    <w:rPr>
      <w:rFonts w:cs="Times New Roman"/>
    </w:rPr>
  </w:style>
  <w:style w:type="character" w:styleId="ListLabel687">
    <w:name w:val="ListLabel 687"/>
    <w:qFormat/>
    <w:rPr>
      <w:rFonts w:cs="Times New Roman"/>
    </w:rPr>
  </w:style>
  <w:style w:type="character" w:styleId="ListLabel688">
    <w:name w:val="ListLabel 688"/>
    <w:qFormat/>
    <w:rPr>
      <w:rFonts w:cs="Times New Roman"/>
    </w:rPr>
  </w:style>
  <w:style w:type="character" w:styleId="ListLabel689">
    <w:name w:val="ListLabel 689"/>
    <w:qFormat/>
    <w:rPr>
      <w:rFonts w:cs="Times New Roman"/>
    </w:rPr>
  </w:style>
  <w:style w:type="character" w:styleId="ListLabel690">
    <w:name w:val="ListLabel 690"/>
    <w:qFormat/>
    <w:rPr>
      <w:rFonts w:cs="Times New Roman"/>
    </w:rPr>
  </w:style>
  <w:style w:type="character" w:styleId="ListLabel691">
    <w:name w:val="ListLabel 691"/>
    <w:qFormat/>
    <w:rPr>
      <w:rFonts w:cs="Times New Roman"/>
    </w:rPr>
  </w:style>
  <w:style w:type="character" w:styleId="ListLabel692">
    <w:name w:val="ListLabel 692"/>
    <w:qFormat/>
    <w:rPr>
      <w:rFonts w:cs="Times New Roman"/>
    </w:rPr>
  </w:style>
  <w:style w:type="character" w:styleId="ListLabel693">
    <w:name w:val="ListLabel 693"/>
    <w:qFormat/>
    <w:rPr>
      <w:rFonts w:cs="Times New Roman"/>
    </w:rPr>
  </w:style>
  <w:style w:type="character" w:styleId="ListLabel694">
    <w:name w:val="ListLabel 694"/>
    <w:qFormat/>
    <w:rPr>
      <w:rFonts w:cs="Times New Roman"/>
      <w:b w:val="false"/>
    </w:rPr>
  </w:style>
  <w:style w:type="character" w:styleId="ListLabel695">
    <w:name w:val="ListLabel 695"/>
    <w:qFormat/>
    <w:rPr>
      <w:rFonts w:cs="Times New Roman"/>
    </w:rPr>
  </w:style>
  <w:style w:type="character" w:styleId="ListLabel696">
    <w:name w:val="ListLabel 696"/>
    <w:qFormat/>
    <w:rPr>
      <w:rFonts w:cs="Times New Roman"/>
    </w:rPr>
  </w:style>
  <w:style w:type="character" w:styleId="ListLabel697">
    <w:name w:val="ListLabel 697"/>
    <w:qFormat/>
    <w:rPr>
      <w:rFonts w:cs="Times New Roman"/>
    </w:rPr>
  </w:style>
  <w:style w:type="character" w:styleId="ListLabel698">
    <w:name w:val="ListLabel 698"/>
    <w:qFormat/>
    <w:rPr>
      <w:rFonts w:cs="Times New Roman"/>
    </w:rPr>
  </w:style>
  <w:style w:type="character" w:styleId="ListLabel699">
    <w:name w:val="ListLabel 699"/>
    <w:qFormat/>
    <w:rPr>
      <w:rFonts w:cs="Times New Roman"/>
    </w:rPr>
  </w:style>
  <w:style w:type="character" w:styleId="ListLabel700">
    <w:name w:val="ListLabel 700"/>
    <w:qFormat/>
    <w:rPr>
      <w:rFonts w:cs="Times New Roman"/>
    </w:rPr>
  </w:style>
  <w:style w:type="character" w:styleId="ListLabel701">
    <w:name w:val="ListLabel 701"/>
    <w:qFormat/>
    <w:rPr>
      <w:rFonts w:cs="Times New Roman"/>
    </w:rPr>
  </w:style>
  <w:style w:type="character" w:styleId="ListLabel702">
    <w:name w:val="ListLabel 702"/>
    <w:qFormat/>
    <w:rPr>
      <w:rFonts w:cs="Times New Roman"/>
    </w:rPr>
  </w:style>
  <w:style w:type="character" w:styleId="ListLabel703">
    <w:name w:val="ListLabel 703"/>
    <w:qFormat/>
    <w:rPr>
      <w:rFonts w:ascii="Arial" w:hAnsi="Arial" w:cs="Times New Roman"/>
      <w:b/>
      <w:sz w:val="24"/>
    </w:rPr>
  </w:style>
  <w:style w:type="character" w:styleId="ListLabel704">
    <w:name w:val="ListLabel 704"/>
    <w:qFormat/>
    <w:rPr>
      <w:rFonts w:cs="Times New Roman"/>
    </w:rPr>
  </w:style>
  <w:style w:type="character" w:styleId="ListLabel705">
    <w:name w:val="ListLabel 705"/>
    <w:qFormat/>
    <w:rPr>
      <w:rFonts w:cs="Times New Roman"/>
    </w:rPr>
  </w:style>
  <w:style w:type="character" w:styleId="ListLabel706">
    <w:name w:val="ListLabel 706"/>
    <w:qFormat/>
    <w:rPr>
      <w:rFonts w:cs="Times New Roman"/>
    </w:rPr>
  </w:style>
  <w:style w:type="character" w:styleId="ListLabel707">
    <w:name w:val="ListLabel 707"/>
    <w:qFormat/>
    <w:rPr>
      <w:rFonts w:cs="Times New Roman"/>
    </w:rPr>
  </w:style>
  <w:style w:type="character" w:styleId="ListLabel708">
    <w:name w:val="ListLabel 708"/>
    <w:qFormat/>
    <w:rPr>
      <w:rFonts w:cs="Times New Roman"/>
    </w:rPr>
  </w:style>
  <w:style w:type="character" w:styleId="ListLabel709">
    <w:name w:val="ListLabel 709"/>
    <w:qFormat/>
    <w:rPr>
      <w:rFonts w:cs="Times New Roman"/>
    </w:rPr>
  </w:style>
  <w:style w:type="character" w:styleId="ListLabel710">
    <w:name w:val="ListLabel 710"/>
    <w:qFormat/>
    <w:rPr>
      <w:rFonts w:cs="Times New Roman"/>
    </w:rPr>
  </w:style>
  <w:style w:type="character" w:styleId="ListLabel711">
    <w:name w:val="ListLabel 711"/>
    <w:qFormat/>
    <w:rPr>
      <w:rFonts w:cs="Times New Roman"/>
    </w:rPr>
  </w:style>
  <w:style w:type="character" w:styleId="ListLabel712">
    <w:name w:val="ListLabel 712"/>
    <w:qFormat/>
    <w:rPr>
      <w:rFonts w:ascii="Arial" w:hAnsi="Arial" w:cs="Times New Roman"/>
      <w:sz w:val="24"/>
    </w:rPr>
  </w:style>
  <w:style w:type="character" w:styleId="ListLabel713">
    <w:name w:val="ListLabel 713"/>
    <w:qFormat/>
    <w:rPr>
      <w:rFonts w:cs="Times New Roman"/>
    </w:rPr>
  </w:style>
  <w:style w:type="character" w:styleId="ListLabel714">
    <w:name w:val="ListLabel 714"/>
    <w:qFormat/>
    <w:rPr>
      <w:rFonts w:cs="Times New Roman"/>
    </w:rPr>
  </w:style>
  <w:style w:type="character" w:styleId="ListLabel715">
    <w:name w:val="ListLabel 715"/>
    <w:qFormat/>
    <w:rPr>
      <w:rFonts w:cs="Times New Roman"/>
    </w:rPr>
  </w:style>
  <w:style w:type="character" w:styleId="ListLabel716">
    <w:name w:val="ListLabel 716"/>
    <w:qFormat/>
    <w:rPr>
      <w:rFonts w:cs="Times New Roman"/>
    </w:rPr>
  </w:style>
  <w:style w:type="character" w:styleId="ListLabel717">
    <w:name w:val="ListLabel 717"/>
    <w:qFormat/>
    <w:rPr>
      <w:rFonts w:cs="Times New Roman"/>
    </w:rPr>
  </w:style>
  <w:style w:type="character" w:styleId="ListLabel718">
    <w:name w:val="ListLabel 718"/>
    <w:qFormat/>
    <w:rPr>
      <w:rFonts w:cs="Times New Roman"/>
    </w:rPr>
  </w:style>
  <w:style w:type="character" w:styleId="ListLabel719">
    <w:name w:val="ListLabel 719"/>
    <w:qFormat/>
    <w:rPr>
      <w:rFonts w:cs="Times New Roman"/>
    </w:rPr>
  </w:style>
  <w:style w:type="character" w:styleId="ListLabel720">
    <w:name w:val="ListLabel 720"/>
    <w:qFormat/>
    <w:rPr>
      <w:rFonts w:cs="Times New Roman"/>
    </w:rPr>
  </w:style>
  <w:style w:type="character" w:styleId="ListLabel721">
    <w:name w:val="ListLabel 721"/>
    <w:qFormat/>
    <w:rPr>
      <w:rFonts w:ascii="Arial" w:hAnsi="Arial" w:cs="Times New Roman"/>
      <w:sz w:val="24"/>
    </w:rPr>
  </w:style>
  <w:style w:type="character" w:styleId="ListLabel722">
    <w:name w:val="ListLabel 722"/>
    <w:qFormat/>
    <w:rPr>
      <w:rFonts w:cs="Times New Roman"/>
    </w:rPr>
  </w:style>
  <w:style w:type="character" w:styleId="ListLabel723">
    <w:name w:val="ListLabel 723"/>
    <w:qFormat/>
    <w:rPr>
      <w:rFonts w:cs="Times New Roman"/>
    </w:rPr>
  </w:style>
  <w:style w:type="character" w:styleId="ListLabel724">
    <w:name w:val="ListLabel 724"/>
    <w:qFormat/>
    <w:rPr>
      <w:rFonts w:cs="Times New Roman"/>
    </w:rPr>
  </w:style>
  <w:style w:type="character" w:styleId="ListLabel725">
    <w:name w:val="ListLabel 725"/>
    <w:qFormat/>
    <w:rPr>
      <w:rFonts w:cs="Times New Roman"/>
    </w:rPr>
  </w:style>
  <w:style w:type="character" w:styleId="ListLabel726">
    <w:name w:val="ListLabel 726"/>
    <w:qFormat/>
    <w:rPr>
      <w:rFonts w:cs="Times New Roman"/>
    </w:rPr>
  </w:style>
  <w:style w:type="character" w:styleId="ListLabel727">
    <w:name w:val="ListLabel 727"/>
    <w:qFormat/>
    <w:rPr>
      <w:rFonts w:cs="Times New Roman"/>
    </w:rPr>
  </w:style>
  <w:style w:type="character" w:styleId="ListLabel728">
    <w:name w:val="ListLabel 728"/>
    <w:qFormat/>
    <w:rPr>
      <w:rFonts w:cs="Times New Roman"/>
    </w:rPr>
  </w:style>
  <w:style w:type="character" w:styleId="ListLabel729">
    <w:name w:val="ListLabel 729"/>
    <w:qFormat/>
    <w:rPr>
      <w:rFonts w:cs="Times New Roman"/>
    </w:rPr>
  </w:style>
  <w:style w:type="character" w:styleId="ListLabel730">
    <w:name w:val="ListLabel 730"/>
    <w:qFormat/>
    <w:rPr>
      <w:rFonts w:ascii="Arial" w:hAnsi="Arial" w:cs="Times New Roman"/>
      <w:sz w:val="24"/>
    </w:rPr>
  </w:style>
  <w:style w:type="character" w:styleId="ListLabel731">
    <w:name w:val="ListLabel 731"/>
    <w:qFormat/>
    <w:rPr>
      <w:rFonts w:cs="Times New Roman"/>
    </w:rPr>
  </w:style>
  <w:style w:type="character" w:styleId="ListLabel732">
    <w:name w:val="ListLabel 732"/>
    <w:qFormat/>
    <w:rPr>
      <w:rFonts w:cs="Times New Roman"/>
    </w:rPr>
  </w:style>
  <w:style w:type="character" w:styleId="ListLabel733">
    <w:name w:val="ListLabel 733"/>
    <w:qFormat/>
    <w:rPr>
      <w:rFonts w:cs="Times New Roman"/>
    </w:rPr>
  </w:style>
  <w:style w:type="character" w:styleId="ListLabel734">
    <w:name w:val="ListLabel 734"/>
    <w:qFormat/>
    <w:rPr>
      <w:rFonts w:cs="Times New Roman"/>
    </w:rPr>
  </w:style>
  <w:style w:type="character" w:styleId="ListLabel735">
    <w:name w:val="ListLabel 735"/>
    <w:qFormat/>
    <w:rPr>
      <w:rFonts w:cs="Times New Roman"/>
    </w:rPr>
  </w:style>
  <w:style w:type="character" w:styleId="ListLabel736">
    <w:name w:val="ListLabel 736"/>
    <w:qFormat/>
    <w:rPr>
      <w:rFonts w:cs="Times New Roman"/>
    </w:rPr>
  </w:style>
  <w:style w:type="character" w:styleId="ListLabel737">
    <w:name w:val="ListLabel 737"/>
    <w:qFormat/>
    <w:rPr>
      <w:rFonts w:cs="Times New Roman"/>
    </w:rPr>
  </w:style>
  <w:style w:type="character" w:styleId="ListLabel738">
    <w:name w:val="ListLabel 738"/>
    <w:qFormat/>
    <w:rPr>
      <w:rFonts w:cs="Times New Roman"/>
    </w:rPr>
  </w:style>
  <w:style w:type="character" w:styleId="ListLabel739">
    <w:name w:val="ListLabel 739"/>
    <w:qFormat/>
    <w:rPr>
      <w:rFonts w:ascii="Arial" w:hAnsi="Arial" w:cs="Times New Roman"/>
      <w:b/>
      <w:sz w:val="24"/>
    </w:rPr>
  </w:style>
  <w:style w:type="character" w:styleId="ListLabel740">
    <w:name w:val="ListLabel 740"/>
    <w:qFormat/>
    <w:rPr>
      <w:rFonts w:cs="Times New Roman"/>
    </w:rPr>
  </w:style>
  <w:style w:type="character" w:styleId="ListLabel741">
    <w:name w:val="ListLabel 741"/>
    <w:qFormat/>
    <w:rPr>
      <w:rFonts w:cs="Times New Roman"/>
    </w:rPr>
  </w:style>
  <w:style w:type="character" w:styleId="ListLabel742">
    <w:name w:val="ListLabel 742"/>
    <w:qFormat/>
    <w:rPr>
      <w:rFonts w:cs="Times New Roman"/>
    </w:rPr>
  </w:style>
  <w:style w:type="character" w:styleId="ListLabel743">
    <w:name w:val="ListLabel 743"/>
    <w:qFormat/>
    <w:rPr>
      <w:rFonts w:cs="Times New Roman"/>
    </w:rPr>
  </w:style>
  <w:style w:type="character" w:styleId="ListLabel744">
    <w:name w:val="ListLabel 744"/>
    <w:qFormat/>
    <w:rPr>
      <w:rFonts w:cs="Times New Roman"/>
    </w:rPr>
  </w:style>
  <w:style w:type="character" w:styleId="ListLabel745">
    <w:name w:val="ListLabel 745"/>
    <w:qFormat/>
    <w:rPr>
      <w:rFonts w:cs="Times New Roman"/>
    </w:rPr>
  </w:style>
  <w:style w:type="character" w:styleId="ListLabel746">
    <w:name w:val="ListLabel 746"/>
    <w:qFormat/>
    <w:rPr>
      <w:rFonts w:cs="Times New Roman"/>
    </w:rPr>
  </w:style>
  <w:style w:type="character" w:styleId="ListLabel747">
    <w:name w:val="ListLabel 747"/>
    <w:qFormat/>
    <w:rPr>
      <w:rFonts w:cs="Times New Roman"/>
    </w:rPr>
  </w:style>
  <w:style w:type="character" w:styleId="ListLabel748">
    <w:name w:val="ListLabel 748"/>
    <w:qFormat/>
    <w:rPr>
      <w:rFonts w:ascii="Arial" w:hAnsi="Arial" w:cs="Times New Roman"/>
      <w:sz w:val="24"/>
    </w:rPr>
  </w:style>
  <w:style w:type="character" w:styleId="ListLabel749">
    <w:name w:val="ListLabel 749"/>
    <w:qFormat/>
    <w:rPr>
      <w:rFonts w:cs="Times New Roman"/>
    </w:rPr>
  </w:style>
  <w:style w:type="character" w:styleId="ListLabel750">
    <w:name w:val="ListLabel 750"/>
    <w:qFormat/>
    <w:rPr>
      <w:rFonts w:cs="Times New Roman"/>
    </w:rPr>
  </w:style>
  <w:style w:type="character" w:styleId="ListLabel751">
    <w:name w:val="ListLabel 751"/>
    <w:qFormat/>
    <w:rPr>
      <w:rFonts w:cs="Times New Roman"/>
    </w:rPr>
  </w:style>
  <w:style w:type="character" w:styleId="ListLabel752">
    <w:name w:val="ListLabel 752"/>
    <w:qFormat/>
    <w:rPr>
      <w:rFonts w:cs="Times New Roman"/>
    </w:rPr>
  </w:style>
  <w:style w:type="character" w:styleId="ListLabel753">
    <w:name w:val="ListLabel 753"/>
    <w:qFormat/>
    <w:rPr>
      <w:rFonts w:cs="Times New Roman"/>
    </w:rPr>
  </w:style>
  <w:style w:type="character" w:styleId="ListLabel754">
    <w:name w:val="ListLabel 754"/>
    <w:qFormat/>
    <w:rPr>
      <w:rFonts w:cs="Times New Roman"/>
    </w:rPr>
  </w:style>
  <w:style w:type="character" w:styleId="ListLabel755">
    <w:name w:val="ListLabel 755"/>
    <w:qFormat/>
    <w:rPr>
      <w:rFonts w:cs="Times New Roman"/>
    </w:rPr>
  </w:style>
  <w:style w:type="character" w:styleId="ListLabel756">
    <w:name w:val="ListLabel 756"/>
    <w:qFormat/>
    <w:rPr>
      <w:rFonts w:cs="Times New Roman"/>
    </w:rPr>
  </w:style>
  <w:style w:type="character" w:styleId="ListLabel757">
    <w:name w:val="ListLabel 757"/>
    <w:qFormat/>
    <w:rPr>
      <w:rFonts w:ascii="Arial" w:hAnsi="Arial" w:cs="Times New Roman"/>
      <w:sz w:val="24"/>
    </w:rPr>
  </w:style>
  <w:style w:type="character" w:styleId="ListLabel758">
    <w:name w:val="ListLabel 758"/>
    <w:qFormat/>
    <w:rPr>
      <w:rFonts w:ascii="Arial" w:hAnsi="Arial" w:cs="Times New Roman"/>
      <w:b/>
      <w:sz w:val="24"/>
    </w:rPr>
  </w:style>
  <w:style w:type="character" w:styleId="ListLabel759">
    <w:name w:val="ListLabel 759"/>
    <w:qFormat/>
    <w:rPr>
      <w:rFonts w:cs="Times New Roman"/>
    </w:rPr>
  </w:style>
  <w:style w:type="character" w:styleId="ListLabel760">
    <w:name w:val="ListLabel 760"/>
    <w:qFormat/>
    <w:rPr>
      <w:rFonts w:cs="Arial"/>
    </w:rPr>
  </w:style>
  <w:style w:type="character" w:styleId="ListLabel761">
    <w:name w:val="ListLabel 761"/>
    <w:qFormat/>
    <w:rPr>
      <w:rFonts w:cs="Times New Roman"/>
    </w:rPr>
  </w:style>
  <w:style w:type="character" w:styleId="ListLabel762">
    <w:name w:val="ListLabel 762"/>
    <w:qFormat/>
    <w:rPr>
      <w:rFonts w:cs="Times New Roman"/>
    </w:rPr>
  </w:style>
  <w:style w:type="character" w:styleId="ListLabel763">
    <w:name w:val="ListLabel 763"/>
    <w:qFormat/>
    <w:rPr>
      <w:rFonts w:cs="Times New Roman"/>
    </w:rPr>
  </w:style>
  <w:style w:type="character" w:styleId="ListLabel764">
    <w:name w:val="ListLabel 764"/>
    <w:qFormat/>
    <w:rPr>
      <w:rFonts w:cs="Times New Roman"/>
    </w:rPr>
  </w:style>
  <w:style w:type="character" w:styleId="ListLabel765">
    <w:name w:val="ListLabel 765"/>
    <w:qFormat/>
    <w:rPr>
      <w:rFonts w:cs="Times New Roman"/>
    </w:rPr>
  </w:style>
  <w:style w:type="character" w:styleId="ListLabel766">
    <w:name w:val="ListLabel 766"/>
    <w:qFormat/>
    <w:rPr>
      <w:rFonts w:ascii="Arial" w:hAnsi="Arial" w:cs="Times New Roman"/>
      <w:sz w:val="24"/>
    </w:rPr>
  </w:style>
  <w:style w:type="character" w:styleId="ListLabel767">
    <w:name w:val="ListLabel 767"/>
    <w:qFormat/>
    <w:rPr>
      <w:rFonts w:cs="Times New Roman"/>
    </w:rPr>
  </w:style>
  <w:style w:type="character" w:styleId="ListLabel768">
    <w:name w:val="ListLabel 768"/>
    <w:qFormat/>
    <w:rPr>
      <w:rFonts w:cs="Times New Roman"/>
    </w:rPr>
  </w:style>
  <w:style w:type="character" w:styleId="ListLabel769">
    <w:name w:val="ListLabel 769"/>
    <w:qFormat/>
    <w:rPr>
      <w:rFonts w:cs="Times New Roman"/>
    </w:rPr>
  </w:style>
  <w:style w:type="character" w:styleId="ListLabel770">
    <w:name w:val="ListLabel 770"/>
    <w:qFormat/>
    <w:rPr>
      <w:rFonts w:cs="Times New Roman"/>
    </w:rPr>
  </w:style>
  <w:style w:type="character" w:styleId="ListLabel771">
    <w:name w:val="ListLabel 771"/>
    <w:qFormat/>
    <w:rPr>
      <w:rFonts w:cs="Times New Roman"/>
    </w:rPr>
  </w:style>
  <w:style w:type="character" w:styleId="ListLabel772">
    <w:name w:val="ListLabel 772"/>
    <w:qFormat/>
    <w:rPr>
      <w:rFonts w:cs="Times New Roman"/>
    </w:rPr>
  </w:style>
  <w:style w:type="character" w:styleId="ListLabel773">
    <w:name w:val="ListLabel 773"/>
    <w:qFormat/>
    <w:rPr>
      <w:rFonts w:cs="Times New Roman"/>
    </w:rPr>
  </w:style>
  <w:style w:type="character" w:styleId="ListLabel774">
    <w:name w:val="ListLabel 774"/>
    <w:qFormat/>
    <w:rPr>
      <w:rFonts w:cs="Times New Roman"/>
    </w:rPr>
  </w:style>
  <w:style w:type="character" w:styleId="ListLabel775">
    <w:name w:val="ListLabel 775"/>
    <w:qFormat/>
    <w:rPr>
      <w:rFonts w:ascii="Arial" w:hAnsi="Arial" w:cs="Times New Roman"/>
      <w:sz w:val="24"/>
    </w:rPr>
  </w:style>
  <w:style w:type="character" w:styleId="ListLabel776">
    <w:name w:val="ListLabel 776"/>
    <w:qFormat/>
    <w:rPr>
      <w:rFonts w:cs="Times New Roman"/>
    </w:rPr>
  </w:style>
  <w:style w:type="character" w:styleId="ListLabel777">
    <w:name w:val="ListLabel 777"/>
    <w:qFormat/>
    <w:rPr>
      <w:rFonts w:cs="Times New Roman"/>
    </w:rPr>
  </w:style>
  <w:style w:type="character" w:styleId="ListLabel778">
    <w:name w:val="ListLabel 778"/>
    <w:qFormat/>
    <w:rPr>
      <w:rFonts w:cs="Times New Roman"/>
    </w:rPr>
  </w:style>
  <w:style w:type="character" w:styleId="ListLabel779">
    <w:name w:val="ListLabel 779"/>
    <w:qFormat/>
    <w:rPr>
      <w:rFonts w:cs="Times New Roman"/>
    </w:rPr>
  </w:style>
  <w:style w:type="character" w:styleId="ListLabel780">
    <w:name w:val="ListLabel 780"/>
    <w:qFormat/>
    <w:rPr>
      <w:rFonts w:cs="Times New Roman"/>
    </w:rPr>
  </w:style>
  <w:style w:type="character" w:styleId="ListLabel781">
    <w:name w:val="ListLabel 781"/>
    <w:qFormat/>
    <w:rPr>
      <w:rFonts w:cs="Times New Roman"/>
    </w:rPr>
  </w:style>
  <w:style w:type="character" w:styleId="ListLabel782">
    <w:name w:val="ListLabel 782"/>
    <w:qFormat/>
    <w:rPr>
      <w:rFonts w:cs="Times New Roman"/>
    </w:rPr>
  </w:style>
  <w:style w:type="character" w:styleId="ListLabel783">
    <w:name w:val="ListLabel 783"/>
    <w:qFormat/>
    <w:rPr>
      <w:rFonts w:cs="Times New Roman"/>
    </w:rPr>
  </w:style>
  <w:style w:type="character" w:styleId="ListLabel784">
    <w:name w:val="ListLabel 784"/>
    <w:qFormat/>
    <w:rPr>
      <w:rFonts w:ascii="Arial" w:hAnsi="Arial" w:cs="Times New Roman"/>
      <w:sz w:val="24"/>
    </w:rPr>
  </w:style>
  <w:style w:type="character" w:styleId="ListLabel785">
    <w:name w:val="ListLabel 785"/>
    <w:qFormat/>
    <w:rPr>
      <w:rFonts w:cs="Times New Roman"/>
    </w:rPr>
  </w:style>
  <w:style w:type="character" w:styleId="ListLabel786">
    <w:name w:val="ListLabel 786"/>
    <w:qFormat/>
    <w:rPr>
      <w:rFonts w:cs="Times New Roman"/>
    </w:rPr>
  </w:style>
  <w:style w:type="character" w:styleId="ListLabel787">
    <w:name w:val="ListLabel 787"/>
    <w:qFormat/>
    <w:rPr>
      <w:rFonts w:cs="Times New Roman"/>
    </w:rPr>
  </w:style>
  <w:style w:type="character" w:styleId="ListLabel788">
    <w:name w:val="ListLabel 788"/>
    <w:qFormat/>
    <w:rPr>
      <w:rFonts w:cs="Times New Roman"/>
    </w:rPr>
  </w:style>
  <w:style w:type="character" w:styleId="ListLabel789">
    <w:name w:val="ListLabel 789"/>
    <w:qFormat/>
    <w:rPr>
      <w:rFonts w:cs="Times New Roman"/>
    </w:rPr>
  </w:style>
  <w:style w:type="character" w:styleId="ListLabel790">
    <w:name w:val="ListLabel 790"/>
    <w:qFormat/>
    <w:rPr>
      <w:rFonts w:cs="Times New Roman"/>
    </w:rPr>
  </w:style>
  <w:style w:type="character" w:styleId="ListLabel791">
    <w:name w:val="ListLabel 791"/>
    <w:qFormat/>
    <w:rPr>
      <w:rFonts w:cs="Times New Roman"/>
    </w:rPr>
  </w:style>
  <w:style w:type="character" w:styleId="ListLabel792">
    <w:name w:val="ListLabel 792"/>
    <w:qFormat/>
    <w:rPr>
      <w:rFonts w:cs="Times New Roman"/>
    </w:rPr>
  </w:style>
  <w:style w:type="character" w:styleId="ListLabel793">
    <w:name w:val="ListLabel 793"/>
    <w:qFormat/>
    <w:rPr>
      <w:rFonts w:ascii="Arial" w:hAnsi="Arial" w:cs="Times New Roman"/>
      <w:sz w:val="24"/>
    </w:rPr>
  </w:style>
  <w:style w:type="character" w:styleId="ListLabel794">
    <w:name w:val="ListLabel 794"/>
    <w:qFormat/>
    <w:rPr>
      <w:rFonts w:cs="Times New Roman"/>
    </w:rPr>
  </w:style>
  <w:style w:type="character" w:styleId="ListLabel795">
    <w:name w:val="ListLabel 795"/>
    <w:qFormat/>
    <w:rPr>
      <w:rFonts w:cs="Times New Roman"/>
    </w:rPr>
  </w:style>
  <w:style w:type="character" w:styleId="ListLabel796">
    <w:name w:val="ListLabel 796"/>
    <w:qFormat/>
    <w:rPr>
      <w:rFonts w:cs="Times New Roman"/>
    </w:rPr>
  </w:style>
  <w:style w:type="character" w:styleId="ListLabel797">
    <w:name w:val="ListLabel 797"/>
    <w:qFormat/>
    <w:rPr>
      <w:rFonts w:cs="Times New Roman"/>
    </w:rPr>
  </w:style>
  <w:style w:type="character" w:styleId="ListLabel798">
    <w:name w:val="ListLabel 798"/>
    <w:qFormat/>
    <w:rPr>
      <w:rFonts w:cs="Times New Roman"/>
    </w:rPr>
  </w:style>
  <w:style w:type="character" w:styleId="ListLabel799">
    <w:name w:val="ListLabel 799"/>
    <w:qFormat/>
    <w:rPr>
      <w:rFonts w:cs="Times New Roman"/>
    </w:rPr>
  </w:style>
  <w:style w:type="character" w:styleId="ListLabel800">
    <w:name w:val="ListLabel 800"/>
    <w:qFormat/>
    <w:rPr>
      <w:rFonts w:cs="Times New Roman"/>
    </w:rPr>
  </w:style>
  <w:style w:type="character" w:styleId="ListLabel801">
    <w:name w:val="ListLabel 801"/>
    <w:qFormat/>
    <w:rPr>
      <w:rFonts w:cs="Times New Roman"/>
    </w:rPr>
  </w:style>
  <w:style w:type="character" w:styleId="ListLabel802">
    <w:name w:val="ListLabel 802"/>
    <w:qFormat/>
    <w:rPr>
      <w:rFonts w:ascii="Arial" w:hAnsi="Arial" w:cs="Times New Roman"/>
      <w:b/>
      <w:sz w:val="24"/>
    </w:rPr>
  </w:style>
  <w:style w:type="character" w:styleId="ListLabel803">
    <w:name w:val="ListLabel 803"/>
    <w:qFormat/>
    <w:rPr>
      <w:rFonts w:cs="Times New Roman"/>
    </w:rPr>
  </w:style>
  <w:style w:type="character" w:styleId="ListLabel804">
    <w:name w:val="ListLabel 804"/>
    <w:qFormat/>
    <w:rPr>
      <w:rFonts w:cs="Times New Roman"/>
    </w:rPr>
  </w:style>
  <w:style w:type="character" w:styleId="ListLabel805">
    <w:name w:val="ListLabel 805"/>
    <w:qFormat/>
    <w:rPr>
      <w:rFonts w:cs="Times New Roman"/>
    </w:rPr>
  </w:style>
  <w:style w:type="character" w:styleId="ListLabel806">
    <w:name w:val="ListLabel 806"/>
    <w:qFormat/>
    <w:rPr>
      <w:rFonts w:cs="Times New Roman"/>
    </w:rPr>
  </w:style>
  <w:style w:type="character" w:styleId="ListLabel807">
    <w:name w:val="ListLabel 807"/>
    <w:qFormat/>
    <w:rPr>
      <w:rFonts w:cs="Times New Roman"/>
    </w:rPr>
  </w:style>
  <w:style w:type="character" w:styleId="ListLabel808">
    <w:name w:val="ListLabel 808"/>
    <w:qFormat/>
    <w:rPr>
      <w:rFonts w:cs="Times New Roman"/>
    </w:rPr>
  </w:style>
  <w:style w:type="character" w:styleId="ListLabel809">
    <w:name w:val="ListLabel 809"/>
    <w:qFormat/>
    <w:rPr>
      <w:rFonts w:cs="Times New Roman"/>
    </w:rPr>
  </w:style>
  <w:style w:type="character" w:styleId="ListLabel810">
    <w:name w:val="ListLabel 810"/>
    <w:qFormat/>
    <w:rPr>
      <w:rFonts w:cs="Times New Roman"/>
    </w:rPr>
  </w:style>
  <w:style w:type="character" w:styleId="ListLabel811">
    <w:name w:val="ListLabel 811"/>
    <w:qFormat/>
    <w:rPr>
      <w:rFonts w:ascii="Arial" w:hAnsi="Arial" w:cs="Times New Roman"/>
      <w:sz w:val="24"/>
    </w:rPr>
  </w:style>
  <w:style w:type="character" w:styleId="ListLabel812">
    <w:name w:val="ListLabel 812"/>
    <w:qFormat/>
    <w:rPr>
      <w:rFonts w:cs="Times New Roman"/>
      <w:b/>
    </w:rPr>
  </w:style>
  <w:style w:type="character" w:styleId="ListLabel813">
    <w:name w:val="ListLabel 813"/>
    <w:qFormat/>
    <w:rPr>
      <w:rFonts w:cs="Times New Roman"/>
    </w:rPr>
  </w:style>
  <w:style w:type="character" w:styleId="ListLabel814">
    <w:name w:val="ListLabel 814"/>
    <w:qFormat/>
    <w:rPr>
      <w:rFonts w:cs="Times New Roman"/>
    </w:rPr>
  </w:style>
  <w:style w:type="character" w:styleId="ListLabel815">
    <w:name w:val="ListLabel 815"/>
    <w:qFormat/>
    <w:rPr>
      <w:rFonts w:cs="Times New Roman"/>
    </w:rPr>
  </w:style>
  <w:style w:type="character" w:styleId="ListLabel816">
    <w:name w:val="ListLabel 816"/>
    <w:qFormat/>
    <w:rPr>
      <w:rFonts w:cs="Times New Roman"/>
    </w:rPr>
  </w:style>
  <w:style w:type="character" w:styleId="ListLabel817">
    <w:name w:val="ListLabel 817"/>
    <w:qFormat/>
    <w:rPr>
      <w:rFonts w:cs="Times New Roman"/>
    </w:rPr>
  </w:style>
  <w:style w:type="character" w:styleId="ListLabel818">
    <w:name w:val="ListLabel 818"/>
    <w:qFormat/>
    <w:rPr>
      <w:rFonts w:cs="Times New Roman"/>
    </w:rPr>
  </w:style>
  <w:style w:type="character" w:styleId="ListLabel819">
    <w:name w:val="ListLabel 819"/>
    <w:qFormat/>
    <w:rPr>
      <w:rFonts w:cs="Times New Roman"/>
    </w:rPr>
  </w:style>
  <w:style w:type="character" w:styleId="ListLabel820">
    <w:name w:val="ListLabel 820"/>
    <w:qFormat/>
    <w:rPr>
      <w:rFonts w:cs="Times New Roman"/>
    </w:rPr>
  </w:style>
  <w:style w:type="character" w:styleId="ListLabel821">
    <w:name w:val="ListLabel 821"/>
    <w:qFormat/>
    <w:rPr>
      <w:rFonts w:cs="Times New Roman"/>
    </w:rPr>
  </w:style>
  <w:style w:type="character" w:styleId="ListLabel822">
    <w:name w:val="ListLabel 822"/>
    <w:qFormat/>
    <w:rPr>
      <w:rFonts w:cs="Times New Roman"/>
    </w:rPr>
  </w:style>
  <w:style w:type="character" w:styleId="ListLabel823">
    <w:name w:val="ListLabel 823"/>
    <w:qFormat/>
    <w:rPr>
      <w:rFonts w:cs="Times New Roman"/>
    </w:rPr>
  </w:style>
  <w:style w:type="character" w:styleId="ListLabel824">
    <w:name w:val="ListLabel 824"/>
    <w:qFormat/>
    <w:rPr>
      <w:rFonts w:cs="Times New Roman"/>
    </w:rPr>
  </w:style>
  <w:style w:type="character" w:styleId="ListLabel825">
    <w:name w:val="ListLabel 825"/>
    <w:qFormat/>
    <w:rPr>
      <w:rFonts w:cs="Times New Roman"/>
    </w:rPr>
  </w:style>
  <w:style w:type="character" w:styleId="ListLabel826">
    <w:name w:val="ListLabel 826"/>
    <w:qFormat/>
    <w:rPr>
      <w:rFonts w:cs="Times New Roman"/>
    </w:rPr>
  </w:style>
  <w:style w:type="character" w:styleId="ListLabel827">
    <w:name w:val="ListLabel 827"/>
    <w:qFormat/>
    <w:rPr>
      <w:rFonts w:cs="Times New Roman"/>
    </w:rPr>
  </w:style>
  <w:style w:type="character" w:styleId="ListLabel828">
    <w:name w:val="ListLabel 828"/>
    <w:qFormat/>
    <w:rPr>
      <w:rFonts w:cs="Times New Roman"/>
    </w:rPr>
  </w:style>
  <w:style w:type="character" w:styleId="ListLabel829">
    <w:name w:val="ListLabel 829"/>
    <w:qFormat/>
    <w:rPr>
      <w:rFonts w:ascii="Arial" w:hAnsi="Arial" w:cs="Times New Roman"/>
      <w:sz w:val="24"/>
    </w:rPr>
  </w:style>
  <w:style w:type="character" w:styleId="ListLabel830">
    <w:name w:val="ListLabel 830"/>
    <w:qFormat/>
    <w:rPr>
      <w:rFonts w:cs="Times New Roman"/>
    </w:rPr>
  </w:style>
  <w:style w:type="character" w:styleId="ListLabel831">
    <w:name w:val="ListLabel 831"/>
    <w:qFormat/>
    <w:rPr>
      <w:rFonts w:cs="Times New Roman"/>
    </w:rPr>
  </w:style>
  <w:style w:type="character" w:styleId="ListLabel832">
    <w:name w:val="ListLabel 832"/>
    <w:qFormat/>
    <w:rPr>
      <w:rFonts w:cs="Times New Roman"/>
    </w:rPr>
  </w:style>
  <w:style w:type="character" w:styleId="ListLabel833">
    <w:name w:val="ListLabel 833"/>
    <w:qFormat/>
    <w:rPr>
      <w:rFonts w:cs="Times New Roman"/>
    </w:rPr>
  </w:style>
  <w:style w:type="character" w:styleId="ListLabel834">
    <w:name w:val="ListLabel 834"/>
    <w:qFormat/>
    <w:rPr>
      <w:rFonts w:cs="Times New Roman"/>
    </w:rPr>
  </w:style>
  <w:style w:type="character" w:styleId="ListLabel835">
    <w:name w:val="ListLabel 835"/>
    <w:qFormat/>
    <w:rPr>
      <w:rFonts w:cs="Times New Roman"/>
    </w:rPr>
  </w:style>
  <w:style w:type="character" w:styleId="ListLabel836">
    <w:name w:val="ListLabel 836"/>
    <w:qFormat/>
    <w:rPr>
      <w:rFonts w:cs="Times New Roman"/>
    </w:rPr>
  </w:style>
  <w:style w:type="character" w:styleId="ListLabel837">
    <w:name w:val="ListLabel 837"/>
    <w:qFormat/>
    <w:rPr>
      <w:rFonts w:cs="Times New Roman"/>
    </w:rPr>
  </w:style>
  <w:style w:type="character" w:styleId="ListLabel838">
    <w:name w:val="ListLabel 838"/>
    <w:qFormat/>
    <w:rPr>
      <w:rFonts w:ascii="Arial" w:hAnsi="Arial" w:cs="Times New Roman"/>
      <w:sz w:val="24"/>
    </w:rPr>
  </w:style>
  <w:style w:type="character" w:styleId="ListLabel839">
    <w:name w:val="ListLabel 839"/>
    <w:qFormat/>
    <w:rPr>
      <w:rFonts w:cs="Times New Roman"/>
    </w:rPr>
  </w:style>
  <w:style w:type="character" w:styleId="ListLabel840">
    <w:name w:val="ListLabel 840"/>
    <w:qFormat/>
    <w:rPr>
      <w:rFonts w:cs="Times New Roman"/>
    </w:rPr>
  </w:style>
  <w:style w:type="character" w:styleId="ListLabel841">
    <w:name w:val="ListLabel 841"/>
    <w:qFormat/>
    <w:rPr>
      <w:rFonts w:cs="Times New Roman"/>
    </w:rPr>
  </w:style>
  <w:style w:type="character" w:styleId="ListLabel842">
    <w:name w:val="ListLabel 842"/>
    <w:qFormat/>
    <w:rPr>
      <w:rFonts w:cs="Times New Roman"/>
    </w:rPr>
  </w:style>
  <w:style w:type="character" w:styleId="ListLabel843">
    <w:name w:val="ListLabel 843"/>
    <w:qFormat/>
    <w:rPr>
      <w:rFonts w:cs="Times New Roman"/>
    </w:rPr>
  </w:style>
  <w:style w:type="character" w:styleId="ListLabel844">
    <w:name w:val="ListLabel 844"/>
    <w:qFormat/>
    <w:rPr>
      <w:rFonts w:cs="Times New Roman"/>
    </w:rPr>
  </w:style>
  <w:style w:type="character" w:styleId="ListLabel845">
    <w:name w:val="ListLabel 845"/>
    <w:qFormat/>
    <w:rPr>
      <w:rFonts w:cs="Times New Roman"/>
    </w:rPr>
  </w:style>
  <w:style w:type="character" w:styleId="ListLabel846">
    <w:name w:val="ListLabel 846"/>
    <w:qFormat/>
    <w:rPr>
      <w:rFonts w:cs="Times New Roman"/>
    </w:rPr>
  </w:style>
  <w:style w:type="character" w:styleId="ListLabel847">
    <w:name w:val="ListLabel 847"/>
    <w:qFormat/>
    <w:rPr>
      <w:rFonts w:ascii="Arial" w:hAnsi="Arial" w:cs="Times New Roman"/>
      <w:sz w:val="24"/>
    </w:rPr>
  </w:style>
  <w:style w:type="character" w:styleId="ListLabel848">
    <w:name w:val="ListLabel 848"/>
    <w:qFormat/>
    <w:rPr>
      <w:rFonts w:cs="Times New Roman"/>
    </w:rPr>
  </w:style>
  <w:style w:type="character" w:styleId="ListLabel849">
    <w:name w:val="ListLabel 849"/>
    <w:qFormat/>
    <w:rPr>
      <w:rFonts w:cs="Times New Roman"/>
    </w:rPr>
  </w:style>
  <w:style w:type="character" w:styleId="ListLabel850">
    <w:name w:val="ListLabel 850"/>
    <w:qFormat/>
    <w:rPr>
      <w:rFonts w:cs="Times New Roman"/>
    </w:rPr>
  </w:style>
  <w:style w:type="character" w:styleId="ListLabel851">
    <w:name w:val="ListLabel 851"/>
    <w:qFormat/>
    <w:rPr>
      <w:rFonts w:cs="Times New Roman"/>
    </w:rPr>
  </w:style>
  <w:style w:type="character" w:styleId="ListLabel852">
    <w:name w:val="ListLabel 852"/>
    <w:qFormat/>
    <w:rPr>
      <w:rFonts w:cs="Times New Roman"/>
    </w:rPr>
  </w:style>
  <w:style w:type="character" w:styleId="ListLabel853">
    <w:name w:val="ListLabel 853"/>
    <w:qFormat/>
    <w:rPr>
      <w:rFonts w:cs="Times New Roman"/>
    </w:rPr>
  </w:style>
  <w:style w:type="character" w:styleId="ListLabel854">
    <w:name w:val="ListLabel 854"/>
    <w:qFormat/>
    <w:rPr>
      <w:rFonts w:cs="Times New Roman"/>
    </w:rPr>
  </w:style>
  <w:style w:type="character" w:styleId="ListLabel855">
    <w:name w:val="ListLabel 855"/>
    <w:qFormat/>
    <w:rPr>
      <w:rFonts w:cs="Times New Roman"/>
    </w:rPr>
  </w:style>
  <w:style w:type="character" w:styleId="ListLabel856">
    <w:name w:val="ListLabel 856"/>
    <w:qFormat/>
    <w:rPr>
      <w:rFonts w:cs="Times New Roman"/>
    </w:rPr>
  </w:style>
  <w:style w:type="character" w:styleId="ListLabel857">
    <w:name w:val="ListLabel 857"/>
    <w:qFormat/>
    <w:rPr>
      <w:rFonts w:cs="Times New Roman"/>
    </w:rPr>
  </w:style>
  <w:style w:type="character" w:styleId="ListLabel858">
    <w:name w:val="ListLabel 858"/>
    <w:qFormat/>
    <w:rPr>
      <w:rFonts w:cs="Times New Roman"/>
    </w:rPr>
  </w:style>
  <w:style w:type="character" w:styleId="ListLabel859">
    <w:name w:val="ListLabel 859"/>
    <w:qFormat/>
    <w:rPr>
      <w:rFonts w:cs="Times New Roman"/>
    </w:rPr>
  </w:style>
  <w:style w:type="character" w:styleId="ListLabel860">
    <w:name w:val="ListLabel 860"/>
    <w:qFormat/>
    <w:rPr>
      <w:rFonts w:cs="Times New Roman"/>
    </w:rPr>
  </w:style>
  <w:style w:type="character" w:styleId="ListLabel861">
    <w:name w:val="ListLabel 861"/>
    <w:qFormat/>
    <w:rPr>
      <w:rFonts w:cs="Times New Roman"/>
    </w:rPr>
  </w:style>
  <w:style w:type="character" w:styleId="ListLabel862">
    <w:name w:val="ListLabel 862"/>
    <w:qFormat/>
    <w:rPr>
      <w:rFonts w:cs="Times New Roman"/>
    </w:rPr>
  </w:style>
  <w:style w:type="character" w:styleId="ListLabel863">
    <w:name w:val="ListLabel 863"/>
    <w:qFormat/>
    <w:rPr>
      <w:rFonts w:cs="Times New Roman"/>
    </w:rPr>
  </w:style>
  <w:style w:type="character" w:styleId="ListLabel864">
    <w:name w:val="ListLabel 864"/>
    <w:qFormat/>
    <w:rPr>
      <w:rFonts w:cs="Times New Roman"/>
    </w:rPr>
  </w:style>
  <w:style w:type="character" w:styleId="ListLabel865">
    <w:name w:val="ListLabel 865"/>
    <w:qFormat/>
    <w:rPr>
      <w:rFonts w:cs="Times New Roman"/>
      <w:b w:val="false"/>
    </w:rPr>
  </w:style>
  <w:style w:type="character" w:styleId="ListLabel866">
    <w:name w:val="ListLabel 866"/>
    <w:qFormat/>
    <w:rPr>
      <w:rFonts w:cs="Times New Roman"/>
    </w:rPr>
  </w:style>
  <w:style w:type="character" w:styleId="ListLabel867">
    <w:name w:val="ListLabel 867"/>
    <w:qFormat/>
    <w:rPr>
      <w:rFonts w:cs="Times New Roman"/>
    </w:rPr>
  </w:style>
  <w:style w:type="character" w:styleId="ListLabel868">
    <w:name w:val="ListLabel 868"/>
    <w:qFormat/>
    <w:rPr>
      <w:rFonts w:cs="Times New Roman"/>
    </w:rPr>
  </w:style>
  <w:style w:type="character" w:styleId="ListLabel869">
    <w:name w:val="ListLabel 869"/>
    <w:qFormat/>
    <w:rPr>
      <w:rFonts w:cs="Times New Roman"/>
    </w:rPr>
  </w:style>
  <w:style w:type="character" w:styleId="ListLabel870">
    <w:name w:val="ListLabel 870"/>
    <w:qFormat/>
    <w:rPr>
      <w:rFonts w:cs="Times New Roman"/>
    </w:rPr>
  </w:style>
  <w:style w:type="character" w:styleId="ListLabel871">
    <w:name w:val="ListLabel 871"/>
    <w:qFormat/>
    <w:rPr>
      <w:rFonts w:cs="Times New Roman"/>
    </w:rPr>
  </w:style>
  <w:style w:type="character" w:styleId="ListLabel872">
    <w:name w:val="ListLabel 872"/>
    <w:qFormat/>
    <w:rPr>
      <w:rFonts w:cs="Times New Roman"/>
    </w:rPr>
  </w:style>
  <w:style w:type="character" w:styleId="ListLabel873">
    <w:name w:val="ListLabel 873"/>
    <w:qFormat/>
    <w:rPr>
      <w:rFonts w:cs="Times New Roman"/>
    </w:rPr>
  </w:style>
  <w:style w:type="character" w:styleId="ListLabel874">
    <w:name w:val="ListLabel 874"/>
    <w:qFormat/>
    <w:rPr>
      <w:rFonts w:ascii="Arial" w:hAnsi="Arial" w:cs="Times New Roman"/>
      <w:b/>
      <w:sz w:val="24"/>
    </w:rPr>
  </w:style>
  <w:style w:type="character" w:styleId="ListLabel875">
    <w:name w:val="ListLabel 875"/>
    <w:qFormat/>
    <w:rPr>
      <w:rFonts w:cs="Times New Roman"/>
    </w:rPr>
  </w:style>
  <w:style w:type="character" w:styleId="ListLabel876">
    <w:name w:val="ListLabel 876"/>
    <w:qFormat/>
    <w:rPr>
      <w:rFonts w:cs="Times New Roman"/>
    </w:rPr>
  </w:style>
  <w:style w:type="character" w:styleId="ListLabel877">
    <w:name w:val="ListLabel 877"/>
    <w:qFormat/>
    <w:rPr>
      <w:rFonts w:cs="Times New Roman"/>
    </w:rPr>
  </w:style>
  <w:style w:type="character" w:styleId="ListLabel878">
    <w:name w:val="ListLabel 878"/>
    <w:qFormat/>
    <w:rPr>
      <w:rFonts w:cs="Times New Roman"/>
    </w:rPr>
  </w:style>
  <w:style w:type="character" w:styleId="ListLabel879">
    <w:name w:val="ListLabel 879"/>
    <w:qFormat/>
    <w:rPr>
      <w:rFonts w:cs="Times New Roman"/>
    </w:rPr>
  </w:style>
  <w:style w:type="character" w:styleId="ListLabel880">
    <w:name w:val="ListLabel 880"/>
    <w:qFormat/>
    <w:rPr>
      <w:rFonts w:cs="Times New Roman"/>
    </w:rPr>
  </w:style>
  <w:style w:type="character" w:styleId="ListLabel881">
    <w:name w:val="ListLabel 881"/>
    <w:qFormat/>
    <w:rPr>
      <w:rFonts w:cs="Times New Roman"/>
    </w:rPr>
  </w:style>
  <w:style w:type="character" w:styleId="ListLabel882">
    <w:name w:val="ListLabel 882"/>
    <w:qFormat/>
    <w:rPr>
      <w:rFonts w:cs="Times New Roman"/>
    </w:rPr>
  </w:style>
  <w:style w:type="character" w:styleId="ListLabel883">
    <w:name w:val="ListLabel 883"/>
    <w:qFormat/>
    <w:rPr>
      <w:rFonts w:ascii="Arial" w:hAnsi="Arial" w:cs="Times New Roman"/>
      <w:sz w:val="24"/>
    </w:rPr>
  </w:style>
  <w:style w:type="character" w:styleId="ListLabel884">
    <w:name w:val="ListLabel 884"/>
    <w:qFormat/>
    <w:rPr>
      <w:rFonts w:cs="Times New Roman"/>
    </w:rPr>
  </w:style>
  <w:style w:type="character" w:styleId="ListLabel885">
    <w:name w:val="ListLabel 885"/>
    <w:qFormat/>
    <w:rPr>
      <w:rFonts w:cs="Times New Roman"/>
    </w:rPr>
  </w:style>
  <w:style w:type="character" w:styleId="ListLabel886">
    <w:name w:val="ListLabel 886"/>
    <w:qFormat/>
    <w:rPr>
      <w:rFonts w:cs="Times New Roman"/>
    </w:rPr>
  </w:style>
  <w:style w:type="character" w:styleId="ListLabel887">
    <w:name w:val="ListLabel 887"/>
    <w:qFormat/>
    <w:rPr>
      <w:rFonts w:cs="Times New Roman"/>
    </w:rPr>
  </w:style>
  <w:style w:type="character" w:styleId="ListLabel888">
    <w:name w:val="ListLabel 888"/>
    <w:qFormat/>
    <w:rPr>
      <w:rFonts w:cs="Times New Roman"/>
    </w:rPr>
  </w:style>
  <w:style w:type="character" w:styleId="ListLabel889">
    <w:name w:val="ListLabel 889"/>
    <w:qFormat/>
    <w:rPr>
      <w:rFonts w:cs="Times New Roman"/>
    </w:rPr>
  </w:style>
  <w:style w:type="character" w:styleId="ListLabel890">
    <w:name w:val="ListLabel 890"/>
    <w:qFormat/>
    <w:rPr>
      <w:rFonts w:cs="Times New Roman"/>
    </w:rPr>
  </w:style>
  <w:style w:type="character" w:styleId="ListLabel891">
    <w:name w:val="ListLabel 891"/>
    <w:qFormat/>
    <w:rPr>
      <w:rFonts w:cs="Times New Roman"/>
    </w:rPr>
  </w:style>
  <w:style w:type="character" w:styleId="ListLabel892">
    <w:name w:val="ListLabel 892"/>
    <w:qFormat/>
    <w:rPr>
      <w:rFonts w:ascii="Arial" w:hAnsi="Arial" w:cs="Times New Roman"/>
      <w:sz w:val="24"/>
    </w:rPr>
  </w:style>
  <w:style w:type="character" w:styleId="ListLabel893">
    <w:name w:val="ListLabel 893"/>
    <w:qFormat/>
    <w:rPr>
      <w:rFonts w:cs="Times New Roman"/>
    </w:rPr>
  </w:style>
  <w:style w:type="character" w:styleId="ListLabel894">
    <w:name w:val="ListLabel 894"/>
    <w:qFormat/>
    <w:rPr>
      <w:rFonts w:cs="Times New Roman"/>
    </w:rPr>
  </w:style>
  <w:style w:type="character" w:styleId="ListLabel895">
    <w:name w:val="ListLabel 895"/>
    <w:qFormat/>
    <w:rPr>
      <w:rFonts w:cs="Times New Roman"/>
    </w:rPr>
  </w:style>
  <w:style w:type="character" w:styleId="ListLabel896">
    <w:name w:val="ListLabel 896"/>
    <w:qFormat/>
    <w:rPr>
      <w:rFonts w:cs="Times New Roman"/>
    </w:rPr>
  </w:style>
  <w:style w:type="character" w:styleId="ListLabel897">
    <w:name w:val="ListLabel 897"/>
    <w:qFormat/>
    <w:rPr>
      <w:rFonts w:cs="Times New Roman"/>
    </w:rPr>
  </w:style>
  <w:style w:type="character" w:styleId="ListLabel898">
    <w:name w:val="ListLabel 898"/>
    <w:qFormat/>
    <w:rPr>
      <w:rFonts w:cs="Times New Roman"/>
    </w:rPr>
  </w:style>
  <w:style w:type="character" w:styleId="ListLabel899">
    <w:name w:val="ListLabel 899"/>
    <w:qFormat/>
    <w:rPr>
      <w:rFonts w:cs="Times New Roman"/>
    </w:rPr>
  </w:style>
  <w:style w:type="character" w:styleId="ListLabel900">
    <w:name w:val="ListLabel 900"/>
    <w:qFormat/>
    <w:rPr>
      <w:rFonts w:cs="Times New Roman"/>
    </w:rPr>
  </w:style>
  <w:style w:type="character" w:styleId="ListLabel901">
    <w:name w:val="ListLabel 901"/>
    <w:qFormat/>
    <w:rPr>
      <w:rFonts w:ascii="Arial" w:hAnsi="Arial" w:cs="Times New Roman"/>
      <w:sz w:val="24"/>
    </w:rPr>
  </w:style>
  <w:style w:type="character" w:styleId="ListLabel902">
    <w:name w:val="ListLabel 902"/>
    <w:qFormat/>
    <w:rPr>
      <w:rFonts w:cs="Times New Roman"/>
    </w:rPr>
  </w:style>
  <w:style w:type="character" w:styleId="ListLabel903">
    <w:name w:val="ListLabel 903"/>
    <w:qFormat/>
    <w:rPr>
      <w:rFonts w:cs="Times New Roman"/>
    </w:rPr>
  </w:style>
  <w:style w:type="character" w:styleId="ListLabel904">
    <w:name w:val="ListLabel 904"/>
    <w:qFormat/>
    <w:rPr>
      <w:rFonts w:cs="Times New Roman"/>
    </w:rPr>
  </w:style>
  <w:style w:type="character" w:styleId="ListLabel905">
    <w:name w:val="ListLabel 905"/>
    <w:qFormat/>
    <w:rPr>
      <w:rFonts w:cs="Times New Roman"/>
    </w:rPr>
  </w:style>
  <w:style w:type="character" w:styleId="ListLabel906">
    <w:name w:val="ListLabel 906"/>
    <w:qFormat/>
    <w:rPr>
      <w:rFonts w:cs="Times New Roman"/>
    </w:rPr>
  </w:style>
  <w:style w:type="character" w:styleId="ListLabel907">
    <w:name w:val="ListLabel 907"/>
    <w:qFormat/>
    <w:rPr>
      <w:rFonts w:cs="Times New Roman"/>
    </w:rPr>
  </w:style>
  <w:style w:type="character" w:styleId="ListLabel908">
    <w:name w:val="ListLabel 908"/>
    <w:qFormat/>
    <w:rPr>
      <w:rFonts w:cs="Times New Roman"/>
    </w:rPr>
  </w:style>
  <w:style w:type="character" w:styleId="ListLabel909">
    <w:name w:val="ListLabel 909"/>
    <w:qFormat/>
    <w:rPr>
      <w:rFonts w:cs="Times New Roman"/>
    </w:rPr>
  </w:style>
  <w:style w:type="character" w:styleId="ListLabel910">
    <w:name w:val="ListLabel 910"/>
    <w:qFormat/>
    <w:rPr>
      <w:rFonts w:ascii="Arial" w:hAnsi="Arial" w:cs="Times New Roman"/>
      <w:b/>
      <w:sz w:val="24"/>
    </w:rPr>
  </w:style>
  <w:style w:type="character" w:styleId="ListLabel911">
    <w:name w:val="ListLabel 911"/>
    <w:qFormat/>
    <w:rPr>
      <w:rFonts w:cs="Times New Roman"/>
    </w:rPr>
  </w:style>
  <w:style w:type="character" w:styleId="ListLabel912">
    <w:name w:val="ListLabel 912"/>
    <w:qFormat/>
    <w:rPr>
      <w:rFonts w:cs="Times New Roman"/>
    </w:rPr>
  </w:style>
  <w:style w:type="character" w:styleId="ListLabel913">
    <w:name w:val="ListLabel 913"/>
    <w:qFormat/>
    <w:rPr>
      <w:rFonts w:cs="Times New Roman"/>
    </w:rPr>
  </w:style>
  <w:style w:type="character" w:styleId="ListLabel914">
    <w:name w:val="ListLabel 914"/>
    <w:qFormat/>
    <w:rPr>
      <w:rFonts w:cs="Times New Roman"/>
    </w:rPr>
  </w:style>
  <w:style w:type="character" w:styleId="ListLabel915">
    <w:name w:val="ListLabel 915"/>
    <w:qFormat/>
    <w:rPr>
      <w:rFonts w:cs="Times New Roman"/>
    </w:rPr>
  </w:style>
  <w:style w:type="character" w:styleId="ListLabel916">
    <w:name w:val="ListLabel 916"/>
    <w:qFormat/>
    <w:rPr>
      <w:rFonts w:cs="Times New Roman"/>
    </w:rPr>
  </w:style>
  <w:style w:type="character" w:styleId="ListLabel917">
    <w:name w:val="ListLabel 917"/>
    <w:qFormat/>
    <w:rPr>
      <w:rFonts w:cs="Times New Roman"/>
    </w:rPr>
  </w:style>
  <w:style w:type="character" w:styleId="ListLabel918">
    <w:name w:val="ListLabel 918"/>
    <w:qFormat/>
    <w:rPr>
      <w:rFonts w:cs="Times New Roman"/>
    </w:rPr>
  </w:style>
  <w:style w:type="character" w:styleId="ListLabel919">
    <w:name w:val="ListLabel 919"/>
    <w:qFormat/>
    <w:rPr>
      <w:rFonts w:ascii="Arial" w:hAnsi="Arial" w:cs="Times New Roman"/>
      <w:sz w:val="24"/>
    </w:rPr>
  </w:style>
  <w:style w:type="character" w:styleId="ListLabel920">
    <w:name w:val="ListLabel 920"/>
    <w:qFormat/>
    <w:rPr>
      <w:rFonts w:cs="Times New Roman"/>
    </w:rPr>
  </w:style>
  <w:style w:type="character" w:styleId="ListLabel921">
    <w:name w:val="ListLabel 921"/>
    <w:qFormat/>
    <w:rPr>
      <w:rFonts w:cs="Times New Roman"/>
    </w:rPr>
  </w:style>
  <w:style w:type="character" w:styleId="ListLabel922">
    <w:name w:val="ListLabel 922"/>
    <w:qFormat/>
    <w:rPr>
      <w:rFonts w:cs="Times New Roman"/>
    </w:rPr>
  </w:style>
  <w:style w:type="character" w:styleId="ListLabel923">
    <w:name w:val="ListLabel 923"/>
    <w:qFormat/>
    <w:rPr>
      <w:rFonts w:cs="Times New Roman"/>
    </w:rPr>
  </w:style>
  <w:style w:type="character" w:styleId="ListLabel924">
    <w:name w:val="ListLabel 924"/>
    <w:qFormat/>
    <w:rPr>
      <w:rFonts w:cs="Times New Roman"/>
    </w:rPr>
  </w:style>
  <w:style w:type="character" w:styleId="ListLabel925">
    <w:name w:val="ListLabel 925"/>
    <w:qFormat/>
    <w:rPr>
      <w:rFonts w:cs="Times New Roman"/>
    </w:rPr>
  </w:style>
  <w:style w:type="character" w:styleId="ListLabel926">
    <w:name w:val="ListLabel 926"/>
    <w:qFormat/>
    <w:rPr>
      <w:rFonts w:cs="Times New Roman"/>
    </w:rPr>
  </w:style>
  <w:style w:type="character" w:styleId="ListLabel927">
    <w:name w:val="ListLabel 927"/>
    <w:qFormat/>
    <w:rPr>
      <w:rFonts w:cs="Times New Roman"/>
    </w:rPr>
  </w:style>
  <w:style w:type="character" w:styleId="ListLabel928">
    <w:name w:val="ListLabel 928"/>
    <w:qFormat/>
    <w:rPr>
      <w:rFonts w:ascii="Arial" w:hAnsi="Arial" w:cs="Times New Roman"/>
      <w:sz w:val="24"/>
    </w:rPr>
  </w:style>
  <w:style w:type="character" w:styleId="ListLabel929">
    <w:name w:val="ListLabel 929"/>
    <w:qFormat/>
    <w:rPr>
      <w:rFonts w:ascii="Arial" w:hAnsi="Arial" w:cs="Times New Roman"/>
      <w:b/>
      <w:sz w:val="24"/>
    </w:rPr>
  </w:style>
  <w:style w:type="character" w:styleId="ListLabel930">
    <w:name w:val="ListLabel 930"/>
    <w:qFormat/>
    <w:rPr>
      <w:rFonts w:cs="Times New Roman"/>
    </w:rPr>
  </w:style>
  <w:style w:type="character" w:styleId="ListLabel931">
    <w:name w:val="ListLabel 931"/>
    <w:qFormat/>
    <w:rPr>
      <w:rFonts w:cs="Arial"/>
    </w:rPr>
  </w:style>
  <w:style w:type="character" w:styleId="ListLabel932">
    <w:name w:val="ListLabel 932"/>
    <w:qFormat/>
    <w:rPr>
      <w:rFonts w:cs="Times New Roman"/>
    </w:rPr>
  </w:style>
  <w:style w:type="character" w:styleId="ListLabel933">
    <w:name w:val="ListLabel 933"/>
    <w:qFormat/>
    <w:rPr>
      <w:rFonts w:cs="Times New Roman"/>
    </w:rPr>
  </w:style>
  <w:style w:type="character" w:styleId="ListLabel934">
    <w:name w:val="ListLabel 934"/>
    <w:qFormat/>
    <w:rPr>
      <w:rFonts w:cs="Times New Roman"/>
    </w:rPr>
  </w:style>
  <w:style w:type="character" w:styleId="ListLabel935">
    <w:name w:val="ListLabel 935"/>
    <w:qFormat/>
    <w:rPr>
      <w:rFonts w:cs="Times New Roman"/>
    </w:rPr>
  </w:style>
  <w:style w:type="character" w:styleId="ListLabel936">
    <w:name w:val="ListLabel 936"/>
    <w:qFormat/>
    <w:rPr>
      <w:rFonts w:cs="Times New Roman"/>
    </w:rPr>
  </w:style>
  <w:style w:type="character" w:styleId="ListLabel937">
    <w:name w:val="ListLabel 937"/>
    <w:qFormat/>
    <w:rPr>
      <w:rFonts w:ascii="Arial" w:hAnsi="Arial" w:cs="Times New Roman"/>
      <w:sz w:val="24"/>
    </w:rPr>
  </w:style>
  <w:style w:type="character" w:styleId="ListLabel938">
    <w:name w:val="ListLabel 938"/>
    <w:qFormat/>
    <w:rPr>
      <w:rFonts w:cs="Times New Roman"/>
    </w:rPr>
  </w:style>
  <w:style w:type="character" w:styleId="ListLabel939">
    <w:name w:val="ListLabel 939"/>
    <w:qFormat/>
    <w:rPr>
      <w:rFonts w:cs="Times New Roman"/>
    </w:rPr>
  </w:style>
  <w:style w:type="character" w:styleId="ListLabel940">
    <w:name w:val="ListLabel 940"/>
    <w:qFormat/>
    <w:rPr>
      <w:rFonts w:cs="Times New Roman"/>
    </w:rPr>
  </w:style>
  <w:style w:type="character" w:styleId="ListLabel941">
    <w:name w:val="ListLabel 941"/>
    <w:qFormat/>
    <w:rPr>
      <w:rFonts w:cs="Times New Roman"/>
    </w:rPr>
  </w:style>
  <w:style w:type="character" w:styleId="ListLabel942">
    <w:name w:val="ListLabel 942"/>
    <w:qFormat/>
    <w:rPr>
      <w:rFonts w:cs="Times New Roman"/>
    </w:rPr>
  </w:style>
  <w:style w:type="character" w:styleId="ListLabel943">
    <w:name w:val="ListLabel 943"/>
    <w:qFormat/>
    <w:rPr>
      <w:rFonts w:cs="Times New Roman"/>
    </w:rPr>
  </w:style>
  <w:style w:type="character" w:styleId="ListLabel944">
    <w:name w:val="ListLabel 944"/>
    <w:qFormat/>
    <w:rPr>
      <w:rFonts w:cs="Times New Roman"/>
    </w:rPr>
  </w:style>
  <w:style w:type="character" w:styleId="ListLabel945">
    <w:name w:val="ListLabel 945"/>
    <w:qFormat/>
    <w:rPr>
      <w:rFonts w:cs="Times New Roman"/>
    </w:rPr>
  </w:style>
  <w:style w:type="character" w:styleId="ListLabel946">
    <w:name w:val="ListLabel 946"/>
    <w:qFormat/>
    <w:rPr>
      <w:rFonts w:ascii="Arial" w:hAnsi="Arial" w:cs="Times New Roman"/>
      <w:sz w:val="24"/>
    </w:rPr>
  </w:style>
  <w:style w:type="character" w:styleId="ListLabel947">
    <w:name w:val="ListLabel 947"/>
    <w:qFormat/>
    <w:rPr>
      <w:rFonts w:cs="Times New Roman"/>
    </w:rPr>
  </w:style>
  <w:style w:type="character" w:styleId="ListLabel948">
    <w:name w:val="ListLabel 948"/>
    <w:qFormat/>
    <w:rPr>
      <w:rFonts w:cs="Times New Roman"/>
    </w:rPr>
  </w:style>
  <w:style w:type="character" w:styleId="ListLabel949">
    <w:name w:val="ListLabel 949"/>
    <w:qFormat/>
    <w:rPr>
      <w:rFonts w:cs="Times New Roman"/>
    </w:rPr>
  </w:style>
  <w:style w:type="character" w:styleId="ListLabel950">
    <w:name w:val="ListLabel 950"/>
    <w:qFormat/>
    <w:rPr>
      <w:rFonts w:cs="Times New Roman"/>
    </w:rPr>
  </w:style>
  <w:style w:type="character" w:styleId="ListLabel951">
    <w:name w:val="ListLabel 951"/>
    <w:qFormat/>
    <w:rPr>
      <w:rFonts w:cs="Times New Roman"/>
    </w:rPr>
  </w:style>
  <w:style w:type="character" w:styleId="ListLabel952">
    <w:name w:val="ListLabel 952"/>
    <w:qFormat/>
    <w:rPr>
      <w:rFonts w:cs="Times New Roman"/>
    </w:rPr>
  </w:style>
  <w:style w:type="character" w:styleId="ListLabel953">
    <w:name w:val="ListLabel 953"/>
    <w:qFormat/>
    <w:rPr>
      <w:rFonts w:cs="Times New Roman"/>
    </w:rPr>
  </w:style>
  <w:style w:type="character" w:styleId="ListLabel954">
    <w:name w:val="ListLabel 954"/>
    <w:qFormat/>
    <w:rPr>
      <w:rFonts w:cs="Times New Roman"/>
    </w:rPr>
  </w:style>
  <w:style w:type="character" w:styleId="ListLabel955">
    <w:name w:val="ListLabel 955"/>
    <w:qFormat/>
    <w:rPr>
      <w:rFonts w:ascii="Arial" w:hAnsi="Arial" w:cs="Times New Roman"/>
      <w:sz w:val="24"/>
    </w:rPr>
  </w:style>
  <w:style w:type="character" w:styleId="ListLabel956">
    <w:name w:val="ListLabel 956"/>
    <w:qFormat/>
    <w:rPr>
      <w:rFonts w:cs="Times New Roman"/>
    </w:rPr>
  </w:style>
  <w:style w:type="character" w:styleId="ListLabel957">
    <w:name w:val="ListLabel 957"/>
    <w:qFormat/>
    <w:rPr>
      <w:rFonts w:cs="Times New Roman"/>
    </w:rPr>
  </w:style>
  <w:style w:type="character" w:styleId="ListLabel958">
    <w:name w:val="ListLabel 958"/>
    <w:qFormat/>
    <w:rPr>
      <w:rFonts w:cs="Times New Roman"/>
    </w:rPr>
  </w:style>
  <w:style w:type="character" w:styleId="ListLabel959">
    <w:name w:val="ListLabel 959"/>
    <w:qFormat/>
    <w:rPr>
      <w:rFonts w:cs="Times New Roman"/>
    </w:rPr>
  </w:style>
  <w:style w:type="character" w:styleId="ListLabel960">
    <w:name w:val="ListLabel 960"/>
    <w:qFormat/>
    <w:rPr>
      <w:rFonts w:cs="Times New Roman"/>
    </w:rPr>
  </w:style>
  <w:style w:type="character" w:styleId="ListLabel961">
    <w:name w:val="ListLabel 961"/>
    <w:qFormat/>
    <w:rPr>
      <w:rFonts w:cs="Times New Roman"/>
    </w:rPr>
  </w:style>
  <w:style w:type="character" w:styleId="ListLabel962">
    <w:name w:val="ListLabel 962"/>
    <w:qFormat/>
    <w:rPr>
      <w:rFonts w:cs="Times New Roman"/>
    </w:rPr>
  </w:style>
  <w:style w:type="character" w:styleId="ListLabel963">
    <w:name w:val="ListLabel 963"/>
    <w:qFormat/>
    <w:rPr>
      <w:rFonts w:cs="Times New Roman"/>
    </w:rPr>
  </w:style>
  <w:style w:type="character" w:styleId="ListLabel964">
    <w:name w:val="ListLabel 964"/>
    <w:qFormat/>
    <w:rPr>
      <w:rFonts w:ascii="Arial" w:hAnsi="Arial" w:cs="Times New Roman"/>
      <w:sz w:val="24"/>
    </w:rPr>
  </w:style>
  <w:style w:type="character" w:styleId="ListLabel965">
    <w:name w:val="ListLabel 965"/>
    <w:qFormat/>
    <w:rPr>
      <w:rFonts w:cs="Times New Roman"/>
    </w:rPr>
  </w:style>
  <w:style w:type="character" w:styleId="ListLabel966">
    <w:name w:val="ListLabel 966"/>
    <w:qFormat/>
    <w:rPr>
      <w:rFonts w:cs="Times New Roman"/>
    </w:rPr>
  </w:style>
  <w:style w:type="character" w:styleId="ListLabel967">
    <w:name w:val="ListLabel 967"/>
    <w:qFormat/>
    <w:rPr>
      <w:rFonts w:cs="Times New Roman"/>
    </w:rPr>
  </w:style>
  <w:style w:type="character" w:styleId="ListLabel968">
    <w:name w:val="ListLabel 968"/>
    <w:qFormat/>
    <w:rPr>
      <w:rFonts w:cs="Times New Roman"/>
    </w:rPr>
  </w:style>
  <w:style w:type="character" w:styleId="ListLabel969">
    <w:name w:val="ListLabel 969"/>
    <w:qFormat/>
    <w:rPr>
      <w:rFonts w:cs="Times New Roman"/>
    </w:rPr>
  </w:style>
  <w:style w:type="character" w:styleId="ListLabel970">
    <w:name w:val="ListLabel 970"/>
    <w:qFormat/>
    <w:rPr>
      <w:rFonts w:cs="Times New Roman"/>
    </w:rPr>
  </w:style>
  <w:style w:type="character" w:styleId="ListLabel971">
    <w:name w:val="ListLabel 971"/>
    <w:qFormat/>
    <w:rPr>
      <w:rFonts w:cs="Times New Roman"/>
    </w:rPr>
  </w:style>
  <w:style w:type="character" w:styleId="ListLabel972">
    <w:name w:val="ListLabel 972"/>
    <w:qFormat/>
    <w:rPr>
      <w:rFonts w:cs="Times New Roman"/>
    </w:rPr>
  </w:style>
  <w:style w:type="character" w:styleId="ListLabel973">
    <w:name w:val="ListLabel 973"/>
    <w:qFormat/>
    <w:rPr>
      <w:rFonts w:ascii="Arial" w:hAnsi="Arial" w:cs="Times New Roman"/>
      <w:b/>
      <w:sz w:val="24"/>
    </w:rPr>
  </w:style>
  <w:style w:type="character" w:styleId="ListLabel974">
    <w:name w:val="ListLabel 974"/>
    <w:qFormat/>
    <w:rPr>
      <w:rFonts w:cs="Times New Roman"/>
    </w:rPr>
  </w:style>
  <w:style w:type="character" w:styleId="ListLabel975">
    <w:name w:val="ListLabel 975"/>
    <w:qFormat/>
    <w:rPr>
      <w:rFonts w:cs="Times New Roman"/>
    </w:rPr>
  </w:style>
  <w:style w:type="character" w:styleId="ListLabel976">
    <w:name w:val="ListLabel 976"/>
    <w:qFormat/>
    <w:rPr>
      <w:rFonts w:cs="Times New Roman"/>
    </w:rPr>
  </w:style>
  <w:style w:type="character" w:styleId="ListLabel977">
    <w:name w:val="ListLabel 977"/>
    <w:qFormat/>
    <w:rPr>
      <w:rFonts w:cs="Times New Roman"/>
    </w:rPr>
  </w:style>
  <w:style w:type="character" w:styleId="ListLabel978">
    <w:name w:val="ListLabel 978"/>
    <w:qFormat/>
    <w:rPr>
      <w:rFonts w:cs="Times New Roman"/>
    </w:rPr>
  </w:style>
  <w:style w:type="character" w:styleId="ListLabel979">
    <w:name w:val="ListLabel 979"/>
    <w:qFormat/>
    <w:rPr>
      <w:rFonts w:cs="Times New Roman"/>
    </w:rPr>
  </w:style>
  <w:style w:type="character" w:styleId="ListLabel980">
    <w:name w:val="ListLabel 980"/>
    <w:qFormat/>
    <w:rPr>
      <w:rFonts w:cs="Times New Roman"/>
    </w:rPr>
  </w:style>
  <w:style w:type="character" w:styleId="ListLabel981">
    <w:name w:val="ListLabel 981"/>
    <w:qFormat/>
    <w:rPr>
      <w:rFonts w:cs="Times New Roman"/>
    </w:rPr>
  </w:style>
  <w:style w:type="character" w:styleId="ListLabel982">
    <w:name w:val="ListLabel 982"/>
    <w:qFormat/>
    <w:rPr>
      <w:rFonts w:ascii="Arial" w:hAnsi="Arial" w:cs="Times New Roman"/>
      <w:sz w:val="24"/>
    </w:rPr>
  </w:style>
  <w:style w:type="character" w:styleId="ListLabel983">
    <w:name w:val="ListLabel 983"/>
    <w:qFormat/>
    <w:rPr>
      <w:rFonts w:cs="Times New Roman"/>
      <w:b/>
    </w:rPr>
  </w:style>
  <w:style w:type="character" w:styleId="ListLabel984">
    <w:name w:val="ListLabel 984"/>
    <w:qFormat/>
    <w:rPr>
      <w:rFonts w:cs="Times New Roman"/>
    </w:rPr>
  </w:style>
  <w:style w:type="character" w:styleId="ListLabel985">
    <w:name w:val="ListLabel 985"/>
    <w:qFormat/>
    <w:rPr>
      <w:rFonts w:cs="Times New Roman"/>
    </w:rPr>
  </w:style>
  <w:style w:type="character" w:styleId="ListLabel986">
    <w:name w:val="ListLabel 986"/>
    <w:qFormat/>
    <w:rPr>
      <w:rFonts w:cs="Times New Roman"/>
    </w:rPr>
  </w:style>
  <w:style w:type="character" w:styleId="ListLabel987">
    <w:name w:val="ListLabel 987"/>
    <w:qFormat/>
    <w:rPr>
      <w:rFonts w:cs="Times New Roman"/>
    </w:rPr>
  </w:style>
  <w:style w:type="character" w:styleId="ListLabel988">
    <w:name w:val="ListLabel 988"/>
    <w:qFormat/>
    <w:rPr>
      <w:rFonts w:cs="Times New Roman"/>
    </w:rPr>
  </w:style>
  <w:style w:type="character" w:styleId="ListLabel989">
    <w:name w:val="ListLabel 989"/>
    <w:qFormat/>
    <w:rPr>
      <w:rFonts w:cs="Times New Roman"/>
    </w:rPr>
  </w:style>
  <w:style w:type="character" w:styleId="ListLabel990">
    <w:name w:val="ListLabel 990"/>
    <w:qFormat/>
    <w:rPr>
      <w:rFonts w:cs="Times New Roman"/>
    </w:rPr>
  </w:style>
  <w:style w:type="character" w:styleId="ListLabel991">
    <w:name w:val="ListLabel 991"/>
    <w:qFormat/>
    <w:rPr>
      <w:rFonts w:cs="Times New Roman"/>
    </w:rPr>
  </w:style>
  <w:style w:type="character" w:styleId="ListLabel992">
    <w:name w:val="ListLabel 992"/>
    <w:qFormat/>
    <w:rPr>
      <w:rFonts w:cs="Times New Roman"/>
    </w:rPr>
  </w:style>
  <w:style w:type="character" w:styleId="ListLabel993">
    <w:name w:val="ListLabel 993"/>
    <w:qFormat/>
    <w:rPr>
      <w:rFonts w:cs="Times New Roman"/>
    </w:rPr>
  </w:style>
  <w:style w:type="character" w:styleId="ListLabel994">
    <w:name w:val="ListLabel 994"/>
    <w:qFormat/>
    <w:rPr>
      <w:rFonts w:cs="Times New Roman"/>
    </w:rPr>
  </w:style>
  <w:style w:type="character" w:styleId="ListLabel995">
    <w:name w:val="ListLabel 995"/>
    <w:qFormat/>
    <w:rPr>
      <w:rFonts w:cs="Times New Roman"/>
    </w:rPr>
  </w:style>
  <w:style w:type="character" w:styleId="ListLabel996">
    <w:name w:val="ListLabel 996"/>
    <w:qFormat/>
    <w:rPr>
      <w:rFonts w:cs="Times New Roman"/>
    </w:rPr>
  </w:style>
  <w:style w:type="character" w:styleId="ListLabel997">
    <w:name w:val="ListLabel 997"/>
    <w:qFormat/>
    <w:rPr>
      <w:rFonts w:cs="Times New Roman"/>
    </w:rPr>
  </w:style>
  <w:style w:type="character" w:styleId="ListLabel998">
    <w:name w:val="ListLabel 998"/>
    <w:qFormat/>
    <w:rPr>
      <w:rFonts w:cs="Times New Roman"/>
    </w:rPr>
  </w:style>
  <w:style w:type="character" w:styleId="ListLabel999">
    <w:name w:val="ListLabel 999"/>
    <w:qFormat/>
    <w:rPr>
      <w:rFonts w:cs="Times New Roman"/>
    </w:rPr>
  </w:style>
  <w:style w:type="character" w:styleId="ListLabel1000">
    <w:name w:val="ListLabel 1000"/>
    <w:qFormat/>
    <w:rPr>
      <w:rFonts w:ascii="Arial" w:hAnsi="Arial" w:cs="Times New Roman"/>
      <w:sz w:val="24"/>
    </w:rPr>
  </w:style>
  <w:style w:type="character" w:styleId="ListLabel1001">
    <w:name w:val="ListLabel 1001"/>
    <w:qFormat/>
    <w:rPr>
      <w:rFonts w:cs="Times New Roman"/>
    </w:rPr>
  </w:style>
  <w:style w:type="character" w:styleId="ListLabel1002">
    <w:name w:val="ListLabel 1002"/>
    <w:qFormat/>
    <w:rPr>
      <w:rFonts w:cs="Times New Roman"/>
    </w:rPr>
  </w:style>
  <w:style w:type="character" w:styleId="ListLabel1003">
    <w:name w:val="ListLabel 1003"/>
    <w:qFormat/>
    <w:rPr>
      <w:rFonts w:cs="Times New Roman"/>
    </w:rPr>
  </w:style>
  <w:style w:type="character" w:styleId="ListLabel1004">
    <w:name w:val="ListLabel 1004"/>
    <w:qFormat/>
    <w:rPr>
      <w:rFonts w:cs="Times New Roman"/>
    </w:rPr>
  </w:style>
  <w:style w:type="character" w:styleId="ListLabel1005">
    <w:name w:val="ListLabel 1005"/>
    <w:qFormat/>
    <w:rPr>
      <w:rFonts w:cs="Times New Roman"/>
    </w:rPr>
  </w:style>
  <w:style w:type="character" w:styleId="ListLabel1006">
    <w:name w:val="ListLabel 1006"/>
    <w:qFormat/>
    <w:rPr>
      <w:rFonts w:cs="Times New Roman"/>
    </w:rPr>
  </w:style>
  <w:style w:type="character" w:styleId="ListLabel1007">
    <w:name w:val="ListLabel 1007"/>
    <w:qFormat/>
    <w:rPr>
      <w:rFonts w:cs="Times New Roman"/>
    </w:rPr>
  </w:style>
  <w:style w:type="character" w:styleId="ListLabel1008">
    <w:name w:val="ListLabel 1008"/>
    <w:qFormat/>
    <w:rPr>
      <w:rFonts w:cs="Times New Roman"/>
    </w:rPr>
  </w:style>
  <w:style w:type="character" w:styleId="ListLabel1009">
    <w:name w:val="ListLabel 1009"/>
    <w:qFormat/>
    <w:rPr>
      <w:rFonts w:ascii="Arial" w:hAnsi="Arial" w:cs="Times New Roman"/>
      <w:sz w:val="24"/>
    </w:rPr>
  </w:style>
  <w:style w:type="character" w:styleId="ListLabel1010">
    <w:name w:val="ListLabel 1010"/>
    <w:qFormat/>
    <w:rPr>
      <w:rFonts w:cs="Times New Roman"/>
    </w:rPr>
  </w:style>
  <w:style w:type="character" w:styleId="ListLabel1011">
    <w:name w:val="ListLabel 1011"/>
    <w:qFormat/>
    <w:rPr>
      <w:rFonts w:cs="Times New Roman"/>
    </w:rPr>
  </w:style>
  <w:style w:type="character" w:styleId="ListLabel1012">
    <w:name w:val="ListLabel 1012"/>
    <w:qFormat/>
    <w:rPr>
      <w:rFonts w:cs="Times New Roman"/>
    </w:rPr>
  </w:style>
  <w:style w:type="character" w:styleId="ListLabel1013">
    <w:name w:val="ListLabel 1013"/>
    <w:qFormat/>
    <w:rPr>
      <w:rFonts w:cs="Times New Roman"/>
    </w:rPr>
  </w:style>
  <w:style w:type="character" w:styleId="ListLabel1014">
    <w:name w:val="ListLabel 1014"/>
    <w:qFormat/>
    <w:rPr>
      <w:rFonts w:cs="Times New Roman"/>
    </w:rPr>
  </w:style>
  <w:style w:type="character" w:styleId="ListLabel1015">
    <w:name w:val="ListLabel 1015"/>
    <w:qFormat/>
    <w:rPr>
      <w:rFonts w:cs="Times New Roman"/>
    </w:rPr>
  </w:style>
  <w:style w:type="character" w:styleId="ListLabel1016">
    <w:name w:val="ListLabel 1016"/>
    <w:qFormat/>
    <w:rPr>
      <w:rFonts w:cs="Times New Roman"/>
    </w:rPr>
  </w:style>
  <w:style w:type="character" w:styleId="ListLabel1017">
    <w:name w:val="ListLabel 1017"/>
    <w:qFormat/>
    <w:rPr>
      <w:rFonts w:cs="Times New Roman"/>
    </w:rPr>
  </w:style>
  <w:style w:type="character" w:styleId="ListLabel1018">
    <w:name w:val="ListLabel 1018"/>
    <w:qFormat/>
    <w:rPr>
      <w:rFonts w:ascii="Arial" w:hAnsi="Arial" w:cs="Times New Roman"/>
      <w:sz w:val="24"/>
    </w:rPr>
  </w:style>
  <w:style w:type="character" w:styleId="ListLabel1019">
    <w:name w:val="ListLabel 1019"/>
    <w:qFormat/>
    <w:rPr>
      <w:rFonts w:cs="Times New Roman"/>
    </w:rPr>
  </w:style>
  <w:style w:type="character" w:styleId="ListLabel1020">
    <w:name w:val="ListLabel 1020"/>
    <w:qFormat/>
    <w:rPr>
      <w:rFonts w:cs="Times New Roman"/>
    </w:rPr>
  </w:style>
  <w:style w:type="character" w:styleId="ListLabel1021">
    <w:name w:val="ListLabel 1021"/>
    <w:qFormat/>
    <w:rPr>
      <w:rFonts w:cs="Times New Roman"/>
    </w:rPr>
  </w:style>
  <w:style w:type="character" w:styleId="ListLabel1022">
    <w:name w:val="ListLabel 1022"/>
    <w:qFormat/>
    <w:rPr>
      <w:rFonts w:cs="Times New Roman"/>
    </w:rPr>
  </w:style>
  <w:style w:type="character" w:styleId="ListLabel1023">
    <w:name w:val="ListLabel 1023"/>
    <w:qFormat/>
    <w:rPr>
      <w:rFonts w:cs="Times New Roman"/>
    </w:rPr>
  </w:style>
  <w:style w:type="character" w:styleId="ListLabel1024">
    <w:name w:val="ListLabel 1024"/>
    <w:qFormat/>
    <w:rPr>
      <w:rFonts w:cs="Times New Roman"/>
    </w:rPr>
  </w:style>
  <w:style w:type="character" w:styleId="ListLabel1025">
    <w:name w:val="ListLabel 1025"/>
    <w:qFormat/>
    <w:rPr>
      <w:rFonts w:cs="Times New Roman"/>
    </w:rPr>
  </w:style>
  <w:style w:type="character" w:styleId="ListLabel1026">
    <w:name w:val="ListLabel 1026"/>
    <w:qFormat/>
    <w:rPr>
      <w:rFonts w:cs="Times New Roman"/>
    </w:rPr>
  </w:style>
  <w:style w:type="paragraph" w:styleId="Nadpis">
    <w:name w:val="Nadpis"/>
    <w:basedOn w:val="Normal"/>
    <w:next w:val="Telotextu"/>
    <w:qFormat/>
    <w:pPr>
      <w:keepNext/>
      <w:spacing w:before="240" w:after="120"/>
    </w:pPr>
    <w:rPr>
      <w:rFonts w:ascii="Liberation Sans" w:hAnsi="Liberation Sans" w:eastAsia="Microsoft YaHei" w:cs="Mangal"/>
      <w:sz w:val="28"/>
      <w:szCs w:val="28"/>
    </w:rPr>
  </w:style>
  <w:style w:type="paragraph" w:styleId="Telotextu">
    <w:name w:val="Body Text"/>
    <w:basedOn w:val="Normal"/>
    <w:link w:val="ZkladntextChar"/>
    <w:uiPriority w:val="99"/>
    <w:rsid w:val="00c274f4"/>
    <w:pPr>
      <w:spacing w:lineRule="auto" w:line="240" w:before="0" w:after="0"/>
    </w:pPr>
    <w:rPr>
      <w:rFonts w:ascii="Tms Rmn" w:hAnsi="Tms Rmn"/>
      <w:color w:val="000000"/>
      <w:sz w:val="24"/>
      <w:szCs w:val="20"/>
      <w:lang w:val="en-US" w:eastAsia="sk-SK"/>
    </w:rPr>
  </w:style>
  <w:style w:type="paragraph" w:styleId="Zoznam">
    <w:name w:val="List"/>
    <w:basedOn w:val="Telotextu"/>
    <w:pPr/>
    <w:rPr>
      <w:rFonts w:cs="Mangal"/>
    </w:rPr>
  </w:style>
  <w:style w:type="paragraph" w:styleId="Popis">
    <w:name w:val="Caption"/>
    <w:basedOn w:val="Normal"/>
    <w:qFormat/>
    <w:pPr>
      <w:suppressLineNumbers/>
      <w:spacing w:before="120" w:after="120"/>
    </w:pPr>
    <w:rPr>
      <w:rFonts w:cs="Mangal"/>
      <w:i/>
      <w:iCs/>
      <w:sz w:val="24"/>
      <w:szCs w:val="24"/>
    </w:rPr>
  </w:style>
  <w:style w:type="paragraph" w:styleId="Index">
    <w:name w:val="Index"/>
    <w:basedOn w:val="Normal"/>
    <w:qFormat/>
    <w:pPr>
      <w:suppressLineNumbers/>
    </w:pPr>
    <w:rPr>
      <w:rFonts w:cs="Mangal"/>
    </w:rPr>
  </w:style>
  <w:style w:type="paragraph" w:styleId="Hlavika">
    <w:name w:val="Header"/>
    <w:basedOn w:val="Normal"/>
    <w:link w:val="HlavikaChar"/>
    <w:uiPriority w:val="99"/>
    <w:rsid w:val="00107589"/>
    <w:pPr>
      <w:tabs>
        <w:tab w:val="center" w:pos="4536" w:leader="none"/>
        <w:tab w:val="right" w:pos="9072" w:leader="none"/>
      </w:tabs>
      <w:spacing w:lineRule="auto" w:line="240" w:before="0" w:after="0"/>
    </w:pPr>
    <w:rPr/>
  </w:style>
  <w:style w:type="paragraph" w:styleId="Pta">
    <w:name w:val="Footer"/>
    <w:basedOn w:val="Normal"/>
    <w:link w:val="PtaChar"/>
    <w:uiPriority w:val="99"/>
    <w:rsid w:val="00107589"/>
    <w:pPr>
      <w:tabs>
        <w:tab w:val="center" w:pos="4536" w:leader="none"/>
        <w:tab w:val="right" w:pos="9072" w:leader="none"/>
      </w:tabs>
      <w:spacing w:lineRule="auto" w:line="240" w:before="0" w:after="0"/>
    </w:pPr>
    <w:rPr/>
  </w:style>
  <w:style w:type="paragraph" w:styleId="Footnotetext">
    <w:name w:val="footnote text"/>
    <w:basedOn w:val="Normal"/>
    <w:link w:val="TextpoznmkypodiarouChar"/>
    <w:uiPriority w:val="99"/>
    <w:semiHidden/>
    <w:qFormat/>
    <w:rsid w:val="0003344f"/>
    <w:pPr>
      <w:spacing w:lineRule="auto" w:line="240" w:before="0" w:after="0"/>
    </w:pPr>
    <w:rPr>
      <w:rFonts w:ascii="Times New Roman" w:hAnsi="Times New Roman"/>
      <w:sz w:val="20"/>
      <w:szCs w:val="20"/>
      <w:lang w:eastAsia="cs-CZ"/>
    </w:rPr>
  </w:style>
  <w:style w:type="paragraph" w:styleId="Nzov">
    <w:name w:val="Title"/>
    <w:basedOn w:val="Normal"/>
    <w:link w:val="NzovChar"/>
    <w:uiPriority w:val="99"/>
    <w:qFormat/>
    <w:rsid w:val="0003344f"/>
    <w:pPr>
      <w:keepNext/>
      <w:spacing w:lineRule="auto" w:line="240" w:beforeAutospacing="1" w:after="220"/>
      <w:jc w:val="center"/>
      <w:outlineLvl w:val="0"/>
    </w:pPr>
    <w:rPr>
      <w:b/>
      <w:bCs/>
      <w:szCs w:val="32"/>
    </w:rPr>
  </w:style>
  <w:style w:type="paragraph" w:styleId="Podnzov">
    <w:name w:val="Subtitle"/>
    <w:basedOn w:val="Normal"/>
    <w:link w:val="PodtitulChar"/>
    <w:uiPriority w:val="99"/>
    <w:qFormat/>
    <w:rsid w:val="0003344f"/>
    <w:pPr>
      <w:spacing w:lineRule="auto" w:line="240" w:before="0" w:after="60"/>
      <w:jc w:val="center"/>
      <w:outlineLvl w:val="1"/>
    </w:pPr>
    <w:rPr>
      <w:rFonts w:ascii="Cambria" w:hAnsi="Cambria"/>
      <w:szCs w:val="24"/>
    </w:rPr>
  </w:style>
  <w:style w:type="paragraph" w:styleId="BodyText2">
    <w:name w:val="Body Text 2"/>
    <w:basedOn w:val="Normal"/>
    <w:link w:val="Zkladntext2Char"/>
    <w:uiPriority w:val="99"/>
    <w:semiHidden/>
    <w:qFormat/>
    <w:rsid w:val="0003344f"/>
    <w:pPr>
      <w:spacing w:lineRule="auto" w:line="240" w:before="0" w:after="0"/>
      <w:ind w:left="2124" w:hanging="2124"/>
      <w:jc w:val="both"/>
    </w:pPr>
    <w:rPr>
      <w:rFonts w:ascii="Times New Roman" w:hAnsi="Times New Roman"/>
      <w:sz w:val="24"/>
      <w:szCs w:val="24"/>
      <w:lang w:eastAsia="cs-CZ"/>
    </w:rPr>
  </w:style>
  <w:style w:type="paragraph" w:styleId="BodyTextIndent2">
    <w:name w:val="Body Text Indent 2"/>
    <w:basedOn w:val="Normal"/>
    <w:link w:val="Zarkazkladnhotextu2Char"/>
    <w:uiPriority w:val="99"/>
    <w:semiHidden/>
    <w:qFormat/>
    <w:rsid w:val="0003344f"/>
    <w:pPr>
      <w:spacing w:lineRule="auto" w:line="240" w:before="0" w:after="0"/>
      <w:ind w:firstLine="708"/>
      <w:jc w:val="both"/>
    </w:pPr>
    <w:rPr>
      <w:rFonts w:ascii="Times New Roman" w:hAnsi="Times New Roman"/>
      <w:sz w:val="24"/>
      <w:szCs w:val="24"/>
      <w:lang w:eastAsia="cs-CZ"/>
    </w:rPr>
  </w:style>
  <w:style w:type="paragraph" w:styleId="BodyTextIndent3">
    <w:name w:val="Body Text Indent 3"/>
    <w:basedOn w:val="Normal"/>
    <w:link w:val="Zarkazkladnhotextu3Char"/>
    <w:uiPriority w:val="99"/>
    <w:semiHidden/>
    <w:qFormat/>
    <w:rsid w:val="0003344f"/>
    <w:pPr>
      <w:spacing w:lineRule="auto" w:line="240" w:before="0" w:after="0"/>
      <w:ind w:left="708" w:firstLine="708"/>
      <w:jc w:val="both"/>
    </w:pPr>
    <w:rPr>
      <w:rFonts w:ascii="Times New Roman" w:hAnsi="Times New Roman"/>
      <w:sz w:val="24"/>
      <w:szCs w:val="24"/>
      <w:lang w:eastAsia="cs-CZ"/>
    </w:rPr>
  </w:style>
  <w:style w:type="paragraph" w:styleId="BalloonText">
    <w:name w:val="Balloon Text"/>
    <w:basedOn w:val="Normal"/>
    <w:link w:val="TextbublinyChar"/>
    <w:uiPriority w:val="99"/>
    <w:semiHidden/>
    <w:qFormat/>
    <w:rsid w:val="0003344f"/>
    <w:pPr>
      <w:spacing w:lineRule="auto" w:line="240" w:before="0" w:after="0"/>
    </w:pPr>
    <w:rPr>
      <w:rFonts w:ascii="Tahoma" w:hAnsi="Tahoma" w:cs="Tahoma"/>
      <w:sz w:val="16"/>
      <w:szCs w:val="16"/>
      <w:lang w:eastAsia="cs-CZ"/>
    </w:rPr>
  </w:style>
  <w:style w:type="paragraph" w:styleId="ListParagraph">
    <w:name w:val="List Paragraph"/>
    <w:basedOn w:val="Normal"/>
    <w:uiPriority w:val="99"/>
    <w:qFormat/>
    <w:rsid w:val="004268d2"/>
    <w:pPr>
      <w:spacing w:before="0" w:after="200"/>
      <w:ind w:left="720" w:hanging="0"/>
      <w:contextualSpacing/>
    </w:pPr>
    <w:rPr/>
  </w:style>
  <w:style w:type="paragraph" w:styleId="TopHeader" w:customStyle="1">
    <w:name w:val="Top Header"/>
    <w:basedOn w:val="Normal"/>
    <w:uiPriority w:val="99"/>
    <w:qFormat/>
    <w:rsid w:val="0003344f"/>
    <w:pPr>
      <w:spacing w:lineRule="auto" w:line="240" w:before="0" w:after="0"/>
      <w:jc w:val="center"/>
    </w:pPr>
    <w:rPr>
      <w:b/>
      <w:bCs/>
      <w:szCs w:val="22"/>
    </w:rPr>
  </w:style>
  <w:style w:type="paragraph" w:styleId="NormalWeb">
    <w:name w:val="Normal (Web)"/>
    <w:basedOn w:val="Normal"/>
    <w:uiPriority w:val="99"/>
    <w:semiHidden/>
    <w:qFormat/>
    <w:rsid w:val="00d9007d"/>
    <w:pPr>
      <w:spacing w:lineRule="auto" w:line="240" w:beforeAutospacing="1" w:afterAutospacing="1"/>
    </w:pPr>
    <w:rPr>
      <w:rFonts w:ascii="Times New Roman" w:hAnsi="Times New Roman"/>
      <w:sz w:val="24"/>
      <w:szCs w:val="24"/>
      <w:lang w:eastAsia="sk-SK"/>
    </w:rPr>
  </w:style>
  <w:style w:type="paragraph" w:styleId="Zoznam1" w:customStyle="1">
    <w:name w:val="zoznam"/>
    <w:basedOn w:val="Normal"/>
    <w:uiPriority w:val="99"/>
    <w:qFormat/>
    <w:rsid w:val="00fa03c9"/>
    <w:pPr>
      <w:spacing w:lineRule="auto" w:line="240" w:before="0" w:after="0"/>
    </w:pPr>
    <w:rPr>
      <w:rFonts w:ascii="Arial" w:hAnsi="Arial"/>
      <w:sz w:val="24"/>
      <w:szCs w:val="24"/>
      <w:lang w:eastAsia="sk-SK"/>
    </w:rPr>
  </w:style>
  <w:style w:type="paragraph" w:styleId="Default" w:customStyle="1">
    <w:name w:val="Default"/>
    <w:uiPriority w:val="99"/>
    <w:qFormat/>
    <w:rsid w:val="00236406"/>
    <w:pPr>
      <w:widowControl/>
      <w:bidi w:val="0"/>
      <w:spacing w:lineRule="auto" w:line="240" w:before="0" w:after="0"/>
      <w:jc w:val="left"/>
    </w:pPr>
    <w:rPr>
      <w:rFonts w:ascii="Arial" w:hAnsi="Arial" w:eastAsia="Times New Roman" w:cs="Arial"/>
      <w:color w:val="000000"/>
      <w:sz w:val="24"/>
      <w:szCs w:val="24"/>
      <w:lang w:val="sk-SK" w:eastAsia="en-US" w:bidi="ar-SA"/>
    </w:rPr>
  </w:style>
  <w:style w:type="paragraph" w:styleId="Obsahrmca">
    <w:name w:val="Obsah rámca"/>
    <w:basedOn w:val="Normal"/>
    <w:qFormat/>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table" w:styleId="Mriekatabuky">
    <w:name w:val="Table Grid"/>
    <w:basedOn w:val="Normlnatabuka"/>
    <w:uiPriority w:val="99"/>
    <w:rsid w:val="00b86fc2"/>
    <w:pPr>
      <w:spacing w:after="0" w:line="240" w:lineRule="auto"/>
    </w:pPr>
    <w:rPr>
      <w:lang w:eastAsia="en-US"/>
      <w:szCs w:val="36"/>
    </w:r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Moderntabuka">
    <w:name w:val="Table Contemporary"/>
    <w:basedOn w:val="Normlnatabuka"/>
    <w:uiPriority w:val="99"/>
    <w:rsid w:val="00fa03c9"/>
    <w:pPr>
      <w:spacing w:after="0" w:line="240" w:lineRule="auto"/>
    </w:pPr>
    <w:rPr>
      <w:sz w:val="20"/>
      <w:szCs w:val="20"/>
    </w:rPr>
    <w:tblPr>
      <w:tblStyleRowBandSize w:val="1"/>
      <w:tblInd w:w="0" w:type="dxa"/>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blPr/>
      <w:tcPr>
        <w:tcBorders>
          <w:tl2br w:val="none" w:color="auto" w:sz="0" w:space="0"/>
          <w:tr2bl w:val="none" w:color="auto" w:sz="0" w:space="0"/>
        </w:tcBorders>
        <w:shd w:val="pct20" w:color="000000" w:fill="FFFFFF"/>
      </w:tcPr>
    </w:tblStylePr>
    <w:tblStylePr w:type="band1Horz">
      <w:rPr>
        <w:color w:val="auto"/>
      </w:rPr>
      <w:tblPr/>
      <w:tcPr>
        <w:tcBorders>
          <w:tl2br w:val="none" w:color="auto" w:sz="0" w:space="0"/>
          <w:tr2bl w:val="none" w:color="auto" w:sz="0" w:space="0"/>
        </w:tcBorders>
        <w:shd w:val="pct5" w:color="000000" w:fill="FFFFFF"/>
      </w:tcPr>
    </w:tblStylePr>
    <w:tblStylePr w:type="band2Horz">
      <w:rPr>
        <w:color w:val="auto"/>
      </w:rPr>
      <w:tblPr/>
      <w:tcPr>
        <w:tcBorders>
          <w:tl2br w:val="none" w:color="auto" w:sz="0" w:space="0"/>
          <w:tr2bl w:val="none" w:color="auto" w:sz="0" w:space="0"/>
        </w:tcBorders>
        <w:shd w:val="pct20" w:color="000000" w:fill="FFFFFF"/>
      </w:tcPr>
    </w:tblStylePr>
  </w:style>
  <w:style w:type="table" w:customStyle="1" w:styleId="Mriekatabuky1">
    <w:name w:val="Mriežka tabuľky1"/>
    <w:uiPriority w:val="99"/>
    <w:rsid w:val="00fa03c9"/>
    <w:pPr>
      <w:spacing w:after="0" w:line="240" w:lineRule="auto"/>
    </w:pPr>
    <w:rPr>
      <w:sz w:val="20"/>
      <w:szCs w:val="20"/>
    </w:r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Moderntabuka1">
    <w:name w:val="Moderná tabuľka1"/>
    <w:uiPriority w:val="99"/>
    <w:rsid w:val="00c274f4"/>
    <w:pPr>
      <w:spacing w:after="0" w:line="240" w:lineRule="auto"/>
    </w:pPr>
    <w:rPr>
      <w:sz w:val="20"/>
      <w:szCs w:val="20"/>
    </w:rPr>
    <w:tblPr>
      <w:tblStyleRowBandSize w:val="1"/>
      <w:tblInd w:w="0" w:type="dxa"/>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blPr/>
      <w:tcPr>
        <w:tcBorders>
          <w:tl2br w:val="none" w:color="auto" w:sz="0" w:space="0"/>
          <w:tr2bl w:val="none" w:color="auto" w:sz="0" w:space="0"/>
        </w:tcBorders>
        <w:shd w:val="pct20" w:color="000000" w:fill="FFFFFF"/>
      </w:tcPr>
    </w:tblStylePr>
    <w:tblStylePr w:type="band1Horz">
      <w:rPr>
        <w:color w:val="auto"/>
      </w:rPr>
      <w:tblPr/>
      <w:tcPr>
        <w:tcBorders>
          <w:tl2br w:val="none" w:color="auto" w:sz="0" w:space="0"/>
          <w:tr2bl w:val="none" w:color="auto" w:sz="0" w:space="0"/>
        </w:tcBorders>
        <w:shd w:val="pct5" w:color="000000" w:fill="FFFFFF"/>
      </w:tcPr>
    </w:tblStylePr>
    <w:tblStylePr w:type="band2Horz">
      <w:rPr>
        <w:color w:val="auto"/>
      </w:rPr>
      <w:tblPr/>
      <w:tcPr>
        <w:tcBorders>
          <w:tl2br w:val="none" w:color="auto" w:sz="0" w:space="0"/>
          <w:tr2bl w:val="none" w:color="auto" w:sz="0" w:space="0"/>
        </w:tcBorders>
        <w:shd w:val="pct20" w:color="000000" w:fill="FFFFFF"/>
      </w:tcPr>
    </w:tblStylePr>
  </w:style>
  <w:style w:type="table" w:customStyle="1" w:styleId="Mriekatabuky2">
    <w:name w:val="Mriežka tabuľky2"/>
    <w:uiPriority w:val="99"/>
    <w:rsid w:val="00c274f4"/>
    <w:pPr>
      <w:spacing w:after="0" w:line="240" w:lineRule="auto"/>
    </w:pPr>
    <w:rPr>
      <w:sz w:val="20"/>
      <w:szCs w:val="20"/>
    </w:r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Application>LibreOffice/5.1.2.2$Windows_x86 LibreOffice_project/d3bf12ecb743fc0d20e0be0c58ca359301eb705f</Application>
  <Pages>38</Pages>
  <Words>8108</Words>
  <Characters>45813</Characters>
  <CharactersWithSpaces>55711</CharactersWithSpaces>
  <Paragraphs>2369</Paragraphs>
  <Company>HP</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2017-03-07T09:44:00Z</dcterms:created>
  <dc:creator>Matulova Silvia</dc:creator>
  <dc:description/>
  <dc:language>sk-SK</dc:language>
  <cp:lastModifiedBy/>
  <cp:lastPrinted>2017-03-22T08:15:03Z</cp:lastPrinted>
  <dcterms:modified xsi:type="dcterms:W3CDTF">2017-03-22T08:17:12Z</dcterms:modified>
  <cp:revision>8</cp:revision>
  <dc:subject/>
  <dc:title>Poznámky Úč POD 3 - 01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HP</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