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7085" w:rsidRDefault="007E7085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E7085" w:rsidRDefault="007E708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 w:rsidR="000A205B">
        <w:rPr>
          <w:rFonts w:ascii="Arial Narrow" w:hAnsi="Arial Narrow" w:cs="Arial Narrow"/>
          <w:sz w:val="22"/>
          <w:szCs w:val="22"/>
        </w:rPr>
        <w:t>EX METAL s.r.o.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1" w:name="ADRESA"/>
      <w:bookmarkEnd w:id="1"/>
      <w:r w:rsidR="00D46535" w:rsidRPr="00D46535">
        <w:rPr>
          <w:rStyle w:val="ra"/>
          <w:rFonts w:ascii="Arial Narrow" w:hAnsi="Arial Narrow" w:cs="Arial"/>
          <w:sz w:val="22"/>
          <w:szCs w:val="22"/>
        </w:rPr>
        <w:t>Nám. Dr. A. Schweitzera 288/24</w:t>
      </w:r>
      <w:r w:rsidR="000A205B" w:rsidRPr="00D46535">
        <w:rPr>
          <w:rFonts w:ascii="Arial" w:hAnsi="Arial" w:cs="Arial"/>
          <w:sz w:val="22"/>
          <w:szCs w:val="22"/>
        </w:rPr>
        <w:tab/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0A205B">
        <w:rPr>
          <w:rFonts w:ascii="Arial Narrow" w:hAnsi="Arial Narrow" w:cs="Arial Narrow"/>
          <w:sz w:val="22"/>
          <w:szCs w:val="22"/>
        </w:rPr>
        <w:t>11.06.2004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</w:t>
      </w:r>
      <w:r w:rsidR="000A205B">
        <w:rPr>
          <w:rFonts w:ascii="Arial Narrow" w:hAnsi="Arial Narrow" w:cs="Arial Narrow"/>
          <w:sz w:val="22"/>
          <w:szCs w:val="22"/>
        </w:rPr>
        <w:t>saná do obchodného registra dňa: 11.06.2004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E7085" w:rsidRDefault="007E708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0A205B">
        <w:rPr>
          <w:rFonts w:ascii="Arial Narrow" w:hAnsi="Arial Narrow" w:cs="Arial Narrow"/>
          <w:sz w:val="22"/>
          <w:szCs w:val="22"/>
        </w:rPr>
        <w:t>Kovoob</w:t>
      </w:r>
      <w:bookmarkStart w:id="2" w:name="_GoBack"/>
      <w:bookmarkEnd w:id="2"/>
      <w:r w:rsidR="000A205B">
        <w:rPr>
          <w:rFonts w:ascii="Arial Narrow" w:hAnsi="Arial Narrow" w:cs="Arial Narrow"/>
          <w:sz w:val="22"/>
          <w:szCs w:val="22"/>
        </w:rPr>
        <w:t>rábanie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pStyle w:val="TaxEdit2"/>
      </w:pPr>
      <w:r>
        <w:t>2) Dátum schválenia účtovnej závierky za predchádzajúce účtovné obdobie</w:t>
      </w:r>
    </w:p>
    <w:p w:rsidR="007E7085" w:rsidRDefault="007E7085">
      <w:pPr>
        <w:pStyle w:val="TaxEdit2"/>
        <w:rPr>
          <w:rFonts w:ascii="Arial Narrow" w:hAnsi="Arial Narrow" w:cs="Arial Narrow"/>
        </w:rPr>
      </w:pPr>
    </w:p>
    <w:p w:rsidR="007E7085" w:rsidRDefault="007E7085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0A205B">
        <w:rPr>
          <w:rFonts w:ascii="Arial Narrow" w:hAnsi="Arial Narrow" w:cs="Arial Narrow"/>
          <w:b w:val="0"/>
          <w:bCs w:val="0"/>
        </w:rPr>
        <w:t> 31.12.201</w:t>
      </w:r>
      <w:bookmarkStart w:id="3" w:name="DATUMK"/>
      <w:bookmarkStart w:id="4" w:name="DATUMK_END"/>
      <w:bookmarkEnd w:id="3"/>
      <w:bookmarkEnd w:id="4"/>
      <w:r w:rsidR="00B07434">
        <w:rPr>
          <w:rFonts w:ascii="Arial Narrow" w:hAnsi="Arial Narrow" w:cs="Arial Narrow"/>
          <w:b w:val="0"/>
          <w:bCs w:val="0"/>
        </w:rPr>
        <w:t>5</w:t>
      </w:r>
      <w:r>
        <w:rPr>
          <w:rFonts w:ascii="Arial Narrow" w:hAnsi="Arial Narrow" w:cs="Arial Narrow"/>
          <w:b w:val="0"/>
          <w:bCs w:val="0"/>
        </w:rPr>
        <w:t>, za predchádzajúce účtovné obdobie, bola schválená dňa</w:t>
      </w:r>
      <w:bookmarkStart w:id="5" w:name="DATUMCHV"/>
      <w:bookmarkStart w:id="6" w:name="DATUMSCHV"/>
      <w:bookmarkStart w:id="7" w:name="DATUMSCHV_END"/>
      <w:bookmarkEnd w:id="5"/>
      <w:bookmarkEnd w:id="6"/>
      <w:bookmarkEnd w:id="7"/>
      <w:r w:rsidR="00B07434">
        <w:rPr>
          <w:rFonts w:ascii="Arial Narrow" w:hAnsi="Arial Narrow" w:cs="Arial Narrow"/>
          <w:b w:val="0"/>
          <w:bCs w:val="0"/>
        </w:rPr>
        <w:t xml:space="preserve"> 22.03.2016</w:t>
      </w:r>
    </w:p>
    <w:p w:rsidR="007E7085" w:rsidRDefault="007E7085">
      <w:pPr>
        <w:pStyle w:val="TaxEdit2"/>
        <w:rPr>
          <w:rFonts w:ascii="Arial Narrow" w:hAnsi="Arial Narrow" w:cs="Arial Narrow"/>
          <w:b w:val="0"/>
          <w:bCs w:val="0"/>
        </w:rPr>
      </w:pPr>
    </w:p>
    <w:p w:rsidR="007E7085" w:rsidRDefault="007E7085">
      <w:pPr>
        <w:pStyle w:val="TaxEdit2"/>
      </w:pPr>
      <w:r>
        <w:t>3) Právny dôvod na zostavenie účtovnej závierky</w:t>
      </w:r>
    </w:p>
    <w:p w:rsidR="007E7085" w:rsidRDefault="007E7085">
      <w:pPr>
        <w:pStyle w:val="TaxEdit"/>
        <w:numPr>
          <w:ilvl w:val="0"/>
          <w:numId w:val="0"/>
        </w:numPr>
        <w:ind w:left="284"/>
      </w:pPr>
    </w:p>
    <w:p w:rsidR="007E7085" w:rsidRDefault="007E708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:rsidR="007E7085" w:rsidRDefault="007E7085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:rsidR="007E7085" w:rsidRDefault="007E7085">
      <w:pPr>
        <w:pStyle w:val="TaxEdit2"/>
      </w:pPr>
      <w:r>
        <w:t>4) Údaje o skupine účtovných jednotiek v súvislosti s konsolidáciou</w:t>
      </w:r>
    </w:p>
    <w:p w:rsidR="007E7085" w:rsidRDefault="007E7085">
      <w:pPr>
        <w:rPr>
          <w:rFonts w:ascii="Arial Narrow" w:hAnsi="Arial Narrow" w:cs="Arial Narrow"/>
          <w:sz w:val="22"/>
          <w:szCs w:val="22"/>
        </w:rPr>
      </w:pPr>
    </w:p>
    <w:p w:rsidR="000A205B" w:rsidRPr="000A205B" w:rsidRDefault="000A205B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0A205B">
        <w:rPr>
          <w:rFonts w:ascii="Arial Narrow" w:hAnsi="Arial Narrow" w:cs="Arial Narrow"/>
          <w:i/>
          <w:sz w:val="22"/>
          <w:szCs w:val="22"/>
        </w:rPr>
        <w:t>Účtovná jednotka nie je súčasťou konsolidovaného celku.</w:t>
      </w:r>
    </w:p>
    <w:p w:rsidR="000A205B" w:rsidRDefault="000A205B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7E7085" w:rsidRDefault="007E708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7E7085" w:rsidRDefault="007E708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7E7085" w:rsidRDefault="007E708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7E7085" w:rsidRDefault="007E708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7E7085" w:rsidRDefault="007E7085">
      <w:pPr>
        <w:ind w:left="1080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7E7085" w:rsidRDefault="007E708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7E7085" w:rsidRDefault="007E708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7E7085" w:rsidRDefault="007E7085">
      <w:pPr>
        <w:ind w:left="1080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:rsidR="007E7085" w:rsidRDefault="007E708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:rsidR="007E7085" w:rsidRDefault="007E708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:rsidR="007E7085" w:rsidRDefault="007E708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:rsidR="007E7085" w:rsidRDefault="007E708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7E7085" w:rsidRDefault="007E708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7E7085" w:rsidRDefault="007E7085">
      <w:pPr>
        <w:pStyle w:val="TaxEdit2"/>
      </w:pPr>
      <w:r>
        <w:lastRenderedPageBreak/>
        <w:t>5) Priemerný prepočítaný počet zamestnancov</w:t>
      </w:r>
    </w:p>
    <w:p w:rsidR="007E7085" w:rsidRDefault="007E7085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7E7085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7E7085" w:rsidRDefault="007E7085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7E7085" w:rsidRDefault="007E708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7E7085" w:rsidRDefault="007E708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7E7085" w:rsidRDefault="007E708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7E7085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7E7085" w:rsidRDefault="004D47D1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7E7085" w:rsidRDefault="000A205B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07434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7E7085">
        <w:tc>
          <w:tcPr>
            <w:tcW w:w="4890" w:type="dxa"/>
            <w:tcBorders>
              <w:right w:val="nil"/>
            </w:tcBorders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7E7085" w:rsidRDefault="00FC66F4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7E7085" w:rsidRDefault="000A205B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07434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7E7085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7E7085" w:rsidRDefault="00D9592B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7E7085" w:rsidRDefault="000A205B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E7085" w:rsidRDefault="007E7085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7E7085" w:rsidRDefault="007E7085">
      <w:pPr>
        <w:pStyle w:val="TaxEdit"/>
        <w:numPr>
          <w:ilvl w:val="0"/>
          <w:numId w:val="0"/>
        </w:numPr>
        <w:ind w:left="284" w:hanging="284"/>
      </w:pPr>
    </w:p>
    <w:p w:rsidR="007E7085" w:rsidRDefault="007E7085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7E7085" w:rsidRDefault="007E7085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p w:rsidR="00D9592B" w:rsidRPr="00D9592B" w:rsidRDefault="00D9592B" w:rsidP="00D9592B">
      <w:pPr>
        <w:pStyle w:val="Default"/>
        <w:spacing w:after="17"/>
        <w:ind w:left="-76"/>
        <w:rPr>
          <w:rFonts w:ascii="Arial Narrow" w:hAnsi="Arial Narrow" w:cs="Arial Narrow"/>
          <w:b/>
          <w:sz w:val="22"/>
          <w:szCs w:val="22"/>
        </w:rPr>
      </w:pPr>
      <w:r w:rsidRPr="00D9592B">
        <w:rPr>
          <w:rFonts w:ascii="Arial Narrow" w:hAnsi="Arial Narrow" w:cs="Arial Narrow"/>
          <w:b/>
          <w:sz w:val="22"/>
          <w:szCs w:val="22"/>
        </w:rPr>
        <w:t>ÚJ neúčtovala</w:t>
      </w:r>
    </w:p>
    <w:p w:rsidR="00D9592B" w:rsidRDefault="00D9592B" w:rsidP="00D9592B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:rsidR="00D9592B" w:rsidRDefault="00D9592B" w:rsidP="00D9592B">
      <w:pPr>
        <w:pStyle w:val="Default"/>
        <w:spacing w:after="17"/>
        <w:rPr>
          <w:rFonts w:ascii="Arial Narrow" w:hAnsi="Arial Narrow" w:cs="Arial Narrow"/>
          <w:color w:val="auto"/>
          <w:sz w:val="22"/>
          <w:szCs w:val="22"/>
        </w:rPr>
      </w:pPr>
      <w:r w:rsidRPr="00D9592B"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7E7085">
        <w:rPr>
          <w:rFonts w:ascii="Arial Narrow" w:hAnsi="Arial Narrow" w:cs="Arial Narrow"/>
          <w:sz w:val="22"/>
          <w:szCs w:val="22"/>
        </w:rPr>
        <w:t>o pôžičkách poskytnutých členom orgánov</w:t>
      </w:r>
      <w:r w:rsidR="007E7085"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p w:rsidR="00D9592B" w:rsidRPr="00D9592B" w:rsidRDefault="00D9592B" w:rsidP="00D9592B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D9592B">
        <w:rPr>
          <w:rFonts w:ascii="Arial Narrow" w:hAnsi="Arial Narrow" w:cs="Arial Narrow"/>
          <w:b/>
          <w:sz w:val="22"/>
          <w:szCs w:val="22"/>
        </w:rPr>
        <w:t>ÚJ neúčtovala</w:t>
      </w:r>
    </w:p>
    <w:p w:rsidR="007E7085" w:rsidRPr="00D9592B" w:rsidRDefault="00D9592B" w:rsidP="00D9592B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</w:p>
    <w:p w:rsidR="007E7085" w:rsidRDefault="00D9592B" w:rsidP="00D9592B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 w:rsidRPr="00D9592B">
        <w:rPr>
          <w:rFonts w:ascii="Arial Narrow" w:hAnsi="Arial Narrow" w:cs="Arial Narrow"/>
          <w:color w:val="auto"/>
          <w:sz w:val="22"/>
          <w:szCs w:val="22"/>
        </w:rPr>
        <w:t>c)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  <w:r w:rsidR="007E7085">
        <w:rPr>
          <w:rFonts w:ascii="Arial Narrow" w:hAnsi="Arial Narrow" w:cs="Arial Narrow"/>
          <w:color w:val="auto"/>
          <w:sz w:val="22"/>
          <w:szCs w:val="22"/>
        </w:rPr>
        <w:t>o hlavných podmienkach, na základe ktorých boli osobám uvedeným v písmene a) záruky alebo iné zabezpečenie a pôžičky poskytnuté; pri pôžičkách sa uvádzajú úrokové sadzby</w:t>
      </w:r>
    </w:p>
    <w:p w:rsidR="007E7085" w:rsidRPr="00D9592B" w:rsidRDefault="00D9592B" w:rsidP="00D9592B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D9592B">
        <w:rPr>
          <w:rFonts w:ascii="Arial Narrow" w:hAnsi="Arial Narrow" w:cs="Arial Narrow"/>
          <w:b/>
          <w:sz w:val="22"/>
          <w:szCs w:val="22"/>
        </w:rPr>
        <w:t>ÚJ neúčtovala</w:t>
      </w:r>
    </w:p>
    <w:p w:rsidR="007E7085" w:rsidRDefault="007E7085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7E7085" w:rsidRDefault="007E7085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:rsidR="00D9592B" w:rsidRPr="00D9592B" w:rsidRDefault="00D9592B" w:rsidP="00D9592B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D9592B">
        <w:rPr>
          <w:rFonts w:ascii="Arial Narrow" w:hAnsi="Arial Narrow" w:cs="Arial Narrow"/>
          <w:b/>
          <w:sz w:val="22"/>
          <w:szCs w:val="22"/>
        </w:rPr>
        <w:t>ÚJ neúčtovala</w:t>
      </w:r>
    </w:p>
    <w:p w:rsidR="00D9592B" w:rsidRDefault="00D9592B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</w:p>
    <w:p w:rsidR="007E7085" w:rsidRDefault="007E7085">
      <w:pPr>
        <w:pStyle w:val="Styl1"/>
        <w:numPr>
          <w:ilvl w:val="0"/>
          <w:numId w:val="0"/>
        </w:numPr>
      </w:pPr>
      <w:r>
        <w:t xml:space="preserve"> </w:t>
      </w:r>
    </w:p>
    <w:p w:rsidR="007E7085" w:rsidRDefault="007E7085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7E7085" w:rsidRDefault="007E7085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7E7085" w:rsidRDefault="007E7085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7E7085" w:rsidRDefault="007E7085">
      <w:pPr>
        <w:rPr>
          <w:rFonts w:ascii="Arial Narrow" w:hAnsi="Arial Narrow" w:cs="Arial Narrow"/>
          <w:sz w:val="18"/>
          <w:szCs w:val="18"/>
        </w:rPr>
      </w:pPr>
    </w:p>
    <w:p w:rsidR="007E7085" w:rsidRDefault="007E708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7E7085" w:rsidRDefault="00D9592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(ÚJ) bude nepretržite pokračovať vo svojej činnosti.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p w:rsidR="007E7085" w:rsidRDefault="0054111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nevykonala v zdaňovacom období žiadnu významnú zmenu účtovných zásad a metód.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p w:rsidR="007E7085" w:rsidRPr="0054111A" w:rsidRDefault="0054111A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 w:rsidRPr="0054111A">
        <w:rPr>
          <w:rFonts w:ascii="Arial" w:hAnsi="Arial" w:cs="Arial"/>
          <w:bCs/>
          <w:sz w:val="22"/>
          <w:szCs w:val="22"/>
        </w:rPr>
        <w:t>ÚJ neúčtovala.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4111A" w:rsidRDefault="0054111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4111A" w:rsidRDefault="0054111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4111A" w:rsidRDefault="0054111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4111A" w:rsidRDefault="0054111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4111A" w:rsidRDefault="0054111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4111A" w:rsidRDefault="0054111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4111A" w:rsidRDefault="0054111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4) Spôsob oceňovania jednotlivých zložiek majetku a záväzkov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7E7085">
        <w:trPr>
          <w:trHeight w:val="361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7E7085">
        <w:trPr>
          <w:trHeight w:val="268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271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56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487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6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511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278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6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38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:rsidR="007E7085" w:rsidRDefault="005F4A6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B</w:t>
      </w:r>
      <w:r w:rsidR="007E7085">
        <w:rPr>
          <w:rFonts w:ascii="Arial Narrow" w:hAnsi="Arial Narrow" w:cs="Arial Narrow"/>
          <w:sz w:val="22"/>
          <w:szCs w:val="22"/>
        </w:rPr>
        <w:t xml:space="preserve"> evidencie zásob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Pr="001C2ABD" w:rsidRDefault="001C2ABD" w:rsidP="001C2ABD">
      <w:pPr>
        <w:ind w:right="-141"/>
        <w:jc w:val="both"/>
      </w:pPr>
      <w:r w:rsidRPr="001C2ABD">
        <w:rPr>
          <w:rFonts w:ascii="Arial Narrow" w:hAnsi="Arial Narrow" w:cs="Arial Narrow"/>
          <w:sz w:val="22"/>
          <w:szCs w:val="22"/>
        </w:rPr>
        <w:t>b)</w:t>
      </w:r>
      <w:r>
        <w:t xml:space="preserve"> </w:t>
      </w:r>
      <w:r w:rsidR="007E7085" w:rsidRPr="001C2ABD">
        <w:t>Určenie odhadu zníženia hodnoty majetku a tvorba opravnej položky k</w:t>
      </w:r>
      <w:r>
        <w:t> </w:t>
      </w:r>
      <w:r w:rsidR="007E7085" w:rsidRPr="001C2ABD">
        <w:t>majetku</w:t>
      </w:r>
    </w:p>
    <w:p w:rsidR="001C2ABD" w:rsidRPr="0054111A" w:rsidRDefault="001C2ABD" w:rsidP="001C2ABD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 w:rsidRPr="0054111A">
        <w:rPr>
          <w:rFonts w:ascii="Arial" w:hAnsi="Arial" w:cs="Arial"/>
          <w:bCs/>
          <w:sz w:val="22"/>
          <w:szCs w:val="22"/>
        </w:rPr>
        <w:t>ÚJ neúčtovala.</w:t>
      </w:r>
    </w:p>
    <w:p w:rsidR="001C2ABD" w:rsidRPr="001C2ABD" w:rsidRDefault="001C2ABD" w:rsidP="001C2ABD"/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</w:t>
      </w:r>
      <w:r w:rsidR="001C2ABD">
        <w:rPr>
          <w:rFonts w:ascii="Arial Narrow" w:hAnsi="Arial Narrow" w:cs="Arial Narrow"/>
          <w:sz w:val="22"/>
          <w:szCs w:val="22"/>
        </w:rPr>
        <w:t>kov a stanovenie odhadu rezerv.</w:t>
      </w:r>
    </w:p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7E7085" w:rsidRDefault="001C2ABD" w:rsidP="001C2ABD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 w:rsidRPr="0054111A">
        <w:rPr>
          <w:rFonts w:ascii="Arial" w:hAnsi="Arial" w:cs="Arial"/>
          <w:bCs/>
          <w:sz w:val="22"/>
          <w:szCs w:val="22"/>
        </w:rPr>
        <w:t>ÚJ neúčtovala.</w:t>
      </w:r>
    </w:p>
    <w:p w:rsidR="001C2ABD" w:rsidRPr="001C2ABD" w:rsidRDefault="001C2ABD" w:rsidP="001C2ABD">
      <w:pPr>
        <w:ind w:right="-141"/>
        <w:jc w:val="both"/>
        <w:rPr>
          <w:rFonts w:ascii="Arial" w:hAnsi="Arial" w:cs="Arial"/>
          <w:bCs/>
          <w:sz w:val="22"/>
          <w:szCs w:val="22"/>
        </w:rPr>
      </w:pPr>
    </w:p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1C2ABD" w:rsidRPr="0054111A" w:rsidRDefault="001C2ABD" w:rsidP="001C2ABD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 w:rsidRPr="0054111A">
        <w:rPr>
          <w:rFonts w:ascii="Arial" w:hAnsi="Arial" w:cs="Arial"/>
          <w:bCs/>
          <w:sz w:val="22"/>
          <w:szCs w:val="22"/>
        </w:rPr>
        <w:t>ÚJ neúčtovala.</w:t>
      </w:r>
    </w:p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:rsidR="007E7085" w:rsidRDefault="007E7085"/>
    <w:p w:rsidR="007E7085" w:rsidRDefault="007E7085"/>
    <w:p w:rsidR="007E7085" w:rsidRDefault="007E7085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:rsidR="007E7085" w:rsidRDefault="007E7085"/>
    <w:tbl>
      <w:tblPr>
        <w:tblW w:w="907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Rovnomerné</w:t>
            </w:r>
          </w:p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Stavba – dielňa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Stroje na tvarovanie kovov a obrábanie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Osobné automobily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Meracie zariadenia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Nástroje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Nábytok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Komorová pec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Kamerový systém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Klimatizácia dielne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Odsávanie od strojov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Zabezpečovací systém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Drobná stavba – plot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Kompresor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7E7085" w:rsidRDefault="007E7085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p w:rsidR="00D17061" w:rsidRPr="0054111A" w:rsidRDefault="00D17061" w:rsidP="00D17061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 w:rsidRPr="0054111A">
        <w:rPr>
          <w:rFonts w:ascii="Arial" w:hAnsi="Arial" w:cs="Arial"/>
          <w:bCs/>
          <w:sz w:val="22"/>
          <w:szCs w:val="22"/>
        </w:rPr>
        <w:t>ÚJ neúčtovala.</w:t>
      </w:r>
    </w:p>
    <w:p w:rsidR="007E7085" w:rsidRDefault="007E7085">
      <w:pPr>
        <w:pStyle w:val="Nadpis2"/>
        <w:jc w:val="both"/>
        <w:rPr>
          <w:b w:val="0"/>
          <w:bCs w:val="0"/>
          <w:sz w:val="22"/>
          <w:szCs w:val="22"/>
        </w:rPr>
      </w:pPr>
    </w:p>
    <w:p w:rsidR="007E7085" w:rsidRDefault="007E7085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:rsidR="007E7085" w:rsidRDefault="007E7085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 w:rsidR="007E7085" w:rsidRDefault="007E7085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7E7085">
        <w:tc>
          <w:tcPr>
            <w:tcW w:w="3165" w:type="dxa"/>
          </w:tcPr>
          <w:p w:rsidR="007E7085" w:rsidRDefault="007E708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:rsidR="007E7085" w:rsidRDefault="007E708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:rsidR="007E7085" w:rsidRDefault="007E708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7E7085">
        <w:tc>
          <w:tcPr>
            <w:tcW w:w="3165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93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7E7085">
        <w:tc>
          <w:tcPr>
            <w:tcW w:w="3165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93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7E7085" w:rsidRDefault="007E708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:rsidR="007E7085" w:rsidRDefault="007E708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:rsidR="007E7085" w:rsidRDefault="007E708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p w:rsidR="00D17061" w:rsidRPr="0054111A" w:rsidRDefault="00D17061" w:rsidP="00D17061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 w:rsidRPr="0054111A">
        <w:rPr>
          <w:rFonts w:ascii="Arial" w:hAnsi="Arial" w:cs="Arial"/>
          <w:bCs/>
          <w:sz w:val="22"/>
          <w:szCs w:val="22"/>
        </w:rPr>
        <w:t>ÚJ neúčtovala.</w:t>
      </w:r>
    </w:p>
    <w:p w:rsidR="00D17061" w:rsidRDefault="00D17061">
      <w:pPr>
        <w:jc w:val="both"/>
        <w:rPr>
          <w:rFonts w:ascii="Arial" w:hAnsi="Arial" w:cs="Arial"/>
          <w:sz w:val="22"/>
          <w:szCs w:val="22"/>
        </w:rPr>
      </w:pPr>
    </w:p>
    <w:p w:rsidR="007E7085" w:rsidRDefault="007E708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p w:rsidR="00D17061" w:rsidRPr="0054111A" w:rsidRDefault="00D17061" w:rsidP="00D17061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 w:rsidRPr="0054111A">
        <w:rPr>
          <w:rFonts w:ascii="Arial" w:hAnsi="Arial" w:cs="Arial"/>
          <w:bCs/>
          <w:sz w:val="22"/>
          <w:szCs w:val="22"/>
        </w:rPr>
        <w:t>ÚJ neúčtovala.</w:t>
      </w:r>
    </w:p>
    <w:p w:rsidR="007E7085" w:rsidRDefault="007E708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17061" w:rsidRDefault="00D1706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17061" w:rsidRDefault="00D1706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3) Informácie o záväzkoch</w:t>
      </w:r>
    </w:p>
    <w:p w:rsidR="007E7085" w:rsidRDefault="007E708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7E7085">
        <w:trPr>
          <w:trHeight w:val="693"/>
          <w:jc w:val="center"/>
        </w:trPr>
        <w:tc>
          <w:tcPr>
            <w:tcW w:w="4925" w:type="dxa"/>
            <w:vAlign w:val="center"/>
          </w:tcPr>
          <w:p w:rsidR="007E7085" w:rsidRDefault="007E7085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:rsidR="007E7085" w:rsidRDefault="007E7085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:rsidR="007E7085" w:rsidRDefault="007E7085">
            <w:pPr>
              <w:pStyle w:val="TopHeader"/>
            </w:pPr>
            <w:r>
              <w:t>Bezprostredne predchádzajúce účtovné obdobie</w:t>
            </w:r>
          </w:p>
        </w:tc>
      </w:tr>
      <w:tr w:rsidR="007E7085">
        <w:trPr>
          <w:trHeight w:val="207"/>
          <w:jc w:val="center"/>
        </w:trPr>
        <w:tc>
          <w:tcPr>
            <w:tcW w:w="4925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7E7085" w:rsidRDefault="00D17061" w:rsidP="00D1706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vAlign w:val="center"/>
          </w:tcPr>
          <w:p w:rsidR="007E7085" w:rsidRDefault="00D17061" w:rsidP="00D1706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:rsidR="007E7085" w:rsidRDefault="007E7085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7E7085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7E7085" w:rsidRDefault="007E7085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7E7085" w:rsidRDefault="007E7085">
            <w:pPr>
              <w:pStyle w:val="TopHeader"/>
            </w:pPr>
            <w:r>
              <w:t>Bežné účtovné obdobie</w:t>
            </w:r>
          </w:p>
        </w:tc>
      </w:tr>
      <w:tr w:rsidR="007E7085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7E7085" w:rsidRDefault="007E7085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:rsidR="007E7085" w:rsidRDefault="007E7085">
            <w:pPr>
              <w:pStyle w:val="TopHeader"/>
            </w:pPr>
            <w:r>
              <w:t xml:space="preserve">Spôsob </w:t>
            </w:r>
          </w:p>
          <w:p w:rsidR="007E7085" w:rsidRDefault="007E7085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:rsidR="007E7085" w:rsidRDefault="007E7085">
            <w:pPr>
              <w:pStyle w:val="TopHeader"/>
            </w:pPr>
            <w:r>
              <w:t>Hodnota záväzkov</w:t>
            </w:r>
          </w:p>
        </w:tc>
      </w:tr>
      <w:tr w:rsidR="007E7085">
        <w:trPr>
          <w:trHeight w:val="69"/>
          <w:jc w:val="center"/>
        </w:trPr>
        <w:tc>
          <w:tcPr>
            <w:tcW w:w="4525" w:type="dxa"/>
            <w:vAlign w:val="center"/>
          </w:tcPr>
          <w:p w:rsidR="007E7085" w:rsidRDefault="007E708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7E7085" w:rsidRDefault="000E6658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Bankové úvery</w:t>
            </w:r>
          </w:p>
        </w:tc>
        <w:tc>
          <w:tcPr>
            <w:tcW w:w="2482" w:type="dxa"/>
            <w:vAlign w:val="center"/>
          </w:tcPr>
          <w:p w:rsidR="007E7085" w:rsidRDefault="000E6658" w:rsidP="00D17061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07434">
              <w:rPr>
                <w:rFonts w:ascii="Arial Narrow" w:hAnsi="Arial Narrow" w:cs="Arial Narrow"/>
                <w:sz w:val="22"/>
                <w:szCs w:val="22"/>
              </w:rPr>
              <w:t>63720</w:t>
            </w:r>
          </w:p>
        </w:tc>
      </w:tr>
      <w:tr w:rsidR="007E7085">
        <w:trPr>
          <w:trHeight w:val="117"/>
          <w:jc w:val="center"/>
        </w:trPr>
        <w:tc>
          <w:tcPr>
            <w:tcW w:w="4525" w:type="dxa"/>
            <w:vAlign w:val="center"/>
          </w:tcPr>
          <w:p w:rsidR="007E7085" w:rsidRDefault="007E708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7E7085" w:rsidRDefault="00D17061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7E7085" w:rsidRDefault="00D17061" w:rsidP="00D17061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E7085">
        <w:trPr>
          <w:trHeight w:val="117"/>
          <w:jc w:val="center"/>
        </w:trPr>
        <w:tc>
          <w:tcPr>
            <w:tcW w:w="4525" w:type="dxa"/>
            <w:vAlign w:val="center"/>
          </w:tcPr>
          <w:p w:rsidR="007E7085" w:rsidRDefault="007E708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7E7085" w:rsidRDefault="007E708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7E7085" w:rsidRDefault="00D17061" w:rsidP="00D17061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7E7085" w:rsidRDefault="007E708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7E7085" w:rsidRDefault="00DA5600" w:rsidP="00DA5600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 w:rsidRPr="0054111A">
        <w:rPr>
          <w:rFonts w:ascii="Arial" w:hAnsi="Arial" w:cs="Arial"/>
          <w:bCs/>
          <w:sz w:val="22"/>
          <w:szCs w:val="22"/>
        </w:rPr>
        <w:t>ÚJ neúčtovala.</w:t>
      </w:r>
    </w:p>
    <w:p w:rsidR="00DA5600" w:rsidRPr="00DA5600" w:rsidRDefault="00DA5600" w:rsidP="00DA5600">
      <w:pPr>
        <w:ind w:right="-141"/>
        <w:jc w:val="both"/>
        <w:rPr>
          <w:rFonts w:ascii="Arial" w:hAnsi="Arial" w:cs="Arial"/>
          <w:bCs/>
          <w:sz w:val="22"/>
          <w:szCs w:val="22"/>
        </w:rPr>
      </w:pPr>
    </w:p>
    <w:p w:rsidR="007E7085" w:rsidRDefault="007E7085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:rsidR="007E7085" w:rsidRDefault="007E708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p w:rsidR="00DA5600" w:rsidRPr="0054111A" w:rsidRDefault="00DA5600" w:rsidP="00DA5600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 w:rsidRPr="0054111A">
        <w:rPr>
          <w:rFonts w:ascii="Arial" w:hAnsi="Arial" w:cs="Arial"/>
          <w:bCs/>
          <w:sz w:val="22"/>
          <w:szCs w:val="22"/>
        </w:rPr>
        <w:t>ÚJ neúčtovala.</w:t>
      </w:r>
    </w:p>
    <w:p w:rsidR="007E7085" w:rsidRDefault="007E7085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p w:rsidR="00DA5600" w:rsidRPr="0054111A" w:rsidRDefault="00DA5600" w:rsidP="00DA5600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 w:rsidRPr="0054111A">
        <w:rPr>
          <w:rFonts w:ascii="Arial" w:hAnsi="Arial" w:cs="Arial"/>
          <w:bCs/>
          <w:sz w:val="22"/>
          <w:szCs w:val="22"/>
        </w:rPr>
        <w:t>ÚJ neúčtovala.</w:t>
      </w:r>
    </w:p>
    <w:p w:rsidR="007E7085" w:rsidRDefault="007E7085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7E7085" w:rsidRDefault="007E7085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7E7085" w:rsidRDefault="007E708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p w:rsidR="00DA5600" w:rsidRPr="0054111A" w:rsidRDefault="00DA5600" w:rsidP="00DA5600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 w:rsidRPr="0054111A">
        <w:rPr>
          <w:rFonts w:ascii="Arial" w:hAnsi="Arial" w:cs="Arial"/>
          <w:bCs/>
          <w:sz w:val="22"/>
          <w:szCs w:val="22"/>
        </w:rPr>
        <w:t>ÚJ neúčtovala.</w:t>
      </w:r>
    </w:p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p w:rsidR="00DA5600" w:rsidRPr="0054111A" w:rsidRDefault="00DA5600" w:rsidP="00DA5600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 w:rsidRPr="0054111A">
        <w:rPr>
          <w:rFonts w:ascii="Arial" w:hAnsi="Arial" w:cs="Arial"/>
          <w:bCs/>
          <w:sz w:val="22"/>
          <w:szCs w:val="22"/>
        </w:rPr>
        <w:t>ÚJ neúčtovala.</w:t>
      </w:r>
    </w:p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7E7085">
        <w:trPr>
          <w:trHeight w:val="613"/>
        </w:trPr>
        <w:tc>
          <w:tcPr>
            <w:tcW w:w="4644" w:type="dxa"/>
          </w:tcPr>
          <w:p w:rsidR="007E7085" w:rsidRDefault="007E7085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:rsidR="007E7085" w:rsidRDefault="007E7085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7E7085" w:rsidRDefault="007E7085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E7085">
        <w:trPr>
          <w:trHeight w:val="300"/>
        </w:trPr>
        <w:tc>
          <w:tcPr>
            <w:tcW w:w="4644" w:type="dxa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7E7085">
        <w:trPr>
          <w:trHeight w:val="300"/>
        </w:trPr>
        <w:tc>
          <w:tcPr>
            <w:tcW w:w="4644" w:type="dxa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7E7085">
        <w:trPr>
          <w:trHeight w:val="300"/>
        </w:trPr>
        <w:tc>
          <w:tcPr>
            <w:tcW w:w="4644" w:type="dxa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</w:tbl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</w:p>
    <w:p w:rsidR="00782B98" w:rsidRDefault="00782B98">
      <w:pPr>
        <w:jc w:val="both"/>
        <w:rPr>
          <w:rFonts w:ascii="Arial Narrow" w:hAnsi="Arial Narrow" w:cs="Arial Narrow"/>
          <w:sz w:val="22"/>
          <w:szCs w:val="22"/>
        </w:rPr>
      </w:pPr>
    </w:p>
    <w:p w:rsidR="00782B98" w:rsidRDefault="00782B98">
      <w:pPr>
        <w:jc w:val="both"/>
        <w:rPr>
          <w:rFonts w:ascii="Arial Narrow" w:hAnsi="Arial Narrow" w:cs="Arial Narrow"/>
          <w:sz w:val="22"/>
          <w:szCs w:val="22"/>
        </w:rPr>
      </w:pPr>
    </w:p>
    <w:p w:rsidR="00782B98" w:rsidRDefault="00782B98">
      <w:pPr>
        <w:jc w:val="both"/>
        <w:rPr>
          <w:rFonts w:ascii="Arial Narrow" w:hAnsi="Arial Narrow" w:cs="Arial Narrow"/>
          <w:sz w:val="22"/>
          <w:szCs w:val="22"/>
        </w:rPr>
      </w:pPr>
    </w:p>
    <w:p w:rsidR="00782B98" w:rsidRDefault="00782B98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7E7085">
        <w:trPr>
          <w:trHeight w:val="780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:rsidR="007E7085" w:rsidRDefault="007E7085">
            <w:pPr>
              <w:pStyle w:val="TopHeader"/>
            </w:pPr>
            <w:r>
              <w:t>Bezprostredne predchádzajúce účtovné obdobie</w:t>
            </w:r>
          </w:p>
        </w:tc>
      </w:tr>
      <w:tr w:rsidR="007E7085">
        <w:trPr>
          <w:trHeight w:val="267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:rsidR="007E7085" w:rsidRDefault="004D47D1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60423,57</w:t>
            </w:r>
          </w:p>
        </w:tc>
        <w:tc>
          <w:tcPr>
            <w:tcW w:w="2887" w:type="dxa"/>
            <w:vAlign w:val="center"/>
          </w:tcPr>
          <w:p w:rsidR="007E7085" w:rsidRDefault="00AD54FD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83277,95</w:t>
            </w:r>
            <w:r w:rsidR="007E708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144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161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161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887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7E7085">
        <w:trPr>
          <w:trHeight w:val="161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887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7E7085">
        <w:trPr>
          <w:trHeight w:val="161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887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</w:tbl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7E7085" w:rsidRDefault="007E7085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7E7085" w:rsidRDefault="007E708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641420" w:rsidRDefault="0064142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Do dňa zostavenia účtovnej závierky nenastali žiadne významné udalosti, ktoré by mali finančný vplyv.</w:t>
      </w:r>
    </w:p>
    <w:p w:rsidR="007E7085" w:rsidRDefault="007E7085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:rsidR="007E7085" w:rsidRDefault="007E708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E7085" w:rsidRDefault="007E708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:rsidR="007E7085" w:rsidRDefault="007E708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</w:p>
    <w:p w:rsidR="007E7085" w:rsidRDefault="007E708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Informácie o finančných vzťahoch s orgánmi verejnej moci (§ 23d/6 ZoU):</w:t>
      </w:r>
    </w:p>
    <w:sectPr w:rsidR="007E7085" w:rsidSect="00765E8C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6810" w:rsidRDefault="00DC6810">
      <w:r>
        <w:separator/>
      </w:r>
    </w:p>
    <w:p w:rsidR="00DC6810" w:rsidRDefault="00DC6810"/>
  </w:endnote>
  <w:endnote w:type="continuationSeparator" w:id="0">
    <w:p w:rsidR="00DC6810" w:rsidRDefault="00DC6810">
      <w:r>
        <w:continuationSeparator/>
      </w:r>
    </w:p>
    <w:p w:rsidR="00DC6810" w:rsidRDefault="00DC681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05B" w:rsidRDefault="000A205B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765E8C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765E8C">
      <w:rPr>
        <w:rFonts w:ascii="Arial" w:hAnsi="Arial" w:cs="Arial"/>
        <w:sz w:val="20"/>
        <w:szCs w:val="20"/>
      </w:rPr>
      <w:fldChar w:fldCharType="separate"/>
    </w:r>
    <w:r w:rsidR="00D46535">
      <w:rPr>
        <w:rFonts w:ascii="Arial" w:hAnsi="Arial" w:cs="Arial"/>
        <w:noProof/>
        <w:sz w:val="20"/>
        <w:szCs w:val="20"/>
      </w:rPr>
      <w:t>6</w:t>
    </w:r>
    <w:r w:rsidR="00765E8C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765E8C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765E8C">
      <w:rPr>
        <w:rFonts w:ascii="Arial" w:hAnsi="Arial" w:cs="Arial"/>
        <w:sz w:val="20"/>
        <w:szCs w:val="20"/>
      </w:rPr>
      <w:fldChar w:fldCharType="separate"/>
    </w:r>
    <w:r w:rsidR="00D46535">
      <w:rPr>
        <w:rFonts w:ascii="Arial" w:hAnsi="Arial" w:cs="Arial"/>
        <w:noProof/>
        <w:sz w:val="20"/>
        <w:szCs w:val="20"/>
      </w:rPr>
      <w:t>6</w:t>
    </w:r>
    <w:r w:rsidR="00765E8C">
      <w:rPr>
        <w:rFonts w:ascii="Arial" w:hAnsi="Arial" w:cs="Arial"/>
        <w:sz w:val="20"/>
        <w:szCs w:val="20"/>
      </w:rPr>
      <w:fldChar w:fldCharType="end"/>
    </w:r>
  </w:p>
  <w:p w:rsidR="000A205B" w:rsidRDefault="000A205B">
    <w:pPr>
      <w:pStyle w:val="Pta"/>
      <w:ind w:right="360"/>
    </w:pPr>
  </w:p>
  <w:p w:rsidR="000A205B" w:rsidRDefault="000A205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6810" w:rsidRDefault="00DC6810">
      <w:r>
        <w:separator/>
      </w:r>
    </w:p>
    <w:p w:rsidR="00DC6810" w:rsidRDefault="00DC6810"/>
  </w:footnote>
  <w:footnote w:type="continuationSeparator" w:id="0">
    <w:p w:rsidR="00DC6810" w:rsidRDefault="00DC6810">
      <w:r>
        <w:continuationSeparator/>
      </w:r>
    </w:p>
    <w:p w:rsidR="00DC6810" w:rsidRDefault="00DC681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05B" w:rsidRDefault="000A205B">
    <w:pPr>
      <w:pStyle w:val="Hlavika"/>
    </w:pPr>
  </w:p>
  <w:p w:rsidR="000A205B" w:rsidRDefault="00DC6810">
    <w:pPr>
      <w:pStyle w:val="Hlavik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51" type="#_x0000_t202" style="position:absolute;margin-left:230.95pt;margin-top:1.8pt;width:110.7pt;height:19.45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<v:textbox style="mso-fit-shape-to-text:t">
            <w:txbxContent>
              <w:p w:rsidR="000A205B" w:rsidRDefault="000A205B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8" w:name="ICO"/>
                <w:bookmarkStart w:id="9" w:name="ICO_END"/>
                <w:bookmarkEnd w:id="8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36336351</w:t>
                </w:r>
              </w:p>
            </w:txbxContent>
          </v:textbox>
        </v:shape>
      </w:pict>
    </w:r>
    <w:r>
      <w:rPr>
        <w:noProof/>
      </w:rPr>
      <w:pict>
        <v:shape id="Text Box 2" o:spid="_x0000_s2050" type="#_x0000_t202" style="position:absolute;margin-left:2.2pt;margin-top:1.8pt;width:132.45pt;height:19.4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<v:textbox>
            <w:txbxContent>
              <w:p w:rsidR="000A205B" w:rsidRDefault="000A205B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3 - 01</w:t>
                </w:r>
              </w:p>
            </w:txbxContent>
          </v:textbox>
        </v:shape>
      </w:pict>
    </w:r>
    <w:r>
      <w:rPr>
        <w:noProof/>
      </w:rPr>
      <w:pict>
        <v:shape id="Text Box 3" o:spid="_x0000_s2049" type="#_x0000_t202" style="position:absolute;margin-left:349.45pt;margin-top:1.8pt;width:110.7pt;height:19.45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<v:textbox style="mso-fit-shape-to-text:t">
            <w:txbxContent>
              <w:p w:rsidR="000A205B" w:rsidRDefault="000A205B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0" w:name="DIC"/>
                <w:bookmarkStart w:id="11" w:name="DIC_END"/>
                <w:bookmarkEnd w:id="10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2021835992</w:t>
                </w:r>
              </w:p>
            </w:txbxContent>
          </v:textbox>
        </v:shape>
      </w:pict>
    </w:r>
  </w:p>
  <w:p w:rsidR="000A205B" w:rsidRDefault="000A205B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9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3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4" w15:restartNumberingAfterBreak="0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7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8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3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 w15:restartNumberingAfterBreak="0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8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9" w15:restartNumberingAfterBreak="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1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2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16"/>
  </w:num>
  <w:num w:numId="3">
    <w:abstractNumId w:val="12"/>
  </w:num>
  <w:num w:numId="4">
    <w:abstractNumId w:val="8"/>
  </w:num>
  <w:num w:numId="5">
    <w:abstractNumId w:val="11"/>
  </w:num>
  <w:num w:numId="6">
    <w:abstractNumId w:val="31"/>
  </w:num>
  <w:num w:numId="7">
    <w:abstractNumId w:val="0"/>
  </w:num>
  <w:num w:numId="8">
    <w:abstractNumId w:val="3"/>
  </w:num>
  <w:num w:numId="9">
    <w:abstractNumId w:val="10"/>
  </w:num>
  <w:num w:numId="10">
    <w:abstractNumId w:val="22"/>
  </w:num>
  <w:num w:numId="11">
    <w:abstractNumId w:val="30"/>
  </w:num>
  <w:num w:numId="12">
    <w:abstractNumId w:val="17"/>
  </w:num>
  <w:num w:numId="13">
    <w:abstractNumId w:val="13"/>
  </w:num>
  <w:num w:numId="14">
    <w:abstractNumId w:val="20"/>
  </w:num>
  <w:num w:numId="15">
    <w:abstractNumId w:val="23"/>
  </w:num>
  <w:num w:numId="16">
    <w:abstractNumId w:val="27"/>
  </w:num>
  <w:num w:numId="17">
    <w:abstractNumId w:val="2"/>
  </w:num>
  <w:num w:numId="18">
    <w:abstractNumId w:val="4"/>
  </w:num>
  <w:num w:numId="19">
    <w:abstractNumId w:val="15"/>
  </w:num>
  <w:num w:numId="20">
    <w:abstractNumId w:val="26"/>
  </w:num>
  <w:num w:numId="21">
    <w:abstractNumId w:val="9"/>
  </w:num>
  <w:num w:numId="22">
    <w:abstractNumId w:val="19"/>
  </w:num>
  <w:num w:numId="23">
    <w:abstractNumId w:val="21"/>
  </w:num>
  <w:num w:numId="24">
    <w:abstractNumId w:val="32"/>
  </w:num>
  <w:num w:numId="25">
    <w:abstractNumId w:val="18"/>
  </w:num>
  <w:num w:numId="26">
    <w:abstractNumId w:val="25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1"/>
    </w:lvlOverride>
    <w:lvlOverride w:ilvl="1">
      <w:startOverride w:val="4"/>
    </w:lvlOverride>
  </w:num>
  <w:num w:numId="29">
    <w:abstractNumId w:val="28"/>
  </w:num>
  <w:num w:numId="30">
    <w:abstractNumId w:val="28"/>
  </w:num>
  <w:num w:numId="31">
    <w:abstractNumId w:val="28"/>
  </w:num>
  <w:num w:numId="32">
    <w:abstractNumId w:val="1"/>
  </w:num>
  <w:num w:numId="33">
    <w:abstractNumId w:val="28"/>
    <w:lvlOverride w:ilvl="0">
      <w:startOverride w:val="3"/>
    </w:lvlOverride>
  </w:num>
  <w:num w:numId="34">
    <w:abstractNumId w:val="6"/>
  </w:num>
  <w:num w:numId="35">
    <w:abstractNumId w:val="24"/>
  </w:num>
  <w:num w:numId="36">
    <w:abstractNumId w:val="7"/>
  </w:num>
  <w:num w:numId="37">
    <w:abstractNumId w:val="5"/>
  </w:num>
  <w:num w:numId="38">
    <w:abstractNumId w:val="14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useFELayout/>
    <w:compatSetting w:name="compatibilityMode" w:uri="http://schemas.microsoft.com/office/word" w:val="12"/>
  </w:compat>
  <w:rsids>
    <w:rsidRoot w:val="006C4838"/>
    <w:rsid w:val="000A205B"/>
    <w:rsid w:val="000E6658"/>
    <w:rsid w:val="0010729B"/>
    <w:rsid w:val="001C2ABD"/>
    <w:rsid w:val="00253898"/>
    <w:rsid w:val="00383C2D"/>
    <w:rsid w:val="00483E1C"/>
    <w:rsid w:val="004D47D1"/>
    <w:rsid w:val="0054111A"/>
    <w:rsid w:val="005C7682"/>
    <w:rsid w:val="005F4A6D"/>
    <w:rsid w:val="00641420"/>
    <w:rsid w:val="006C4838"/>
    <w:rsid w:val="00765E8C"/>
    <w:rsid w:val="00782B98"/>
    <w:rsid w:val="00795312"/>
    <w:rsid w:val="007A01D8"/>
    <w:rsid w:val="007E7085"/>
    <w:rsid w:val="0082024C"/>
    <w:rsid w:val="009B1116"/>
    <w:rsid w:val="009F6A65"/>
    <w:rsid w:val="00AD54FD"/>
    <w:rsid w:val="00B07434"/>
    <w:rsid w:val="00BD4737"/>
    <w:rsid w:val="00D17061"/>
    <w:rsid w:val="00D46535"/>
    <w:rsid w:val="00D9592B"/>
    <w:rsid w:val="00DA25A8"/>
    <w:rsid w:val="00DA5600"/>
    <w:rsid w:val="00DC6810"/>
    <w:rsid w:val="00DD0259"/>
    <w:rsid w:val="00DE14B3"/>
    <w:rsid w:val="00E23B19"/>
    <w:rsid w:val="00FC5F6E"/>
    <w:rsid w:val="00FC6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5:docId w15:val="{D4A43FEB-8364-488A-B910-A9E83FBAF8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5E8C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65E8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65E8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765E8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65E8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65E8C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65E8C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65E8C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65E8C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765E8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765E8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765E8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65E8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765E8C"/>
    <w:rPr>
      <w:rFonts w:cs="Times New Roman"/>
    </w:rPr>
  </w:style>
  <w:style w:type="paragraph" w:styleId="Zoznam2">
    <w:name w:val="List 2"/>
    <w:basedOn w:val="Normlny"/>
    <w:uiPriority w:val="99"/>
    <w:rsid w:val="00765E8C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765E8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65E8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765E8C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765E8C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765E8C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765E8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65E8C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765E8C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765E8C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765E8C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765E8C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765E8C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765E8C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765E8C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765E8C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765E8C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765E8C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rsid w:val="00765E8C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765E8C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765E8C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ra">
    <w:name w:val="ra"/>
    <w:basedOn w:val="Predvolenpsmoodseku"/>
    <w:rsid w:val="00D959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6</Pages>
  <Words>1282</Words>
  <Characters>7309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G</Company>
  <LinksUpToDate>false</LinksUpToDate>
  <CharactersWithSpaces>8574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2015 malá" version="1.00"?&gt;</dc:description>
  <cp:lastModifiedBy>user</cp:lastModifiedBy>
  <cp:revision>7</cp:revision>
  <cp:lastPrinted>2016-03-23T09:36:00Z</cp:lastPrinted>
  <dcterms:created xsi:type="dcterms:W3CDTF">2017-03-20T19:51:00Z</dcterms:created>
  <dcterms:modified xsi:type="dcterms:W3CDTF">2017-03-24T11:21:00Z</dcterms:modified>
</cp:coreProperties>
</file>