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A0D61" w:rsidRDefault="004A0D61" w:rsidP="004A0D6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4A0D61" w:rsidRDefault="004A0D61" w:rsidP="004A0D6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I. Základné informácie o účtovnej jednotke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1. </w:t>
      </w:r>
      <w:r>
        <w:rPr>
          <w:rFonts w:ascii="Arial" w:hAnsi="Arial" w:cs="Arial"/>
          <w:b/>
          <w:bCs/>
          <w:sz w:val="20"/>
          <w:szCs w:val="20"/>
        </w:rPr>
        <w:tab/>
        <w:t>Meno a priezvisko fyzickej osoby alebo názov právnickej osoby, ktorá je zakladateľom alebo zriaďovateľom účtovnej jednotky:</w:t>
      </w:r>
    </w:p>
    <w:p w:rsidR="002677B1" w:rsidRDefault="00F8110F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Mgr.Martina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Veresová</w:t>
      </w:r>
      <w:r w:rsidR="006F3BC9">
        <w:rPr>
          <w:rFonts w:ascii="Arial" w:hAnsi="Arial" w:cs="Arial"/>
          <w:b/>
          <w:bCs/>
          <w:sz w:val="20"/>
          <w:szCs w:val="20"/>
        </w:rPr>
        <w:t>-riaditeľ</w:t>
      </w:r>
      <w:proofErr w:type="spellEnd"/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-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  <w:t xml:space="preserve">Trvalý pobyt alebo sídlo: </w:t>
      </w:r>
      <w:r w:rsidR="00F8110F">
        <w:rPr>
          <w:rFonts w:ascii="Arial" w:hAnsi="Arial" w:cs="Arial"/>
          <w:sz w:val="20"/>
          <w:szCs w:val="20"/>
        </w:rPr>
        <w:t>Dunajské nábrežie 14, 94501 Komárno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0"/>
          <w:szCs w:val="20"/>
        </w:rPr>
        <w:tab/>
        <w:t xml:space="preserve">Dátum založenia alebo zriadenia účtovnej jednotky: </w:t>
      </w:r>
      <w:r w:rsidR="00F8110F">
        <w:rPr>
          <w:rFonts w:ascii="Arial" w:hAnsi="Arial" w:cs="Arial"/>
          <w:sz w:val="20"/>
          <w:szCs w:val="20"/>
        </w:rPr>
        <w:t>01.12.2015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Informácie o členoch štatutárnych orgánov, dozorných orgánov a iných orgánov účtovnej jednotky:</w:t>
      </w:r>
    </w:p>
    <w:tbl>
      <w:tblPr>
        <w:tblW w:w="102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6"/>
        <w:gridCol w:w="3185"/>
        <w:gridCol w:w="2494"/>
      </w:tblGrid>
      <w:tr w:rsidR="004A0D61">
        <w:trPr>
          <w:trHeight w:val="28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Meno a priezvisko členov</w:t>
            </w:r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orgánu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Poznámka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6F3BC9" w:rsidRDefault="006F3BC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Mgr.Štefan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Labaš</w:t>
            </w:r>
          </w:p>
          <w:p w:rsidR="006F3BC9" w:rsidRDefault="006F3BC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Anna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Illéšová</w:t>
            </w:r>
            <w:proofErr w:type="spellEnd"/>
          </w:p>
        </w:tc>
        <w:tc>
          <w:tcPr>
            <w:tcW w:w="31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6F3BC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 predstavenstva</w:t>
            </w:r>
          </w:p>
          <w:p w:rsidR="006F3BC9" w:rsidRDefault="006F3BC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člen predstavenstva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činnosti, na účel ktorej bola účtovná jednotka zriadená:</w:t>
      </w:r>
    </w:p>
    <w:p w:rsidR="004A0D61" w:rsidRDefault="00F8110F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Spoločnosť Centrum podpory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n.o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. vznikla v r.2015 na základe iniciatívy zameranej predovšetkým na rozvoj skupín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obyvatelstva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v sociálnej nepriaznivej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situácii.Spoločnosť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poskytuje komplexné služby pre opatrovateľky a ľudí odkázaných na pomoc inej osoby.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>
        <w:rPr>
          <w:rFonts w:ascii="Arial" w:hAnsi="Arial" w:cs="Arial"/>
          <w:sz w:val="16"/>
          <w:szCs w:val="16"/>
        </w:rPr>
        <w:t>xxxxxxxxxxxxxxxxx</w:t>
      </w:r>
      <w:proofErr w:type="spellEnd"/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4A0D61" w:rsidRDefault="004A0D61" w:rsidP="002677B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br/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druhu podnikateľskej činnosti, ak ju účtovná jednotka vykonáva: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..........</w:t>
      </w:r>
      <w:r w:rsidR="00F8110F">
        <w:rPr>
          <w:rFonts w:ascii="Arial" w:hAnsi="Arial" w:cs="Arial"/>
          <w:sz w:val="20"/>
          <w:szCs w:val="20"/>
        </w:rPr>
        <w:t>.............v roku 2016 účtovná jednotka nevykonávala podnikateľskú činnosť.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Počet zamestnancov</w:t>
      </w:r>
    </w:p>
    <w:tbl>
      <w:tblPr>
        <w:tblW w:w="97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67"/>
        <w:gridCol w:w="2524"/>
        <w:gridCol w:w="2674"/>
      </w:tblGrid>
      <w:tr w:rsidR="004A0D61">
        <w:trPr>
          <w:trHeight w:val="735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625E1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toho počet vedúcich zamestnancov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4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Informácia o organizáciách v zriaďovateľskej pôsobnosti účtovnej jednotky: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.....účtovná jednot</w:t>
      </w:r>
      <w:r w:rsidR="00625E18">
        <w:rPr>
          <w:rFonts w:ascii="Arial" w:hAnsi="Arial" w:cs="Arial"/>
          <w:sz w:val="20"/>
          <w:szCs w:val="20"/>
        </w:rPr>
        <w:t xml:space="preserve">ka nie je </w:t>
      </w:r>
      <w:proofErr w:type="spellStart"/>
      <w:r w:rsidR="00625E18">
        <w:rPr>
          <w:rFonts w:ascii="Arial" w:hAnsi="Arial" w:cs="Arial"/>
          <w:sz w:val="20"/>
          <w:szCs w:val="20"/>
        </w:rPr>
        <w:t>zriadovateľom</w:t>
      </w:r>
      <w:proofErr w:type="spellEnd"/>
      <w:r w:rsidR="00625E18">
        <w:rPr>
          <w:rFonts w:ascii="Arial" w:hAnsi="Arial" w:cs="Arial"/>
          <w:sz w:val="20"/>
          <w:szCs w:val="20"/>
        </w:rPr>
        <w:t xml:space="preserve"> inej účtovnej jednotky.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II. Informácie o účtovných zásadách a účtovných metódach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Účtovná jednotka bude nepretržite pokračovať vo svojej činnosti:</w:t>
      </w:r>
    </w:p>
    <w:tbl>
      <w:tblPr>
        <w:tblW w:w="3540" w:type="dxa"/>
        <w:tblInd w:w="54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4"/>
        <w:gridCol w:w="1180"/>
        <w:gridCol w:w="454"/>
        <w:gridCol w:w="1452"/>
      </w:tblGrid>
      <w:tr w:rsidR="004A0D61">
        <w:trPr>
          <w:trHeight w:val="285"/>
        </w:trPr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70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áno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0" w:type="dxa"/>
            <w:tcBorders>
              <w:top w:val="nil"/>
              <w:left w:val="single" w:sz="6" w:space="0" w:color="000000"/>
              <w:bottom w:val="nil"/>
              <w:right w:val="nil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Zmeny účtovných zásad a metód:</w:t>
      </w:r>
    </w:p>
    <w:p w:rsidR="002677B1" w:rsidRDefault="00625E1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Účtovné metódy a všeobecné účtovné zásady Spoločnosť aplikovala konzistentne s predchádzajúcim účtovným obdobím.</w:t>
      </w:r>
    </w:p>
    <w:p w:rsidR="002677B1" w:rsidRDefault="002677B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</w:p>
    <w:tbl>
      <w:tblPr>
        <w:tblW w:w="1009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536"/>
        <w:gridCol w:w="3155"/>
        <w:gridCol w:w="2404"/>
      </w:tblGrid>
      <w:tr w:rsidR="004A0D61">
        <w:trPr>
          <w:trHeight w:val="735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zmeny zásady alebo metódy</w:t>
            </w: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Dôvod zmeny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vplyvu na príslušnú zložku bilancie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1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oceňovania jednotlivých položiek majetku a záväzkov: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dlhodobý nehmotný majetok obstaraný kúpou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dlhodobý nehmotný majetok obstaraný vlastnou činnosťou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dlhodobý nehmotný majetok obstaraný iným spôsobom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d) dlhodobý hmotný majetok obstaraný kúpou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dlhodobý hmotný majetok obstaraný vlastnou činnosťou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dlhodobý hmotný majetok obstaraný iným spôsobom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dlhodobý finančný majetok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h) zásoby obstarané kúpou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i) zásoby vytvorené vlastnou činnosťou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j) zásoby obstarané iným spôsobom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k) pohľadávky - menovitá hodnota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l) krátkodobý finančný majetok - menovitá hodnota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m) časové rozlíšenie na strane aktív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n) záväzky vrátane rezerv, dlhopisov, pôžičiek a úverov - obstarávacia cena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o) časové rozlíšenie na strane pasív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p) deriváty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r) majetok a záväzky zabezpečené derivátmi - nemala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Spôsob zostavenia odpisového plánu pre jednotlivé druhy dlhodobého hmotného majetku a dlhodobého nehmotného majetku</w:t>
      </w:r>
    </w:p>
    <w:tbl>
      <w:tblPr>
        <w:tblW w:w="97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96"/>
        <w:gridCol w:w="2013"/>
        <w:gridCol w:w="1983"/>
        <w:gridCol w:w="2013"/>
      </w:tblGrid>
      <w:tr w:rsidR="004A0D61">
        <w:trPr>
          <w:trHeight w:val="285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majetku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Doba odpisovania</w:t>
            </w: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Sadzba odpisov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Odpisová metóda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6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Zásady pre zohľadnenie zníženia hodnoty majetku</w:t>
      </w:r>
      <w:r w:rsidR="00625E18">
        <w:rPr>
          <w:rFonts w:ascii="Arial" w:hAnsi="Arial" w:cs="Arial"/>
          <w:sz w:val="20"/>
          <w:szCs w:val="20"/>
        </w:rPr>
        <w:t>...účtovná jednotka nemá náplň k uvedenej položke.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III. Informácie, ktoré dopĺňajú a vysvetľujú v súvahe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Stav a pohyb dlhodobého nehmotného majetku a dlhodobého hmotného majetku za bežné účtovné obdobie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5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67"/>
        <w:gridCol w:w="1354"/>
        <w:gridCol w:w="1203"/>
        <w:gridCol w:w="1083"/>
        <w:gridCol w:w="1143"/>
        <w:gridCol w:w="1324"/>
        <w:gridCol w:w="1354"/>
        <w:gridCol w:w="602"/>
      </w:tblGrid>
      <w:tr w:rsidR="004A0D61">
        <w:trPr>
          <w:trHeight w:val="1140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Nehmotné výsledky z vývojovej a obdobnej činnosti</w:t>
            </w: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Softvér</w:t>
            </w: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Oceniteľné práva</w:t>
            </w: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Ostatný dlhodobý nehmotný majetok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dlhodobého nehmotného majetku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5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023"/>
        <w:gridCol w:w="1053"/>
        <w:gridCol w:w="1023"/>
        <w:gridCol w:w="722"/>
        <w:gridCol w:w="1264"/>
        <w:gridCol w:w="722"/>
        <w:gridCol w:w="963"/>
        <w:gridCol w:w="842"/>
        <w:gridCol w:w="782"/>
        <w:gridCol w:w="812"/>
        <w:gridCol w:w="752"/>
        <w:gridCol w:w="572"/>
      </w:tblGrid>
      <w:tr w:rsidR="004A0D61">
        <w:trPr>
          <w:trHeight w:val="1140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Pozemky</w:t>
            </w: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Umel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diela a zbierky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Stavby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Samost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veci a súbory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hnuteľ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vecí</w:t>
            </w: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Dopr.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prostr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Pestovat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celky trvalých porastov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Zákl. stádo a ťažné zvieratá</w:t>
            </w: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Drobný 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ostat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DHM</w:t>
            </w: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Obstar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DHM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Poskyt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predd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na DHM</w:t>
            </w: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Oprávky</w:t>
            </w: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00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1140"/>
          <w:tblCellSpacing w:w="-8" w:type="nil"/>
        </w:trPr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Prehľad dlhodobého majetku, na ktorý je zriadené záložné právo a dlhodobého majetku, pri ktorom má účtovná jednotka obmedzené právo s ním nakladať</w:t>
      </w:r>
    </w:p>
    <w:p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 jednotka nemá zriadené záložné právo k dlhodobému majetku.</w:t>
      </w:r>
    </w:p>
    <w:tbl>
      <w:tblPr>
        <w:tblW w:w="99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951"/>
        <w:gridCol w:w="2949"/>
      </w:tblGrid>
      <w:tr w:rsidR="004A0D61">
        <w:trPr>
          <w:trHeight w:val="285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Hodnota za bežné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69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jednotka obmedzené právo s ním nakladať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Spôsob a výška poistenia dlhodobého majetku</w:t>
      </w:r>
    </w:p>
    <w:p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Učtovná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jednotka nemá uzavreté zmluvy na poistenie dlhodobého majetku.</w:t>
      </w:r>
    </w:p>
    <w:tbl>
      <w:tblPr>
        <w:tblW w:w="99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671"/>
        <w:gridCol w:w="3280"/>
        <w:gridCol w:w="2979"/>
      </w:tblGrid>
      <w:tr w:rsidR="004A0D61">
        <w:trPr>
          <w:trHeight w:val="285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Poistený majetok</w:t>
            </w: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Poistná suma (v celých eurách)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Platnosť zmluvy (od - do)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6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Štruktúra dlhodobého finančného majetku</w:t>
      </w:r>
    </w:p>
    <w:p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Účtovná jednotka nevlastní dlhodobý finančný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majetok,nevlastní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podiely na iných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účt.jednotkách</w:t>
      </w:r>
      <w:proofErr w:type="spellEnd"/>
      <w:r>
        <w:rPr>
          <w:rFonts w:ascii="Arial" w:hAnsi="Arial" w:cs="Arial"/>
          <w:b/>
          <w:bCs/>
          <w:sz w:val="20"/>
          <w:szCs w:val="20"/>
        </w:rPr>
        <w:t>.</w:t>
      </w:r>
    </w:p>
    <w:tbl>
      <w:tblPr>
        <w:tblW w:w="105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893"/>
        <w:gridCol w:w="1502"/>
        <w:gridCol w:w="1292"/>
        <w:gridCol w:w="1592"/>
        <w:gridCol w:w="1562"/>
        <w:gridCol w:w="1292"/>
        <w:gridCol w:w="1412"/>
      </w:tblGrid>
      <w:tr w:rsidR="004A0D61">
        <w:trPr>
          <w:trHeight w:val="285"/>
        </w:trPr>
        <w:tc>
          <w:tcPr>
            <w:tcW w:w="18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Názov spoločnosti</w:t>
            </w:r>
          </w:p>
        </w:tc>
        <w:tc>
          <w:tcPr>
            <w:tcW w:w="150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 na základnom imaní (v %)</w:t>
            </w:r>
          </w:p>
        </w:tc>
        <w:tc>
          <w:tcPr>
            <w:tcW w:w="129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 účtovnej jednotky na hlasovacích právach (v %)</w:t>
            </w:r>
          </w:p>
        </w:tc>
        <w:tc>
          <w:tcPr>
            <w:tcW w:w="31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Hodnota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vlast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imania ku koncu</w:t>
            </w:r>
          </w:p>
        </w:tc>
        <w:tc>
          <w:tcPr>
            <w:tcW w:w="27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Účtovná hodnota ku koncu</w:t>
            </w:r>
          </w:p>
        </w:tc>
      </w:tr>
      <w:tr w:rsidR="004A0D61">
        <w:tblPrEx>
          <w:tblCellSpacing w:w="-8" w:type="nil"/>
        </w:tblPrEx>
        <w:trPr>
          <w:trHeight w:val="735"/>
          <w:tblCellSpacing w:w="-8" w:type="nil"/>
        </w:trPr>
        <w:tc>
          <w:tcPr>
            <w:tcW w:w="18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0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9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účtovného obdobia</w:t>
            </w: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Zmena jednotlivých položiek dlhodobého finančného majetku</w:t>
      </w:r>
    </w:p>
    <w:tbl>
      <w:tblPr>
        <w:tblW w:w="104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261"/>
        <w:gridCol w:w="1322"/>
        <w:gridCol w:w="1322"/>
        <w:gridCol w:w="1232"/>
        <w:gridCol w:w="1232"/>
        <w:gridCol w:w="1232"/>
        <w:gridCol w:w="991"/>
        <w:gridCol w:w="1232"/>
        <w:gridCol w:w="631"/>
      </w:tblGrid>
      <w:tr w:rsidR="004A0D61">
        <w:trPr>
          <w:trHeight w:val="1425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Podielové CP a podiely v obchodnej spoločnosti v ovládanej osobe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Podielové CP a podiely v obchodnej spoločnosti s podstatným vplyvom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CP držané do splatnosti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Pôžičky podnikom v skupine a ostatné pôžičky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Ostatný dlhodobý finančný majetok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Obstaranie dlhodobého finančného majetku</w:t>
            </w: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Poskytnuté preddavky na dlhodobý finančný majetok</w:t>
            </w: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4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Prvotné ocenenie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4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Opravné položky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440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Zostatková hodnota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Informácia o výške tvorby, zníženia a zúčtovania opravných položiek k dlhodobému finančnému majetku a opis dôvodu ich tvorby, zníženia a</w:t>
      </w:r>
      <w:r w:rsidR="00B43DD8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zúčtovania</w:t>
      </w:r>
      <w:r w:rsidR="00B43DD8">
        <w:rPr>
          <w:rFonts w:ascii="Arial" w:hAnsi="Arial" w:cs="Arial"/>
          <w:b/>
          <w:bCs/>
          <w:sz w:val="20"/>
          <w:szCs w:val="20"/>
        </w:rPr>
        <w:t>......</w:t>
      </w:r>
      <w:r w:rsidR="00B43DD8">
        <w:rPr>
          <w:rFonts w:ascii="Arial" w:hAnsi="Arial" w:cs="Arial"/>
          <w:sz w:val="20"/>
          <w:szCs w:val="20"/>
        </w:rPr>
        <w:t>účtovná jednotka nemá náplň k uvedenej položke.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</w:t>
      </w:r>
      <w:r>
        <w:rPr>
          <w:rFonts w:ascii="Arial" w:hAnsi="Arial" w:cs="Arial"/>
          <w:b/>
          <w:bCs/>
          <w:sz w:val="20"/>
          <w:szCs w:val="20"/>
        </w:rPr>
        <w:tab/>
        <w:t>Prehľaď o významných položkách krátkodobého finančného majetku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1</w:t>
      </w:r>
    </w:p>
    <w:tbl>
      <w:tblPr>
        <w:tblW w:w="102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490"/>
        <w:gridCol w:w="3821"/>
        <w:gridCol w:w="2919"/>
      </w:tblGrid>
      <w:tr w:rsidR="004A0D61">
        <w:trPr>
          <w:trHeight w:val="450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B43D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263,58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B43D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10,70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Bankové účty s dobou viazanosti dlhšou ako jeden rok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4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8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B43DD8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274,28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2</w:t>
      </w:r>
    </w:p>
    <w:tbl>
      <w:tblPr>
        <w:tblW w:w="1026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7"/>
        <w:gridCol w:w="2557"/>
        <w:gridCol w:w="1685"/>
        <w:gridCol w:w="1655"/>
        <w:gridCol w:w="1956"/>
      </w:tblGrid>
      <w:tr w:rsidR="004A0D61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 spolu</w:t>
            </w:r>
          </w:p>
        </w:tc>
        <w:tc>
          <w:tcPr>
            <w:tcW w:w="2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Tabuľka č. 3</w:t>
      </w:r>
    </w:p>
    <w:tbl>
      <w:tblPr>
        <w:tblW w:w="1038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949"/>
        <w:gridCol w:w="2287"/>
        <w:gridCol w:w="3249"/>
        <w:gridCol w:w="1895"/>
      </w:tblGrid>
      <w:tr w:rsidR="004A0D61"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výsledok hospodárenia bežného účtovného obdobia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Vplyv ocenenia na vlastné imanie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Dlhové cenné papiere na obchodovanie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Krátkodobý finančný majetok 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7.</w:t>
      </w:r>
      <w:r>
        <w:rPr>
          <w:rFonts w:ascii="Arial" w:hAnsi="Arial" w:cs="Arial"/>
          <w:b/>
          <w:bCs/>
          <w:sz w:val="20"/>
          <w:szCs w:val="20"/>
        </w:rPr>
        <w:tab/>
        <w:t>Prehľaď opravných položiek k</w:t>
      </w:r>
      <w:r w:rsidR="00B43DD8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zásobám</w:t>
      </w:r>
    </w:p>
    <w:p w:rsidR="00B43DD8" w:rsidRDefault="00B43DD8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 jednotka netvorila v bežnom účtovnom období opravné položky k zásobám.</w:t>
      </w:r>
    </w:p>
    <w:tbl>
      <w:tblPr>
        <w:tblW w:w="103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112"/>
      </w:tblGrid>
      <w:tr w:rsidR="004A0D61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Nedokončená výroba a polotovary vlastnej výroby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Poskytnutý preddavok na zásoby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Zásoby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</w:t>
      </w:r>
      <w:r>
        <w:rPr>
          <w:rFonts w:ascii="Arial" w:hAnsi="Arial" w:cs="Arial"/>
          <w:b/>
          <w:bCs/>
          <w:sz w:val="20"/>
          <w:szCs w:val="20"/>
        </w:rPr>
        <w:tab/>
        <w:t>Opis významných pohľadávok v nadväznosti na položky súvahy v členení na pohľadávky za hlavnú činnosť a podnikateľskú činnosť</w:t>
      </w:r>
      <w:r w:rsidR="00DA0471">
        <w:rPr>
          <w:rFonts w:ascii="Arial" w:hAnsi="Arial" w:cs="Arial"/>
          <w:sz w:val="20"/>
          <w:szCs w:val="20"/>
        </w:rPr>
        <w:t>....účtovná jednotka nevykazuje v účtovnej závierke k 31.decembru 2016 zostatok.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9.</w:t>
      </w:r>
      <w:r>
        <w:rPr>
          <w:rFonts w:ascii="Arial" w:hAnsi="Arial" w:cs="Arial"/>
          <w:b/>
          <w:bCs/>
          <w:sz w:val="20"/>
          <w:szCs w:val="20"/>
        </w:rPr>
        <w:tab/>
        <w:t>Prehľad opravných položiek k</w:t>
      </w:r>
      <w:r w:rsidR="00DA0471">
        <w:rPr>
          <w:rFonts w:ascii="Arial" w:hAnsi="Arial" w:cs="Arial"/>
          <w:b/>
          <w:bCs/>
          <w:sz w:val="20"/>
          <w:szCs w:val="20"/>
        </w:rPr>
        <w:t> </w:t>
      </w:r>
      <w:r>
        <w:rPr>
          <w:rFonts w:ascii="Arial" w:hAnsi="Arial" w:cs="Arial"/>
          <w:b/>
          <w:bCs/>
          <w:sz w:val="20"/>
          <w:szCs w:val="20"/>
        </w:rPr>
        <w:t>pohľadávkam</w:t>
      </w:r>
    </w:p>
    <w:p w:rsidR="00DA0471" w:rsidRDefault="00DA047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Účtovná jednotka nevykazuje rizikové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pohľadávky,ku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ktorým by vytvárala opravné položky.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675"/>
        <w:gridCol w:w="1712"/>
        <w:gridCol w:w="1562"/>
        <w:gridCol w:w="1592"/>
        <w:gridCol w:w="1712"/>
        <w:gridCol w:w="1172"/>
      </w:tblGrid>
      <w:tr w:rsidR="004A0D61">
        <w:trPr>
          <w:trHeight w:val="675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opravnej položky (zvýšenie)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Zníženie opravnej položky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Zúčtovanie opravnej položky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 obdobia</w:t>
            </w: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z obchodného styku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10.</w:t>
      </w:r>
      <w:r>
        <w:rPr>
          <w:rFonts w:ascii="Arial" w:hAnsi="Arial" w:cs="Arial"/>
          <w:b/>
          <w:bCs/>
          <w:sz w:val="20"/>
          <w:szCs w:val="20"/>
        </w:rPr>
        <w:tab/>
        <w:t>Prehľad pohľadávok do lehoty splatnosti a po lehote splatnosti</w:t>
      </w:r>
    </w:p>
    <w:p w:rsidR="00DA0471" w:rsidRDefault="00A711D3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</w:t>
      </w:r>
      <w:r w:rsidR="008C789F"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 xml:space="preserve"> jednotka nevykazuje pohľadávky do ani po lehote splatnosti.</w:t>
      </w:r>
    </w:p>
    <w:tbl>
      <w:tblPr>
        <w:tblW w:w="1045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25"/>
        <w:gridCol w:w="3395"/>
        <w:gridCol w:w="3335"/>
      </w:tblGrid>
      <w:tr w:rsidR="004A0D61">
        <w:trPr>
          <w:trHeight w:val="285"/>
        </w:trPr>
        <w:tc>
          <w:tcPr>
            <w:tcW w:w="372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372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do lehoty splatnosti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  <w:tc>
          <w:tcPr>
            <w:tcW w:w="33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11.</w:t>
      </w:r>
      <w:r>
        <w:rPr>
          <w:rFonts w:ascii="Arial" w:hAnsi="Arial" w:cs="Arial"/>
          <w:b/>
          <w:bCs/>
          <w:sz w:val="20"/>
          <w:szCs w:val="20"/>
        </w:rPr>
        <w:tab/>
        <w:t>Prehľad významných položiek časového rozlíšenia nákladov budúcich období a príjmov budúcich období</w:t>
      </w:r>
    </w:p>
    <w:p w:rsidR="008C789F" w:rsidRDefault="008C789F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Účtovná  jednotka nevykazuje položky nákladov a príjmov budúcich období.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3755"/>
        <w:gridCol w:w="3305"/>
        <w:gridCol w:w="3365"/>
      </w:tblGrid>
      <w:tr w:rsidR="004A0D61">
        <w:trPr>
          <w:trHeight w:val="450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časového rozlíšenia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Náklady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dlhodobé,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Príjmy budúcich období krátkodobé, z toho:</w:t>
            </w: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12.</w:t>
      </w:r>
      <w:r>
        <w:rPr>
          <w:rFonts w:ascii="Arial" w:hAnsi="Arial" w:cs="Arial"/>
          <w:b/>
          <w:bCs/>
          <w:sz w:val="20"/>
          <w:szCs w:val="20"/>
        </w:rPr>
        <w:tab/>
        <w:t>Opis a výška zmien vlastných zdrojov</w:t>
      </w:r>
    </w:p>
    <w:tbl>
      <w:tblPr>
        <w:tblW w:w="1056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96"/>
        <w:gridCol w:w="2286"/>
        <w:gridCol w:w="1595"/>
        <w:gridCol w:w="1474"/>
        <w:gridCol w:w="1595"/>
        <w:gridCol w:w="1414"/>
      </w:tblGrid>
      <w:tr w:rsidR="004A0D61">
        <w:trPr>
          <w:trHeight w:val="450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Presuny (+, -)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Imanie a fondy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8C7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8C789F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 toho: </w:t>
            </w:r>
          </w:p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nadačné imanie v nadácii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vklady zakladateľov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prioritný majetok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 reprodukcie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Oceňovacie rozdiely z precenenia majetku a záväzkov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0530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Fondy zo zisku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Rezervný fond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Fondy tvorené zo zisku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fondy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Nevysporiadaný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5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3B53F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400</w:t>
            </w:r>
          </w:p>
        </w:tc>
        <w:tc>
          <w:tcPr>
            <w:tcW w:w="1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3B53F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400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13.</w:t>
      </w:r>
      <w:r>
        <w:rPr>
          <w:rFonts w:ascii="Arial" w:hAnsi="Arial" w:cs="Arial"/>
          <w:b/>
          <w:bCs/>
          <w:sz w:val="20"/>
          <w:szCs w:val="20"/>
        </w:rPr>
        <w:tab/>
        <w:t xml:space="preserve">Informácia o rozdelení účtovného zisku alebo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vysporiadaní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účtovnej straty vykázanej v minulých účtovných obdobiach</w:t>
      </w:r>
    </w:p>
    <w:tbl>
      <w:tblPr>
        <w:tblW w:w="9405" w:type="dxa"/>
        <w:tblInd w:w="120" w:type="dxa"/>
        <w:tblLayout w:type="fixed"/>
        <w:tblCellMar>
          <w:left w:w="105" w:type="dxa"/>
          <w:right w:w="105" w:type="dxa"/>
        </w:tblCellMar>
        <w:tblLook w:val="0000" w:firstRow="0" w:lastRow="0" w:firstColumn="0" w:lastColumn="0" w:noHBand="0" w:noVBand="0"/>
      </w:tblPr>
      <w:tblGrid>
        <w:gridCol w:w="5649"/>
        <w:gridCol w:w="3756"/>
      </w:tblGrid>
      <w:tr w:rsidR="004A0D61">
        <w:trPr>
          <w:trHeight w:val="450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</w:t>
            </w:r>
            <w:r>
              <w:rPr>
                <w:rFonts w:ascii="Arial" w:hAnsi="Arial" w:cs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Úhrada straty minulých období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3B53F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93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Vysporiadanie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 nerozdeleného zisku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</w:t>
            </w:r>
            <w:r>
              <w:rPr>
                <w:rFonts w:ascii="Arial" w:hAnsi="Arial" w:cs="Arial"/>
                <w:sz w:val="16"/>
                <w:szCs w:val="16"/>
              </w:rPr>
              <w:t>evysporiadaného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</w:t>
            </w:r>
          </w:p>
        </w:tc>
        <w:tc>
          <w:tcPr>
            <w:tcW w:w="3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14.</w:t>
      </w:r>
      <w:r>
        <w:rPr>
          <w:rFonts w:ascii="Arial" w:hAnsi="Arial" w:cs="Arial"/>
          <w:b/>
          <w:bCs/>
          <w:sz w:val="20"/>
          <w:szCs w:val="20"/>
        </w:rPr>
        <w:tab/>
        <w:t>Opis a výška cudzích zdrojov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tvorba a použití rezerv</w:t>
      </w:r>
    </w:p>
    <w:tbl>
      <w:tblPr>
        <w:tblW w:w="1021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254"/>
        <w:gridCol w:w="2013"/>
        <w:gridCol w:w="1532"/>
        <w:gridCol w:w="1472"/>
        <w:gridCol w:w="1682"/>
        <w:gridCol w:w="1262"/>
      </w:tblGrid>
      <w:tr w:rsidR="004A0D61">
        <w:trPr>
          <w:trHeight w:val="450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začiatku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bežného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účt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obdobia</w:t>
            </w: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Jednotlivé druhy krátkodobých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Rezervy spolu</w:t>
            </w:r>
          </w:p>
        </w:tc>
        <w:tc>
          <w:tcPr>
            <w:tcW w:w="2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b) položky na účtoch 325 - Ostatné záväzky a 379 - Iné záväzky</w:t>
      </w:r>
    </w:p>
    <w:tbl>
      <w:tblPr>
        <w:tblW w:w="1018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134"/>
        <w:gridCol w:w="2253"/>
        <w:gridCol w:w="2193"/>
        <w:gridCol w:w="2133"/>
        <w:gridCol w:w="1472"/>
      </w:tblGrid>
      <w:tr w:rsidR="004A0D61">
        <w:trPr>
          <w:trHeight w:val="450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 (+)</w:t>
            </w: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 (-)</w:t>
            </w: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325 - Ostatné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Účet 379 - Iné záväzky</w:t>
            </w:r>
          </w:p>
        </w:tc>
        <w:tc>
          <w:tcPr>
            <w:tcW w:w="22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a d) záväzky</w:t>
      </w:r>
    </w:p>
    <w:tbl>
      <w:tblPr>
        <w:tblW w:w="1041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54"/>
        <w:gridCol w:w="2979"/>
        <w:gridCol w:w="2377"/>
      </w:tblGrid>
      <w:tr w:rsidR="004A0D61">
        <w:trPr>
          <w:trHeight w:val="285"/>
        </w:trPr>
        <w:tc>
          <w:tcPr>
            <w:tcW w:w="504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53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</w:t>
            </w: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5040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bežného účtovného obdobia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Záväzky do lehoty splatnosti so zostatkovou dobou splatnosti do jedného roka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od jedného do piatich rokov vrátane 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Krátkodobé a dlhodobé záväzky spolu</w:t>
            </w:r>
          </w:p>
        </w:tc>
        <w:tc>
          <w:tcPr>
            <w:tcW w:w="29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e) prehľad o záväzkoch zo sociálneho fondu</w:t>
      </w:r>
    </w:p>
    <w:tbl>
      <w:tblPr>
        <w:tblW w:w="103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837"/>
        <w:gridCol w:w="2854"/>
        <w:gridCol w:w="2674"/>
      </w:tblGrid>
      <w:tr w:rsidR="004A0D61">
        <w:trPr>
          <w:trHeight w:val="450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prvému dňu účtovného obdobia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na ťarchu nákladov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3B53F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38,43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Tvorba zo zisku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Čerpanie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8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Stav k poslednému dňu účtovného obdobia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3B53F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38,43</w:t>
            </w:r>
          </w:p>
        </w:tc>
        <w:tc>
          <w:tcPr>
            <w:tcW w:w="26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f) prehľad o bankových úveroch, pôžičkách a návratných finančných výpomociach</w:t>
      </w:r>
    </w:p>
    <w:p w:rsidR="003B53F6" w:rsidRDefault="009B28DE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Spoločnosti nebol poskytnutý bankový úver alebo nenávratná finančná výpomoc.</w:t>
      </w:r>
    </w:p>
    <w:tbl>
      <w:tblPr>
        <w:tblW w:w="1032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1685"/>
        <w:gridCol w:w="752"/>
        <w:gridCol w:w="1324"/>
        <w:gridCol w:w="1173"/>
        <w:gridCol w:w="1745"/>
        <w:gridCol w:w="1896"/>
        <w:gridCol w:w="1745"/>
      </w:tblGrid>
      <w:tr w:rsidR="004A0D61"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Mena</w:t>
            </w: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Suma istiny na konci bežného účtovného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obdobia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 xml:space="preserve">Suma istiny na konci bezprostredne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predchádzajúceho účtovného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Krátkodobý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Pôžička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Návratná finančná výpomoc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Dlhodobý bankový úver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7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2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g) prehľad o významných položkách časového rozlíšenia výdavkov budúcich období</w:t>
      </w:r>
    </w:p>
    <w:p w:rsidR="009B28DE" w:rsidRDefault="009B28DE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Účtovná jednotka nemá náplň </w:t>
      </w:r>
      <w:proofErr w:type="spellStart"/>
      <w:r>
        <w:rPr>
          <w:rFonts w:ascii="Arial" w:hAnsi="Arial" w:cs="Arial"/>
          <w:sz w:val="20"/>
          <w:szCs w:val="20"/>
        </w:rPr>
        <w:t>kuvedenej</w:t>
      </w:r>
      <w:proofErr w:type="spellEnd"/>
      <w:r>
        <w:rPr>
          <w:rFonts w:ascii="Arial" w:hAnsi="Arial" w:cs="Arial"/>
          <w:sz w:val="20"/>
          <w:szCs w:val="20"/>
        </w:rPr>
        <w:t xml:space="preserve"> položke v roku 2016.</w:t>
      </w:r>
    </w:p>
    <w:tbl>
      <w:tblPr>
        <w:tblW w:w="102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236"/>
        <w:gridCol w:w="3335"/>
        <w:gridCol w:w="2704"/>
      </w:tblGrid>
      <w:tr w:rsidR="004A0D61">
        <w:trPr>
          <w:trHeight w:val="450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Opis položky časového rozlíšenia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dlhodobé,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Výdavky budúcich období krátkodobé, z toho:</w:t>
            </w: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2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3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15.</w:t>
      </w:r>
      <w:r>
        <w:rPr>
          <w:rFonts w:ascii="Arial" w:hAnsi="Arial" w:cs="Arial"/>
          <w:b/>
          <w:bCs/>
          <w:sz w:val="20"/>
          <w:szCs w:val="20"/>
        </w:rPr>
        <w:tab/>
        <w:t>Významné položky výnosov budúcich období</w:t>
      </w:r>
    </w:p>
    <w:tbl>
      <w:tblPr>
        <w:tblW w:w="1024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404"/>
        <w:gridCol w:w="2794"/>
        <w:gridCol w:w="1652"/>
        <w:gridCol w:w="1713"/>
        <w:gridCol w:w="1682"/>
      </w:tblGrid>
      <w:tr w:rsidR="004A0D61">
        <w:trPr>
          <w:trHeight w:val="450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dotácie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dlhodobého majetku obstaraného z finančného daru 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zo štátneho rozpočtu alebo z prostriedkov Európskej únie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dotácie z rozpočtu obce alebo z rozpočtu vyššieho územného celku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grantu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675"/>
          <w:tblCellSpacing w:w="-8" w:type="nil"/>
        </w:trPr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dlhodobého majetku obstaraného z podielu zaplatenej dane</w:t>
            </w:r>
          </w:p>
        </w:tc>
        <w:tc>
          <w:tcPr>
            <w:tcW w:w="2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16.</w:t>
      </w:r>
      <w:r>
        <w:rPr>
          <w:rFonts w:ascii="Arial" w:hAnsi="Arial" w:cs="Arial"/>
          <w:b/>
          <w:bCs/>
          <w:sz w:val="20"/>
          <w:szCs w:val="20"/>
        </w:rPr>
        <w:tab/>
        <w:t>Údaje o majetku prenajatom formou finančného prenájmu</w:t>
      </w:r>
    </w:p>
    <w:p w:rsidR="009B28DE" w:rsidRDefault="009B28DE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Spoločnosť si neprenajímala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majatek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formou finančného prenájmu.</w:t>
      </w:r>
    </w:p>
    <w:tbl>
      <w:tblPr>
        <w:tblW w:w="102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2347"/>
        <w:gridCol w:w="2768"/>
        <w:gridCol w:w="1655"/>
        <w:gridCol w:w="1745"/>
        <w:gridCol w:w="1685"/>
      </w:tblGrid>
      <w:tr w:rsidR="004A0D61">
        <w:trPr>
          <w:trHeight w:val="450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Záväzok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Stav na konci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Celková suma dohodnutých platieb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viac ako päť rokov</w:t>
            </w:r>
          </w:p>
        </w:tc>
        <w:tc>
          <w:tcPr>
            <w:tcW w:w="27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IV. Informácie, ktoré dopĺňajú a vysvetľujú údaje vo výkaze ziskov a strát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Prehľad tržieb za vlastné výkony a tovar</w:t>
      </w:r>
    </w:p>
    <w:tbl>
      <w:tblPr>
        <w:tblW w:w="1020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4"/>
        <w:gridCol w:w="2919"/>
        <w:gridCol w:w="2317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Typ výrobkov, tovarov, služieb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Tržby z predaja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služieb-opatrovateľskej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3072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Opis a vyčíslenie hodnoty významných položiek prijatých darov, osobitných výnosov, zákonných poplatkov a iných ostatných výnosov</w:t>
      </w:r>
    </w:p>
    <w:tbl>
      <w:tblPr>
        <w:tblW w:w="1021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313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dary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Osobitné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Zákonné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18,34</w:t>
            </w: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Výnosy z použitia fondu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Prehľad dotácií a grantov, ktoré účtovná jednotka prijala v priebehu bežného účtovného obdobia</w:t>
      </w:r>
    </w:p>
    <w:tbl>
      <w:tblPr>
        <w:tblW w:w="783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9"/>
        <w:gridCol w:w="2861"/>
      </w:tblGrid>
      <w:tr w:rsidR="004A0D61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ESF Implementačná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agentr.-podpora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opatrovatelskej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služby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7605</w:t>
            </w: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Opis a suma významných položiek finančných výnosov</w:t>
      </w:r>
    </w:p>
    <w:tbl>
      <w:tblPr>
        <w:tblW w:w="1027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373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Výnosy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výnosy,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0,07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prijaté členské príspevky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úroky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0,07</w:t>
            </w:r>
          </w:p>
        </w:tc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Opis a vyčíslenie hodnoty významných položiek nákladov</w:t>
      </w:r>
    </w:p>
    <w:tbl>
      <w:tblPr>
        <w:tblW w:w="1030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8"/>
        <w:gridCol w:w="2944"/>
        <w:gridCol w:w="2403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733D26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Spotreba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materiálu-kanc.potr,čistiace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potr.,ost.spotreba</w:t>
            </w:r>
            <w:proofErr w:type="spellEnd"/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9B28DE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909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Osobitné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733D26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9167,34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 ostatné náklady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 w:rsidP="001A23D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733D26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služby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733D26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703,72</w:t>
            </w: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Spotreba materiálu a energie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6.</w:t>
      </w:r>
      <w:r>
        <w:rPr>
          <w:rFonts w:ascii="Arial" w:hAnsi="Arial" w:cs="Arial"/>
          <w:b/>
          <w:bCs/>
          <w:sz w:val="20"/>
          <w:szCs w:val="20"/>
        </w:rPr>
        <w:tab/>
        <w:t>Prehľad o účele a výške použitia podielu zaplatenej dane za bežné účtovné obdobie</w:t>
      </w:r>
    </w:p>
    <w:tbl>
      <w:tblPr>
        <w:tblW w:w="10290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65"/>
        <w:gridCol w:w="2858"/>
        <w:gridCol w:w="2467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Použitá suma z 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účtovného obdobia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78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Zostatok podielu zaplatenej dane bežného účtovného obdobia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7.</w:t>
      </w:r>
      <w:r>
        <w:rPr>
          <w:rFonts w:ascii="Arial" w:hAnsi="Arial" w:cs="Arial"/>
          <w:b/>
          <w:bCs/>
          <w:sz w:val="20"/>
          <w:szCs w:val="20"/>
        </w:rPr>
        <w:tab/>
        <w:t>Opis a suma významných položiek finančných nákladov</w:t>
      </w:r>
    </w:p>
    <w:tbl>
      <w:tblPr>
        <w:tblW w:w="1033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7"/>
        <w:gridCol w:w="2944"/>
        <w:gridCol w:w="2434"/>
      </w:tblGrid>
      <w:tr w:rsidR="004A0D61">
        <w:trPr>
          <w:trHeight w:val="450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predch</w:t>
            </w:r>
            <w:proofErr w:type="spellEnd"/>
            <w:r>
              <w:rPr>
                <w:rFonts w:ascii="Arial" w:hAnsi="Arial" w:cs="Arial"/>
                <w:b/>
                <w:bCs/>
                <w:sz w:val="16"/>
                <w:szCs w:val="16"/>
              </w:rPr>
              <w:t>. účtovné obdobie</w:t>
            </w:r>
          </w:p>
        </w:tc>
      </w:tr>
      <w:tr w:rsidR="004A0D61">
        <w:tblPrEx>
          <w:tblCellSpacing w:w="-8" w:type="nil"/>
        </w:tblPrEx>
        <w:trPr>
          <w:trHeight w:val="27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Finančné náklady,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1A23D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79,50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straty, z toho: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poplatky</w:t>
            </w:r>
          </w:p>
        </w:tc>
        <w:tc>
          <w:tcPr>
            <w:tcW w:w="29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1A23D9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79,50</w:t>
            </w:r>
          </w:p>
        </w:tc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8.</w:t>
      </w:r>
      <w:r>
        <w:rPr>
          <w:rFonts w:ascii="Arial" w:hAnsi="Arial" w:cs="Arial"/>
          <w:b/>
          <w:bCs/>
          <w:sz w:val="20"/>
          <w:szCs w:val="20"/>
        </w:rPr>
        <w:tab/>
        <w:t>Náklady vynaložené v súvislosti s auditom účtovnej závierky</w:t>
      </w:r>
    </w:p>
    <w:tbl>
      <w:tblPr>
        <w:tblW w:w="79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59"/>
        <w:gridCol w:w="3006"/>
      </w:tblGrid>
      <w:tr w:rsidR="004A0D61">
        <w:trPr>
          <w:trHeight w:val="285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Jednotlivé druhy nákladov za: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Suma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overenie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30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V. Opis údajov na podsúvahových účtoch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Významné položky prenajatého majetku, majetku prijatého do úschovy, odpísané pohľadávky a prípadné ďalšie </w:t>
      </w:r>
      <w:proofErr w:type="spellStart"/>
      <w:r>
        <w:rPr>
          <w:rFonts w:ascii="Arial" w:hAnsi="Arial" w:cs="Arial"/>
          <w:sz w:val="20"/>
          <w:szCs w:val="20"/>
        </w:rPr>
        <w:t>položky:..</w:t>
      </w:r>
      <w:r w:rsidR="001A23D9">
        <w:rPr>
          <w:rFonts w:ascii="Arial" w:hAnsi="Arial" w:cs="Arial"/>
          <w:sz w:val="20"/>
          <w:szCs w:val="20"/>
        </w:rPr>
        <w:t>Spoločnosť</w:t>
      </w:r>
      <w:proofErr w:type="spellEnd"/>
      <w:r w:rsidR="001A23D9">
        <w:rPr>
          <w:rFonts w:ascii="Arial" w:hAnsi="Arial" w:cs="Arial"/>
          <w:sz w:val="20"/>
          <w:szCs w:val="20"/>
        </w:rPr>
        <w:t xml:space="preserve"> neúčtovala na podsúvahových účtoch majetku v roku 2016.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VI. Ďalšie informácie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1.</w:t>
      </w:r>
      <w:r>
        <w:rPr>
          <w:rFonts w:ascii="Arial" w:hAnsi="Arial" w:cs="Arial"/>
          <w:b/>
          <w:bCs/>
          <w:sz w:val="20"/>
          <w:szCs w:val="20"/>
        </w:rPr>
        <w:tab/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</w:t>
      </w:r>
    </w:p>
    <w:tbl>
      <w:tblPr>
        <w:tblW w:w="1042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5017"/>
        <w:gridCol w:w="2914"/>
        <w:gridCol w:w="2494"/>
      </w:tblGrid>
      <w:tr w:rsidR="004A0D61">
        <w:trPr>
          <w:trHeight w:val="450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Aktíva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zo servisných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poistných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koncesionárskych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licenčných zmlúv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450"/>
          <w:tblCellSpacing w:w="-8" w:type="nil"/>
        </w:trPr>
        <w:tc>
          <w:tcPr>
            <w:tcW w:w="50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práva z investovania prostriedkov získaných oslobodením od dane z príjmov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2.</w:t>
      </w:r>
      <w:r>
        <w:rPr>
          <w:rFonts w:ascii="Arial" w:hAnsi="Arial" w:cs="Arial"/>
          <w:b/>
          <w:bCs/>
          <w:sz w:val="20"/>
          <w:szCs w:val="20"/>
        </w:rPr>
        <w:tab/>
        <w:t>Opis a hodnota iných pasív vyplývajúcich zo súdnych rozhodnutí, z poskytnutých záruk, zo všeobecne záväzných právnych predpisov, z ručenia podľa jednotlivých druhov ručenia</w:t>
      </w:r>
    </w:p>
    <w:tbl>
      <w:tblPr>
        <w:tblW w:w="10365" w:type="dxa"/>
        <w:tblInd w:w="90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4987"/>
        <w:gridCol w:w="2914"/>
        <w:gridCol w:w="2464"/>
      </w:tblGrid>
      <w:tr w:rsidR="004A0D61">
        <w:trPr>
          <w:trHeight w:val="450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Pasíva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súdnych rozhodnutí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poskytnutých záruk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všeobecne záväzných predpisov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4A0D61">
        <w:tblPrEx>
          <w:tblCellSpacing w:w="-8" w:type="nil"/>
        </w:tblPrEx>
        <w:trPr>
          <w:trHeight w:val="285"/>
          <w:tblCellSpacing w:w="-8" w:type="nil"/>
        </w:trPr>
        <w:tc>
          <w:tcPr>
            <w:tcW w:w="4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lastRenderedPageBreak/>
              <w:t>z ručenia podľa jednotlivých druhov ručenia:</w:t>
            </w:r>
          </w:p>
        </w:tc>
        <w:tc>
          <w:tcPr>
            <w:tcW w:w="29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4A0D61" w:rsidRDefault="004A0D61">
            <w:pPr>
              <w:tabs>
                <w:tab w:val="left" w:pos="420"/>
              </w:tabs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3.</w:t>
      </w:r>
      <w:r>
        <w:rPr>
          <w:rFonts w:ascii="Arial" w:hAnsi="Arial" w:cs="Arial"/>
          <w:b/>
          <w:bCs/>
          <w:sz w:val="20"/>
          <w:szCs w:val="20"/>
        </w:rPr>
        <w:tab/>
        <w:t>Opis významných položiek ostatných finančných povinností, ktoré sa nesledujú v účto</w:t>
      </w:r>
      <w:r w:rsidR="001A23D9">
        <w:rPr>
          <w:rFonts w:ascii="Arial" w:hAnsi="Arial" w:cs="Arial"/>
          <w:b/>
          <w:bCs/>
          <w:sz w:val="20"/>
          <w:szCs w:val="20"/>
        </w:rPr>
        <w:t xml:space="preserve">vníctve a neuvádzajú sa v súvah....Účtovná jednotka nemá vedomosti o žiadnych ostatných finančných </w:t>
      </w:r>
      <w:proofErr w:type="spellStart"/>
      <w:r w:rsidR="001A23D9">
        <w:rPr>
          <w:rFonts w:ascii="Arial" w:hAnsi="Arial" w:cs="Arial"/>
          <w:b/>
          <w:bCs/>
          <w:sz w:val="20"/>
          <w:szCs w:val="20"/>
        </w:rPr>
        <w:t>povinnostiach,ktoré</w:t>
      </w:r>
      <w:proofErr w:type="spellEnd"/>
      <w:r w:rsidR="001A23D9">
        <w:rPr>
          <w:rFonts w:ascii="Arial" w:hAnsi="Arial" w:cs="Arial"/>
          <w:b/>
          <w:bCs/>
          <w:sz w:val="20"/>
          <w:szCs w:val="20"/>
        </w:rPr>
        <w:t xml:space="preserve"> sa nesledujú v účtovníctve a neuvádzajú sa v súvahe.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4.</w:t>
      </w:r>
      <w:r>
        <w:rPr>
          <w:rFonts w:ascii="Arial" w:hAnsi="Arial" w:cs="Arial"/>
          <w:b/>
          <w:bCs/>
          <w:sz w:val="20"/>
          <w:szCs w:val="20"/>
        </w:rPr>
        <w:tab/>
        <w:t>Prehľad nehnuteľných kultúrnych pamiatok, ktoré sú v správe alebo vo vlastníctve účtovnej jednotky</w:t>
      </w:r>
    </w:p>
    <w:p w:rsidR="004A0D61" w:rsidRDefault="001A23D9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Spoločnosť nevlastní </w:t>
      </w:r>
      <w:proofErr w:type="spellStart"/>
      <w:r>
        <w:rPr>
          <w:rFonts w:ascii="Arial" w:hAnsi="Arial" w:cs="Arial"/>
          <w:sz w:val="20"/>
          <w:szCs w:val="20"/>
        </w:rPr>
        <w:t>nehnutelné</w:t>
      </w:r>
      <w:proofErr w:type="spellEnd"/>
      <w:r>
        <w:rPr>
          <w:rFonts w:ascii="Arial" w:hAnsi="Arial" w:cs="Arial"/>
          <w:sz w:val="20"/>
          <w:szCs w:val="20"/>
        </w:rPr>
        <w:t xml:space="preserve"> kultúrne pamiatky.</w:t>
      </w: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0"/>
          <w:szCs w:val="20"/>
        </w:rPr>
      </w:pPr>
    </w:p>
    <w:p w:rsidR="004A0D61" w:rsidRDefault="004A0D61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5.</w:t>
      </w:r>
      <w:r>
        <w:rPr>
          <w:rFonts w:ascii="Arial" w:hAnsi="Arial" w:cs="Arial"/>
          <w:b/>
          <w:bCs/>
          <w:sz w:val="20"/>
          <w:szCs w:val="20"/>
        </w:rPr>
        <w:tab/>
        <w:t>Informácie o významných skutočnostiach, ktoré nastali medzi dňom, ku ktorému sa zostavuje účtovná závierka a dňom jej zostavenia</w:t>
      </w:r>
      <w:r w:rsidR="001A23D9">
        <w:rPr>
          <w:rFonts w:ascii="Arial" w:hAnsi="Arial" w:cs="Arial"/>
          <w:sz w:val="20"/>
          <w:szCs w:val="20"/>
        </w:rPr>
        <w:t>.</w:t>
      </w:r>
    </w:p>
    <w:p w:rsidR="001A23D9" w:rsidRDefault="001A23D9" w:rsidP="004A0D61">
      <w:pPr>
        <w:tabs>
          <w:tab w:val="left" w:pos="420"/>
        </w:tabs>
        <w:autoSpaceDE w:val="0"/>
        <w:autoSpaceDN w:val="0"/>
        <w:adjustRightInd w:val="0"/>
        <w:spacing w:after="0" w:line="240" w:lineRule="auto"/>
        <w:ind w:left="420" w:hanging="4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        Po 31</w:t>
      </w:r>
      <w:r w:rsidRPr="001A23D9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decembri 2016 do dňa zostavenia účtovnej závierky spoločnosti nenastali také </w:t>
      </w:r>
      <w:proofErr w:type="spellStart"/>
      <w:r>
        <w:rPr>
          <w:rFonts w:ascii="Arial" w:hAnsi="Arial" w:cs="Arial"/>
          <w:sz w:val="20"/>
          <w:szCs w:val="20"/>
        </w:rPr>
        <w:t>udalosti,ktoré</w:t>
      </w:r>
      <w:proofErr w:type="spellEnd"/>
      <w:r>
        <w:rPr>
          <w:rFonts w:ascii="Arial" w:hAnsi="Arial" w:cs="Arial"/>
          <w:sz w:val="20"/>
          <w:szCs w:val="20"/>
        </w:rPr>
        <w:t xml:space="preserve"> by si vyžadovali zverejnenie alebo vykázanie v účtovnej závierke za rok 2016.</w:t>
      </w:r>
    </w:p>
    <w:p w:rsidR="00AF25AA" w:rsidRDefault="00AF25AA"/>
    <w:sectPr w:rsidR="00AF25AA" w:rsidSect="004A0D61">
      <w:headerReference w:type="default" r:id="rId9"/>
      <w:footerReference w:type="default" r:id="rId10"/>
      <w:pgSz w:w="12246" w:h="15817"/>
      <w:pgMar w:top="1035" w:right="850" w:bottom="1134" w:left="850" w:header="720" w:footer="720" w:gutter="0"/>
      <w:pgNumType w:start="7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5A9E" w:rsidRDefault="00DF5A9E" w:rsidP="004A0D61">
      <w:pPr>
        <w:spacing w:after="0" w:line="240" w:lineRule="auto"/>
      </w:pPr>
      <w:r>
        <w:separator/>
      </w:r>
    </w:p>
  </w:endnote>
  <w:endnote w:type="continuationSeparator" w:id="0">
    <w:p w:rsidR="00DF5A9E" w:rsidRDefault="00DF5A9E" w:rsidP="004A0D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217955"/>
      <w:docPartObj>
        <w:docPartGallery w:val="Page Numbers (Bottom of Page)"/>
        <w:docPartUnique/>
      </w:docPartObj>
    </w:sdtPr>
    <w:sdtContent>
      <w:p w:rsidR="006F3BC9" w:rsidRDefault="006F3BC9">
        <w:pPr>
          <w:pStyle w:val="Pta"/>
          <w:jc w:val="right"/>
        </w:pPr>
        <w:r>
          <w:t xml:space="preserve">Strana 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D7AF6">
          <w:rPr>
            <w:noProof/>
          </w:rPr>
          <w:t>17</w:t>
        </w:r>
        <w:r>
          <w:rPr>
            <w:noProof/>
          </w:rPr>
          <w:fldChar w:fldCharType="end"/>
        </w:r>
        <w:r>
          <w:t xml:space="preserve"> </w:t>
        </w:r>
      </w:p>
    </w:sdtContent>
  </w:sdt>
  <w:p w:rsidR="006F3BC9" w:rsidRDefault="006F3BC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5A9E" w:rsidRDefault="00DF5A9E" w:rsidP="004A0D61">
      <w:pPr>
        <w:spacing w:after="0" w:line="240" w:lineRule="auto"/>
      </w:pPr>
      <w:r>
        <w:separator/>
      </w:r>
    </w:p>
  </w:footnote>
  <w:footnote w:type="continuationSeparator" w:id="0">
    <w:p w:rsidR="00DF5A9E" w:rsidRDefault="00DF5A9E" w:rsidP="004A0D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3BC9" w:rsidRDefault="006F3BC9">
    <w:pPr>
      <w:pStyle w:val="Hlavika"/>
    </w:pPr>
  </w:p>
  <w:tbl>
    <w:tblPr>
      <w:tblStyle w:val="Mriekatabuky"/>
      <w:tblW w:w="0" w:type="auto"/>
      <w:tblInd w:w="38" w:type="dxa"/>
      <w:tblLook w:val="04A0" w:firstRow="1" w:lastRow="0" w:firstColumn="1" w:lastColumn="0" w:noHBand="0" w:noVBand="1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644"/>
      <w:gridCol w:w="340"/>
      <w:gridCol w:w="340"/>
      <w:gridCol w:w="340"/>
      <w:gridCol w:w="340"/>
    </w:tblGrid>
    <w:tr w:rsidR="006F3BC9" w:rsidRPr="00D90FC4" w:rsidTr="00F8110F">
      <w:tc>
        <w:tcPr>
          <w:tcW w:w="3061" w:type="dxa"/>
          <w:vAlign w:val="center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sz w:val="22"/>
              <w:szCs w:val="22"/>
            </w:rPr>
            <w:t>Poznámky</w:t>
          </w:r>
          <w:r>
            <w:rPr>
              <w:sz w:val="22"/>
              <w:szCs w:val="22"/>
            </w:rPr>
            <w:t xml:space="preserve"> (</w:t>
          </w:r>
          <w:proofErr w:type="spellStart"/>
          <w:r w:rsidRPr="00D90FC4">
            <w:rPr>
              <w:sz w:val="22"/>
              <w:szCs w:val="22"/>
            </w:rPr>
            <w:t>Úč</w:t>
          </w:r>
          <w:proofErr w:type="spellEnd"/>
          <w:r w:rsidRPr="00D90FC4">
            <w:rPr>
              <w:sz w:val="22"/>
              <w:szCs w:val="22"/>
            </w:rPr>
            <w:t xml:space="preserve">  NUJ 3 </w:t>
          </w:r>
          <w:r>
            <w:rPr>
              <w:sz w:val="22"/>
              <w:szCs w:val="22"/>
            </w:rPr>
            <w:t>–</w:t>
          </w:r>
          <w:r w:rsidRPr="00D90FC4">
            <w:rPr>
              <w:sz w:val="22"/>
              <w:szCs w:val="22"/>
            </w:rPr>
            <w:t xml:space="preserve"> 01</w:t>
          </w:r>
          <w:r>
            <w:rPr>
              <w:sz w:val="22"/>
              <w:szCs w:val="22"/>
            </w:rPr>
            <w:t>)</w:t>
          </w:r>
        </w:p>
      </w:tc>
      <w:tc>
        <w:tcPr>
          <w:tcW w:w="2665" w:type="dxa"/>
          <w:tcBorders>
            <w:top w:val="nil"/>
            <w:bottom w:val="nil"/>
          </w:tcBorders>
          <w:vAlign w:val="center"/>
        </w:tcPr>
        <w:p w:rsidR="006F3BC9" w:rsidRPr="00D90FC4" w:rsidRDefault="006F3BC9" w:rsidP="00F8110F">
          <w:pPr>
            <w:keepNext/>
            <w:jc w:val="right"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I</w:t>
          </w:r>
          <w:r>
            <w:rPr>
              <w:b/>
              <w:bCs/>
              <w:sz w:val="22"/>
              <w:szCs w:val="22"/>
            </w:rPr>
            <w:t xml:space="preserve">ČO </w:t>
          </w: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5</w:t>
          </w: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7</w:t>
          </w: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>
            <w:rPr>
              <w:b/>
              <w:bCs/>
              <w:sz w:val="22"/>
              <w:szCs w:val="22"/>
            </w:rPr>
            <w:t>0</w:t>
          </w:r>
        </w:p>
      </w:tc>
      <w:tc>
        <w:tcPr>
          <w:tcW w:w="510" w:type="dxa"/>
          <w:tcBorders>
            <w:top w:val="nil"/>
            <w:bottom w:val="nil"/>
          </w:tcBorders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  <w:r w:rsidRPr="00D90FC4">
            <w:rPr>
              <w:b/>
              <w:bCs/>
              <w:sz w:val="22"/>
              <w:szCs w:val="22"/>
            </w:rPr>
            <w:t>/</w:t>
          </w:r>
          <w:r>
            <w:rPr>
              <w:b/>
              <w:bCs/>
              <w:sz w:val="22"/>
              <w:szCs w:val="22"/>
            </w:rPr>
            <w:t>SID</w:t>
          </w: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</w:tcPr>
        <w:p w:rsidR="006F3BC9" w:rsidRPr="00D90FC4" w:rsidRDefault="006F3BC9" w:rsidP="00F8110F">
          <w:pPr>
            <w:keepNext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6F3BC9" w:rsidRDefault="006F3BC9">
    <w:pPr>
      <w:pStyle w:val="Hlavika"/>
    </w:pPr>
  </w:p>
  <w:p w:rsidR="006F3BC9" w:rsidRDefault="006F3BC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58C536F"/>
    <w:multiLevelType w:val="multilevel"/>
    <w:tmpl w:val="67B050AF"/>
    <w:lvl w:ilvl="0">
      <w:numFmt w:val="bullet"/>
      <w:lvlText w:val="·"/>
      <w:lvlJc w:val="left"/>
      <w:pPr>
        <w:tabs>
          <w:tab w:val="num" w:pos="735"/>
        </w:tabs>
        <w:ind w:left="735" w:hanging="360"/>
      </w:pPr>
      <w:rPr>
        <w:rFonts w:ascii="Symbol" w:hAnsi="Symbol" w:cs="Symbol"/>
        <w:sz w:val="20"/>
        <w:szCs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/>
        <w:sz w:val="20"/>
        <w:szCs w:val="20"/>
      </w:rPr>
    </w:lvl>
    <w:lvl w:ilvl="2">
      <w:numFmt w:val="bullet"/>
      <w:lvlText w:val="§"/>
      <w:lvlJc w:val="left"/>
      <w:pPr>
        <w:tabs>
          <w:tab w:val="num" w:pos="2160"/>
        </w:tabs>
        <w:ind w:left="2160" w:hanging="360"/>
      </w:pPr>
      <w:rPr>
        <w:rFonts w:ascii="Wingdings" w:hAnsi="Wingdings" w:cs="Wingdings"/>
        <w:sz w:val="20"/>
        <w:szCs w:val="20"/>
      </w:rPr>
    </w:lvl>
    <w:lvl w:ilvl="3">
      <w:numFmt w:val="bullet"/>
      <w:lvlText w:val="§"/>
      <w:lvlJc w:val="left"/>
      <w:pPr>
        <w:tabs>
          <w:tab w:val="num" w:pos="2880"/>
        </w:tabs>
        <w:ind w:left="2880" w:hanging="360"/>
      </w:pPr>
      <w:rPr>
        <w:rFonts w:ascii="Wingdings" w:hAnsi="Wingdings" w:cs="Wingdings"/>
        <w:sz w:val="20"/>
        <w:szCs w:val="20"/>
      </w:rPr>
    </w:lvl>
    <w:lvl w:ilvl="4">
      <w:numFmt w:val="bullet"/>
      <w:lvlText w:val="§"/>
      <w:lvlJc w:val="left"/>
      <w:pPr>
        <w:tabs>
          <w:tab w:val="num" w:pos="3600"/>
        </w:tabs>
        <w:ind w:left="3600" w:hanging="360"/>
      </w:pPr>
      <w:rPr>
        <w:rFonts w:ascii="Wingdings" w:hAnsi="Wingdings" w:cs="Wingdings"/>
        <w:sz w:val="20"/>
        <w:szCs w:val="20"/>
      </w:rPr>
    </w:lvl>
    <w:lvl w:ilvl="5">
      <w:numFmt w:val="bullet"/>
      <w:lvlText w:val="§"/>
      <w:lvlJc w:val="left"/>
      <w:pPr>
        <w:tabs>
          <w:tab w:val="num" w:pos="4320"/>
        </w:tabs>
        <w:ind w:left="4320" w:hanging="360"/>
      </w:pPr>
      <w:rPr>
        <w:rFonts w:ascii="Wingdings" w:hAnsi="Wingdings" w:cs="Wingdings"/>
        <w:sz w:val="20"/>
        <w:szCs w:val="20"/>
      </w:rPr>
    </w:lvl>
    <w:lvl w:ilvl="6">
      <w:numFmt w:val="bullet"/>
      <w:lvlText w:val="§"/>
      <w:lvlJc w:val="left"/>
      <w:pPr>
        <w:tabs>
          <w:tab w:val="num" w:pos="5040"/>
        </w:tabs>
        <w:ind w:left="5040" w:hanging="360"/>
      </w:pPr>
      <w:rPr>
        <w:rFonts w:ascii="Wingdings" w:hAnsi="Wingdings" w:cs="Wingdings"/>
        <w:sz w:val="20"/>
        <w:szCs w:val="20"/>
      </w:rPr>
    </w:lvl>
    <w:lvl w:ilvl="7">
      <w:numFmt w:val="bullet"/>
      <w:lvlText w:val="§"/>
      <w:lvlJc w:val="left"/>
      <w:pPr>
        <w:tabs>
          <w:tab w:val="num" w:pos="5760"/>
        </w:tabs>
        <w:ind w:left="5760" w:hanging="360"/>
      </w:pPr>
      <w:rPr>
        <w:rFonts w:ascii="Wingdings" w:hAnsi="Wingdings" w:cs="Wingdings"/>
        <w:sz w:val="20"/>
        <w:szCs w:val="20"/>
      </w:rPr>
    </w:lvl>
    <w:lvl w:ilvl="8">
      <w:numFmt w:val="bullet"/>
      <w:lvlText w:val="§"/>
      <w:lvlJc w:val="left"/>
      <w:pPr>
        <w:tabs>
          <w:tab w:val="num" w:pos="6480"/>
        </w:tabs>
        <w:ind w:left="6480" w:hanging="360"/>
      </w:pPr>
      <w:rPr>
        <w:rFonts w:ascii="Wingdings" w:hAnsi="Wingdings" w:cs="Wingdings"/>
        <w:sz w:val="20"/>
        <w:szCs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D61"/>
    <w:rsid w:val="00002AD8"/>
    <w:rsid w:val="001519AA"/>
    <w:rsid w:val="001A23D9"/>
    <w:rsid w:val="002677B1"/>
    <w:rsid w:val="003B53F6"/>
    <w:rsid w:val="004A0D61"/>
    <w:rsid w:val="00625E18"/>
    <w:rsid w:val="006A3CD6"/>
    <w:rsid w:val="006F3BC9"/>
    <w:rsid w:val="00733D26"/>
    <w:rsid w:val="007F7882"/>
    <w:rsid w:val="008C789F"/>
    <w:rsid w:val="00955FCC"/>
    <w:rsid w:val="009772E0"/>
    <w:rsid w:val="009B28DE"/>
    <w:rsid w:val="00A711D3"/>
    <w:rsid w:val="00AA3427"/>
    <w:rsid w:val="00AF25AA"/>
    <w:rsid w:val="00B43DD8"/>
    <w:rsid w:val="00BD7AF6"/>
    <w:rsid w:val="00D30622"/>
    <w:rsid w:val="00DA0471"/>
    <w:rsid w:val="00DF5A9E"/>
    <w:rsid w:val="00F8110F"/>
    <w:rsid w:val="00FC0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D61"/>
  </w:style>
  <w:style w:type="paragraph" w:styleId="Pta">
    <w:name w:val="footer"/>
    <w:basedOn w:val="Normlny"/>
    <w:link w:val="Pt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D61"/>
  </w:style>
  <w:style w:type="paragraph" w:styleId="Textbubliny">
    <w:name w:val="Balloon Text"/>
    <w:basedOn w:val="Normlny"/>
    <w:link w:val="TextbublinyChar"/>
    <w:uiPriority w:val="99"/>
    <w:semiHidden/>
    <w:unhideWhenUsed/>
    <w:rsid w:val="004A0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D6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4A0D6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A0D61"/>
  </w:style>
  <w:style w:type="paragraph" w:styleId="Pta">
    <w:name w:val="footer"/>
    <w:basedOn w:val="Normlny"/>
    <w:link w:val="PtaChar"/>
    <w:uiPriority w:val="99"/>
    <w:unhideWhenUsed/>
    <w:rsid w:val="004A0D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A0D61"/>
  </w:style>
  <w:style w:type="paragraph" w:styleId="Textbubliny">
    <w:name w:val="Balloon Text"/>
    <w:basedOn w:val="Normlny"/>
    <w:link w:val="TextbublinyChar"/>
    <w:uiPriority w:val="99"/>
    <w:semiHidden/>
    <w:unhideWhenUsed/>
    <w:rsid w:val="004A0D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A0D61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4A0D61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CCBDBE-900C-43FD-82C8-707F5FA718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355</TotalTime>
  <Pages>1</Pages>
  <Words>2854</Words>
  <Characters>16272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Oliver</dc:creator>
  <cp:lastModifiedBy>mata</cp:lastModifiedBy>
  <cp:revision>6</cp:revision>
  <dcterms:created xsi:type="dcterms:W3CDTF">2017-03-15T07:36:00Z</dcterms:created>
  <dcterms:modified xsi:type="dcterms:W3CDTF">2017-03-23T14:14:00Z</dcterms:modified>
</cp:coreProperties>
</file>