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lineRule="auto" w:line="240" w:before="0" w:after="120"/>
        <w:jc w:val="center"/>
        <w:rPr/>
      </w:pPr>
      <w:r>
        <w:rPr>
          <w:rFonts w:eastAsia="Calibri" w:cs="Calibri" w:ascii="Calibri" w:hAnsi="Calibri"/>
          <w:b/>
          <w:sz w:val="24"/>
          <w:szCs w:val="24"/>
        </w:rPr>
        <w:t>POZNÁMKY K ÚČTOVNEJ ZÁVIERKE 2016</w:t>
      </w:r>
    </w:p>
    <w:p>
      <w:pPr>
        <w:pStyle w:val="Normal"/>
        <w:spacing w:lineRule="auto" w:line="240"/>
        <w:jc w:val="center"/>
        <w:rPr/>
      </w:pPr>
      <w:r>
        <w:rPr>
          <w:rFonts w:eastAsia="Calibri" w:cs="Calibri" w:ascii="Calibri" w:hAnsi="Calibri"/>
          <w:sz w:val="24"/>
          <w:szCs w:val="24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>
      <w:pPr>
        <w:pStyle w:val="Normal"/>
        <w:spacing w:lineRule="auto" w:line="240"/>
        <w:jc w:val="center"/>
        <w:rPr/>
      </w:pPr>
      <w:r>
        <w:rPr>
          <w:rFonts w:eastAsia="Calibri" w:cs="Calibri" w:ascii="Calibri" w:hAnsi="Calibri"/>
          <w:b/>
          <w:sz w:val="24"/>
          <w:szCs w:val="24"/>
        </w:rPr>
        <w:t>pre malé účtovné jednotky</w:t>
      </w:r>
      <w:r>
        <w:rPr>
          <w:rFonts w:eastAsia="Calibri" w:cs="Calibri" w:ascii="Calibri" w:hAnsi="Calibri"/>
          <w:sz w:val="24"/>
          <w:szCs w:val="24"/>
        </w:rPr>
        <w:t xml:space="preserve"> </w:t>
      </w:r>
    </w:p>
    <w:p>
      <w:pPr>
        <w:pStyle w:val="Normal"/>
        <w:spacing w:lineRule="auto" w:line="240"/>
        <w:rPr/>
      </w:pPr>
      <w:r>
        <w:rPr/>
      </w:r>
    </w:p>
    <w:p>
      <w:pPr>
        <w:pStyle w:val="Normal"/>
        <w:spacing w:lineRule="auto" w:line="240"/>
        <w:jc w:val="center"/>
        <w:rPr/>
      </w:pPr>
      <w:r>
        <w:rPr>
          <w:rFonts w:eastAsia="Calibri" w:cs="Calibri" w:ascii="Calibri" w:hAnsi="Calibri"/>
          <w:b/>
          <w:sz w:val="24"/>
          <w:szCs w:val="24"/>
        </w:rPr>
        <w:t>Článok I – VŠEOBECNÉ INFORMÁCIE</w:t>
      </w:r>
    </w:p>
    <w:p>
      <w:pPr>
        <w:pStyle w:val="Normal"/>
        <w:spacing w:lineRule="auto" w:line="240"/>
        <w:rPr/>
      </w:pPr>
      <w:r>
        <w:rPr/>
      </w:r>
    </w:p>
    <w:p>
      <w:pPr>
        <w:pStyle w:val="Normal"/>
        <w:spacing w:lineRule="auto" w:line="240"/>
        <w:rPr/>
      </w:pPr>
      <w:r>
        <w:rPr>
          <w:rFonts w:eastAsia="Calibri" w:cs="Calibri" w:ascii="Calibri" w:hAnsi="Calibri"/>
          <w:sz w:val="24"/>
          <w:szCs w:val="24"/>
        </w:rPr>
        <w:t>1) Základné informácie o účtovnej jednotke:</w:t>
      </w:r>
    </w:p>
    <w:p>
      <w:pPr>
        <w:pStyle w:val="Normal"/>
        <w:spacing w:lineRule="auto" w:line="240"/>
        <w:rPr/>
      </w:pPr>
      <w:r>
        <w:rPr/>
      </w:r>
    </w:p>
    <w:tbl>
      <w:tblPr>
        <w:tblStyle w:val="a"/>
        <w:tblW w:w="9714" w:type="dxa"/>
        <w:jc w:val="left"/>
        <w:tblInd w:w="-12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835"/>
        <w:gridCol w:w="6878"/>
      </w:tblGrid>
      <w:tr>
        <w:trPr>
          <w:trHeight w:val="340" w:hRule="atLeast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Obchodné meno</w:t>
            </w:r>
          </w:p>
        </w:tc>
        <w:tc>
          <w:tcPr>
            <w:tcW w:w="6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  <w:highlight w:val="white"/>
              </w:rPr>
              <w:t>BELLE, s.r.o.</w:t>
            </w:r>
          </w:p>
        </w:tc>
      </w:tr>
      <w:tr>
        <w:trPr>
          <w:trHeight w:val="380" w:hRule="atLeast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Sídlo:</w:t>
            </w:r>
          </w:p>
        </w:tc>
        <w:tc>
          <w:tcPr>
            <w:tcW w:w="6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  <w:highlight w:val="white"/>
              </w:rPr>
              <w:t>Námestie slobody 1016, 022 01  Čadca</w:t>
            </w:r>
          </w:p>
        </w:tc>
      </w:tr>
      <w:tr>
        <w:trPr>
          <w:trHeight w:val="180" w:hRule="atLeast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Právna forma:</w:t>
            </w:r>
          </w:p>
        </w:tc>
        <w:tc>
          <w:tcPr>
            <w:tcW w:w="6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Spoločnosť s ručením obmedzeným</w:t>
            </w:r>
          </w:p>
        </w:tc>
      </w:tr>
      <w:tr>
        <w:trPr>
          <w:trHeight w:val="220" w:hRule="atLeast"/>
        </w:trPr>
        <w:tc>
          <w:tcPr>
            <w:tcW w:w="2835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  <w:insideH w:val="single" w:sz="4" w:space="0" w:color="000001"/>
              <w:insideV w:val="single" w:sz="8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Dátum vzniku:</w:t>
            </w:r>
          </w:p>
        </w:tc>
        <w:tc>
          <w:tcPr>
            <w:tcW w:w="6878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  <w:insideH w:val="single" w:sz="4" w:space="0" w:color="000001"/>
              <w:insideV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 xml:space="preserve">Zápis do obchodného registra: </w:t>
            </w:r>
            <w:r>
              <w:rPr>
                <w:rFonts w:eastAsia="Calibri" w:cs="Calibri" w:ascii="Calibri" w:hAnsi="Calibri"/>
                <w:sz w:val="24"/>
                <w:szCs w:val="24"/>
                <w:highlight w:val="white"/>
              </w:rPr>
              <w:t>7.12.2013</w:t>
            </w:r>
          </w:p>
        </w:tc>
      </w:tr>
      <w:tr>
        <w:trPr>
          <w:trHeight w:val="260" w:hRule="atLeast"/>
        </w:trPr>
        <w:tc>
          <w:tcPr>
            <w:tcW w:w="2835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  <w:insideH w:val="single" w:sz="4" w:space="0" w:color="000001"/>
              <w:insideV w:val="single" w:sz="8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/>
              <w:ind w:right="1027" w:hanging="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Hlavný predmet podnikania:</w:t>
            </w:r>
          </w:p>
        </w:tc>
        <w:tc>
          <w:tcPr>
            <w:tcW w:w="6878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  <w:insideH w:val="single" w:sz="4" w:space="0" w:color="000001"/>
              <w:insideV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/>
              <w:jc w:val="both"/>
              <w:rPr/>
            </w:pPr>
            <w:bookmarkStart w:id="0" w:name="_GoBack"/>
            <w:bookmarkEnd w:id="0"/>
            <w:r>
              <w:rPr>
                <w:rFonts w:eastAsia="Calibri" w:cs="Calibri" w:ascii="Calibri" w:hAnsi="Calibri"/>
                <w:sz w:val="24"/>
                <w:szCs w:val="24"/>
              </w:rPr>
              <w:t>Maloobchodná čínnosť</w:t>
            </w:r>
          </w:p>
        </w:tc>
      </w:tr>
      <w:tr>
        <w:trPr>
          <w:trHeight w:val="520" w:hRule="atLeast"/>
        </w:trPr>
        <w:tc>
          <w:tcPr>
            <w:tcW w:w="2835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  <w:insideH w:val="single" w:sz="4" w:space="0" w:color="000001"/>
              <w:insideV w:val="single" w:sz="8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Subjekt verejného záujmu:</w:t>
            </w:r>
          </w:p>
        </w:tc>
        <w:tc>
          <w:tcPr>
            <w:tcW w:w="6878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  <w:insideH w:val="single" w:sz="4" w:space="0" w:color="000001"/>
              <w:insideV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Spoločnosť  nie je subjektom verejného záujmu (§ 2/14 ZoU).</w:t>
            </w:r>
          </w:p>
        </w:tc>
      </w:tr>
      <w:tr>
        <w:trPr>
          <w:trHeight w:val="300" w:hRule="atLeast"/>
        </w:trPr>
        <w:tc>
          <w:tcPr>
            <w:tcW w:w="2835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5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Účtovné obdobie:</w:t>
            </w:r>
          </w:p>
        </w:tc>
        <w:tc>
          <w:tcPr>
            <w:tcW w:w="6878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Kalendárny rok 2016</w:t>
            </w:r>
          </w:p>
        </w:tc>
      </w:tr>
    </w:tbl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rFonts w:eastAsia="Calibri" w:cs="Calibri" w:ascii="Calibri" w:hAnsi="Calibri"/>
          <w:sz w:val="24"/>
          <w:szCs w:val="24"/>
        </w:rPr>
        <w:t>UJ bola v účtovnom období roku 2014, 2015 – malá účtovná jednotka, ale nespĺňa zákonom stanovené požiadavky, takže bola v roku 2016 preradená do mikro účtovnej jednotky.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rFonts w:eastAsia="Calibri" w:cs="Calibri" w:ascii="Calibri" w:hAnsi="Calibri"/>
          <w:sz w:val="24"/>
          <w:szCs w:val="24"/>
        </w:rPr>
        <w:t xml:space="preserve">2) Dátum schválenia účtovnej závierky za bezprostredne predchádzajúce účtovné obdobie príslušným orgánom účtovnej jednotky: </w:t>
      </w:r>
      <w:r>
        <w:rPr>
          <w:rFonts w:eastAsia="Calibri" w:cs="Calibri" w:ascii="Calibri" w:hAnsi="Calibri"/>
          <w:sz w:val="24"/>
          <w:szCs w:val="24"/>
        </w:rPr>
        <w:t>2</w:t>
      </w:r>
      <w:r>
        <w:rPr>
          <w:rFonts w:eastAsia="Calibri" w:cs="Calibri" w:ascii="Calibri" w:hAnsi="Calibri"/>
          <w:sz w:val="24"/>
          <w:szCs w:val="24"/>
        </w:rPr>
        <w:t>8.3.2017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Calibri" w:cs="Calibri" w:ascii="Calibri" w:hAnsi="Calibri"/>
          <w:sz w:val="24"/>
          <w:szCs w:val="24"/>
        </w:rPr>
        <w:t xml:space="preserve"> </w:t>
      </w:r>
    </w:p>
    <w:p>
      <w:pPr>
        <w:pStyle w:val="Normal"/>
        <w:widowControl w:val="false"/>
        <w:spacing w:lineRule="auto" w:line="240"/>
        <w:rPr/>
      </w:pPr>
      <w:r>
        <w:rPr>
          <w:rFonts w:eastAsia="Calibri" w:cs="Calibri" w:ascii="Calibri" w:hAnsi="Calibri"/>
          <w:sz w:val="24"/>
          <w:szCs w:val="24"/>
        </w:rPr>
        <w:t>3) Právny dôvod na zostavenie účtovnej závierky: Účtovná závierka Spoločnosti k 31.12.2016je zostavená ako riadna účtovná závierka podľa §17 ods. 6 Zákona č. 431/2002 Z.z. o účtovníctve za účtovné obdobie od 01. januára 2016 do 31. decembra 2016</w:t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rFonts w:eastAsia="Calibri" w:cs="Calibri" w:ascii="Calibri" w:hAnsi="Calibri"/>
          <w:sz w:val="24"/>
          <w:szCs w:val="24"/>
        </w:rPr>
        <w:t>4) ÚJ nie je v skupine účtovných jednotiek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Calibri" w:cs="Calibri" w:ascii="Calibri" w:hAnsi="Calibri"/>
          <w:sz w:val="24"/>
          <w:szCs w:val="24"/>
        </w:rPr>
        <w:t>5) Priemerný prepočítaný počet zamestnancov účtovnej jednotky:</w:t>
      </w:r>
    </w:p>
    <w:tbl>
      <w:tblPr>
        <w:tblStyle w:val="a0"/>
        <w:tblW w:w="9747" w:type="dxa"/>
        <w:jc w:val="left"/>
        <w:tblInd w:w="-12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854"/>
        <w:gridCol w:w="2522"/>
        <w:gridCol w:w="2371"/>
      </w:tblGrid>
      <w:tr>
        <w:trPr>
          <w:trHeight w:val="520" w:hRule="atLeast"/>
        </w:trPr>
        <w:tc>
          <w:tcPr>
            <w:tcW w:w="4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ind w:right="459" w:hanging="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25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>
        <w:trPr>
          <w:trHeight w:val="160" w:hRule="atLeast"/>
        </w:trPr>
        <w:tc>
          <w:tcPr>
            <w:tcW w:w="4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Priemerný prepočítaný počet počas účtovného obdobia</w:t>
            </w:r>
          </w:p>
        </w:tc>
        <w:tc>
          <w:tcPr>
            <w:tcW w:w="25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</w:t>
            </w:r>
          </w:p>
        </w:tc>
        <w:tc>
          <w:tcPr>
            <w:tcW w:w="2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</w:t>
            </w:r>
          </w:p>
        </w:tc>
      </w:tr>
    </w:tbl>
    <w:p>
      <w:pPr>
        <w:pStyle w:val="Normal"/>
        <w:spacing w:lineRule="auto" w:line="240"/>
        <w:ind w:left="928" w:right="0" w:hanging="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center"/>
        <w:rPr/>
      </w:pPr>
      <w:r>
        <w:rPr>
          <w:rFonts w:eastAsia="Calibri" w:cs="Calibri" w:ascii="Calibri" w:hAnsi="Calibri"/>
          <w:b/>
          <w:sz w:val="24"/>
          <w:szCs w:val="24"/>
        </w:rPr>
        <w:t>Článok II – INFORMÁCIE O ORGÁNOCH SPOLOČNOSTI</w:t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Calibri" w:cs="Calibri" w:ascii="Calibri" w:hAnsi="Calibri"/>
          <w:b/>
          <w:sz w:val="24"/>
          <w:szCs w:val="24"/>
        </w:rPr>
        <w:t>Informácie o orgánoch účtovnej jednotky</w:t>
      </w:r>
      <w:r>
        <w:rPr>
          <w:rFonts w:eastAsia="Calibri" w:cs="Calibri" w:ascii="Calibri" w:hAnsi="Calibri"/>
          <w:sz w:val="24"/>
          <w:szCs w:val="24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Style w:val="a1"/>
        <w:tblW w:w="9817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969"/>
        <w:gridCol w:w="2488"/>
        <w:gridCol w:w="2360"/>
      </w:tblGrid>
      <w:tr>
        <w:trPr>
          <w:trHeight w:val="860" w:hRule="atLeast"/>
        </w:trPr>
        <w:tc>
          <w:tcPr>
            <w:tcW w:w="4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Orgány účtovnej jednotky</w:t>
            </w:r>
          </w:p>
        </w:tc>
        <w:tc>
          <w:tcPr>
            <w:tcW w:w="2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>
        <w:trPr>
          <w:trHeight w:val="240" w:hRule="atLeast"/>
        </w:trPr>
        <w:tc>
          <w:tcPr>
            <w:tcW w:w="4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Štatutárny orgán/Spoločník</w:t>
            </w:r>
          </w:p>
        </w:tc>
        <w:tc>
          <w:tcPr>
            <w:tcW w:w="2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Škorvánek Ľubomír</w:t>
            </w:r>
          </w:p>
        </w:tc>
        <w:tc>
          <w:tcPr>
            <w:tcW w:w="2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Škorvánek Ľubomír</w:t>
            </w:r>
          </w:p>
        </w:tc>
      </w:tr>
      <w:tr>
        <w:trPr>
          <w:trHeight w:val="240" w:hRule="atLeast"/>
        </w:trPr>
        <w:tc>
          <w:tcPr>
            <w:tcW w:w="4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40"/>
              <w:ind w:left="720" w:hanging="360"/>
              <w:rPr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</w:tr>
      <w:tr>
        <w:trPr>
          <w:trHeight w:val="140" w:hRule="atLeast"/>
        </w:trPr>
        <w:tc>
          <w:tcPr>
            <w:tcW w:w="4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40"/>
              <w:ind w:left="720" w:hanging="360"/>
              <w:rPr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 </w:t>
            </w:r>
          </w:p>
        </w:tc>
      </w:tr>
      <w:tr>
        <w:trPr>
          <w:trHeight w:val="160" w:hRule="atLeast"/>
        </w:trPr>
        <w:tc>
          <w:tcPr>
            <w:tcW w:w="4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Spoločník</w:t>
            </w:r>
          </w:p>
        </w:tc>
        <w:tc>
          <w:tcPr>
            <w:tcW w:w="2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</w:tr>
      <w:tr>
        <w:trPr>
          <w:trHeight w:val="160" w:hRule="atLeast"/>
        </w:trPr>
        <w:tc>
          <w:tcPr>
            <w:tcW w:w="4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40"/>
              <w:ind w:left="720" w:hanging="360"/>
              <w:rPr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</w:tr>
      <w:tr>
        <w:trPr>
          <w:trHeight w:val="160" w:hRule="atLeast"/>
        </w:trPr>
        <w:tc>
          <w:tcPr>
            <w:tcW w:w="4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40"/>
              <w:ind w:left="720" w:hanging="360"/>
              <w:rPr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</w:tr>
      <w:tr>
        <w:trPr>
          <w:trHeight w:val="160" w:hRule="atLeast"/>
        </w:trPr>
        <w:tc>
          <w:tcPr>
            <w:tcW w:w="4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ind w:left="720" w:hanging="0"/>
              <w:rPr/>
            </w:pPr>
            <w:r>
              <w:rPr/>
            </w:r>
          </w:p>
        </w:tc>
        <w:tc>
          <w:tcPr>
            <w:tcW w:w="2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/>
            </w:r>
          </w:p>
        </w:tc>
      </w:tr>
    </w:tbl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center"/>
        <w:rPr/>
      </w:pPr>
      <w:r>
        <w:rPr>
          <w:rFonts w:eastAsia="Calibri" w:cs="Calibri" w:ascii="Calibri" w:hAnsi="Calibri"/>
          <w:b/>
          <w:sz w:val="24"/>
          <w:szCs w:val="24"/>
        </w:rPr>
        <w:t>Článok III – INFORMÁCIE O PRIJATÝCH POSTUPOCH</w:t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1) Účtovná závierka je zostavená za splnenia predpokladu, že ÚJ bude nepretržite pokračovať vo svojej činnosti minimálne 12 mesiacov po závierkovom dni v zmysle § 7 ods. 4 zákona o účtovníctve.</w:t>
      </w:r>
    </w:p>
    <w:p>
      <w:pPr>
        <w:pStyle w:val="Normal"/>
        <w:spacing w:lineRule="auto" w:line="24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 xml:space="preserve"> </w:t>
      </w:r>
    </w:p>
    <w:p>
      <w:pPr>
        <w:pStyle w:val="Normal"/>
        <w:spacing w:lineRule="auto" w:line="24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2) Účtovné metódy vychádzajúce z interných smerníc spoločnosti a všeobecné účtovné zásady boli účtovnou jednotkou konzistentne aplikované</w:t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3) ÚJ neeviduje žiadne transakcie, ktoré sa neuvádzajú v súvahe.</w:t>
      </w:r>
    </w:p>
    <w:p>
      <w:pPr>
        <w:pStyle w:val="Normal"/>
        <w:spacing w:lineRule="auto" w:line="24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ab/>
        <w:tab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4) Spôsob a určenie oceňovania majetku a záväzkov (vrátane rozhodujúcich odhadov):</w:t>
      </w:r>
    </w:p>
    <w:p>
      <w:pPr>
        <w:pStyle w:val="Normal"/>
        <w:spacing w:lineRule="auto" w:line="24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a) Spôsob oceňovania majetku a záväzkov (§ 25 ZoU):</w:t>
      </w:r>
    </w:p>
    <w:p>
      <w:pPr>
        <w:pStyle w:val="Normal"/>
        <w:widowControl w:val="false"/>
        <w:tabs>
          <w:tab w:val="left" w:pos="808" w:leader="none"/>
        </w:tabs>
        <w:spacing w:lineRule="auto" w:line="240"/>
        <w:jc w:val="both"/>
        <w:rPr/>
      </w:pPr>
      <w:r>
        <w:rPr/>
      </w:r>
    </w:p>
    <w:tbl>
      <w:tblPr>
        <w:tblStyle w:val="a2"/>
        <w:tblW w:w="9606" w:type="dxa"/>
        <w:jc w:val="left"/>
        <w:tblInd w:w="-12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6"/>
        <w:gridCol w:w="5300"/>
        <w:gridCol w:w="3600"/>
      </w:tblGrid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Spôsob oceňovania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Dlhodobý nehmotný majetok externe kúpený: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Dlhodobý nehmotný majetok interne vytvorený: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Vlastné náklady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Reprodukčná 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Dlhodobý hmotný majetok interne vytvorený: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Vlastné náklady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Reprodukčná 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Zásoby obstarané kúpou: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Zásoby vytvorené vlastnou činnosťou: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Vlastné náklady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Zásoby obstarané inak (darom):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Reprodukčná 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Vlastné pohľadávky: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Kúpené pohľadávky: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Krátkodobý finančný majetok: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Deriváty: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18.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 xml:space="preserve">Majetok a záväzky zabezpečené derivátmi: 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19.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Splatná daň z príjmov a odložená daň z príjmov:</w:t>
            </w:r>
          </w:p>
        </w:tc>
        <w:tc>
          <w:tcPr>
            <w:tcW w:w="3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widowControl w:val="false"/>
              <w:tabs>
                <w:tab w:val="left" w:pos="808" w:leader="none"/>
              </w:tabs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Menovitá hodnota</w:t>
            </w:r>
          </w:p>
        </w:tc>
      </w:tr>
    </w:tbl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Calibri" w:cs="Calibri" w:ascii="Calibri" w:hAnsi="Calibri"/>
          <w:sz w:val="24"/>
          <w:szCs w:val="24"/>
        </w:rPr>
        <w:t xml:space="preserve">b) Trvalé zníženie hodnoty majetku nebolo účtované. </w:t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Calibri" w:cs="Calibri" w:ascii="Calibri" w:hAnsi="Calibri"/>
          <w:sz w:val="24"/>
          <w:szCs w:val="24"/>
        </w:rPr>
        <w:t xml:space="preserve">c) Záväzky účtovná jednotka ocenila menovitou hodnotou záväzkov. </w:t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Calibri" w:cs="Calibri" w:ascii="Calibri" w:hAnsi="Calibri"/>
          <w:sz w:val="24"/>
          <w:szCs w:val="24"/>
        </w:rPr>
        <w:t>d) Účtovná jednotka nepoužila dobrovoľné oceňovanie obchodných podielov metódou vlastného imania (§ 27/9 ZoU).</w:t>
      </w:r>
    </w:p>
    <w:p>
      <w:pPr>
        <w:pStyle w:val="Normal"/>
        <w:keepNext/>
        <w:tabs>
          <w:tab w:val="left" w:pos="1005" w:leader="none"/>
        </w:tabs>
        <w:spacing w:lineRule="auto" w:line="240" w:before="0" w:after="120"/>
        <w:jc w:val="both"/>
        <w:rPr/>
      </w:pPr>
      <w:r>
        <w:rPr/>
      </w:r>
    </w:p>
    <w:p>
      <w:pPr>
        <w:pStyle w:val="Normal"/>
        <w:keepNext/>
        <w:tabs>
          <w:tab w:val="left" w:pos="1005" w:leader="none"/>
        </w:tabs>
        <w:spacing w:lineRule="auto" w:line="240" w:before="0" w:after="120"/>
        <w:jc w:val="both"/>
        <w:rPr/>
      </w:pPr>
      <w:r>
        <w:rPr>
          <w:rFonts w:eastAsia="Calibri" w:cs="Calibri" w:ascii="Calibri" w:hAnsi="Calibri"/>
          <w:sz w:val="24"/>
          <w:szCs w:val="24"/>
        </w:rPr>
        <w:t>f) Tvorba odpisového plánu pre dlhodobý majetok, pričom sa uvádza doba odpisovania, sadzby odpisov a odpisové metódy pre účtovné odpisy:</w:t>
      </w:r>
    </w:p>
    <w:tbl>
      <w:tblPr>
        <w:tblStyle w:val="a3"/>
        <w:tblW w:w="9606" w:type="dxa"/>
        <w:jc w:val="left"/>
        <w:tblInd w:w="-12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7"/>
        <w:gridCol w:w="1014"/>
        <w:gridCol w:w="2107"/>
        <w:gridCol w:w="2267"/>
      </w:tblGrid>
      <w:tr>
        <w:trPr/>
        <w:tc>
          <w:tcPr>
            <w:tcW w:w="4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Dlhodobý hmotný a nehmotný</w:t>
            </w:r>
          </w:p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odpisovaný majetok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číslo</w:t>
            </w:r>
          </w:p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doba odpisovania</w:t>
            </w:r>
          </w:p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(počet rokov)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 xml:space="preserve">odpisová sadzba </w:t>
            </w:r>
          </w:p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(%)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Software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013</w:t>
            </w:r>
          </w:p>
        </w:tc>
        <w:tc>
          <w:tcPr>
            <w:tcW w:w="2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25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 xml:space="preserve">Ostatný DNM 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019</w:t>
            </w:r>
          </w:p>
        </w:tc>
        <w:tc>
          <w:tcPr>
            <w:tcW w:w="2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25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Stavby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021</w:t>
            </w:r>
          </w:p>
        </w:tc>
        <w:tc>
          <w:tcPr>
            <w:tcW w:w="2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20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Počítače s príslušenstvom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25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Dopravné prostriedky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022</w:t>
            </w:r>
          </w:p>
        </w:tc>
        <w:tc>
          <w:tcPr>
            <w:tcW w:w="2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25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Ostatné stroje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25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Ostatný dlhodobý hmotný majetok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022</w:t>
            </w:r>
          </w:p>
        </w:tc>
        <w:tc>
          <w:tcPr>
            <w:tcW w:w="2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25</w:t>
            </w:r>
          </w:p>
        </w:tc>
      </w:tr>
    </w:tbl>
    <w:p>
      <w:pPr>
        <w:pStyle w:val="Normal"/>
        <w:spacing w:lineRule="auto" w:line="240"/>
        <w:jc w:val="both"/>
        <w:rPr/>
      </w:pPr>
      <w:r>
        <w:rPr>
          <w:rFonts w:eastAsia="Calibri" w:cs="Calibri" w:ascii="Calibri" w:hAnsi="Calibri"/>
          <w:sz w:val="24"/>
          <w:szCs w:val="24"/>
        </w:rPr>
        <w:t xml:space="preserve"> </w:t>
      </w:r>
    </w:p>
    <w:p>
      <w:pPr>
        <w:pStyle w:val="Normal"/>
        <w:spacing w:lineRule="auto" w:line="240" w:before="0" w:after="120"/>
        <w:rPr/>
      </w:pPr>
      <w:r>
        <w:rPr>
          <w:rFonts w:eastAsia="Calibri" w:cs="Calibri" w:ascii="Calibri" w:hAnsi="Calibri"/>
          <w:sz w:val="24"/>
          <w:szCs w:val="24"/>
        </w:rPr>
        <w:t xml:space="preserve">Komentár k odpisovému plánu: </w:t>
      </w:r>
    </w:p>
    <w:p>
      <w:pPr>
        <w:pStyle w:val="Normal"/>
        <w:numPr>
          <w:ilvl w:val="0"/>
          <w:numId w:val="2"/>
        </w:numPr>
        <w:spacing w:lineRule="auto" w:line="240" w:before="0" w:after="120"/>
        <w:ind w:left="227" w:hanging="227"/>
        <w:jc w:val="both"/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UJ používa účtovné odpisy nezávisle na daňových odpisoch. Majetok sa začína odpisovať v mesiaci, kedy bol zaradený do užívania. Účtovné odpisy vychádzajú z predpokladanej doby používania majetku. Dlhodobý nehmotný majetok sa odpisuje počas 4 rokov od jeho obstarania.</w:t>
      </w:r>
    </w:p>
    <w:p>
      <w:pPr>
        <w:pStyle w:val="Normal"/>
        <w:numPr>
          <w:ilvl w:val="0"/>
          <w:numId w:val="2"/>
        </w:numPr>
        <w:spacing w:lineRule="auto" w:line="240" w:before="0" w:after="120"/>
        <w:ind w:left="227" w:hanging="227"/>
        <w:jc w:val="both"/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UJ používa rovnomerné odpisovanie dlhodobého hmotného majetku a dlhodobého nehmotného majetku. Podrobný účtovný odpisový plán po položkách sa vedie v podsystéme Majetok (taktiež daňové odpisy podľa zákona o dani z príjmov).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ind w:left="227" w:hanging="227"/>
        <w:jc w:val="both"/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UJ odpisuje jednotlivé veci alebo relevantné súbory hnuteľných vecí (napr. počítačová sieť, nábytková zostava). UJ nepoužíva komponentné odpisovanie (odpisovanie častí majetku - komponentov).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ind w:left="227" w:hanging="227"/>
        <w:jc w:val="both"/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UJ nepoužila jednorazový odpis</w:t>
      </w:r>
      <w:r>
        <w:rPr>
          <w:rFonts w:eastAsia="Calibri" w:cs="Calibri" w:ascii="Calibri" w:hAnsi="Calibri"/>
          <w:b/>
          <w:sz w:val="24"/>
          <w:szCs w:val="24"/>
        </w:rPr>
        <w:t xml:space="preserve"> </w:t>
      </w:r>
      <w:r>
        <w:rPr>
          <w:rFonts w:eastAsia="Calibri" w:cs="Calibri" w:ascii="Calibri" w:hAnsi="Calibri"/>
          <w:sz w:val="24"/>
          <w:szCs w:val="24"/>
        </w:rPr>
        <w:t>dlhodobého majetku z dôvodu jednorazového trvalého zníženia hodnoty majetku (§ 21/5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ind w:left="227" w:hanging="227"/>
        <w:jc w:val="both"/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ÚJ nepoužíva kategóriu drobného dlhodobého nehmotného majetku - položky pod 2 400 eur jednotkovej ceny so životnosťou nad jeden rok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ind w:left="227" w:hanging="227"/>
        <w:jc w:val="both"/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ÚJ nepoužíva kategóriu drobného dlhodobého hmotného majetku - položky pod 1 700 eur jednotkovej ceny so životnosťou nad jeden rok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ind w:left="227" w:hanging="227"/>
        <w:jc w:val="both"/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ÚJ nepoužíva dobrovoľné účtovanie podlimitného technického zhodnotenia do odpisovaného dlhodobého majetku – technické zhodnotenie pod 1 700 eur za účtovné obdobie (§ 21/3 PU; § 29/2 ZDP).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ind w:left="360" w:hanging="360"/>
        <w:jc w:val="both"/>
        <w:rPr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ÚJ nepoužíva dobrovoľnú kapitalizáciu úrokov do obstarávacej ceny odpisovaného dlhodobého hmotného majetku alebo dlhodobého nehmotného majetku (§ 34/1 PU; § 35/2/h PU).</w:t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/>
        <w:rPr/>
      </w:pPr>
      <w:r>
        <w:rPr>
          <w:rFonts w:eastAsia="Calibri" w:cs="Calibri" w:ascii="Calibri" w:hAnsi="Calibri"/>
          <w:sz w:val="24"/>
          <w:szCs w:val="24"/>
        </w:rPr>
        <w:t>g) ÚJ neboli v zdaňovacom období roku 2016 poskytnuté žiadne dotácie</w:t>
      </w:r>
    </w:p>
    <w:p>
      <w:pPr>
        <w:pStyle w:val="Normal"/>
        <w:keepNext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/>
        <w:rPr/>
      </w:pPr>
      <w:r>
        <w:rPr>
          <w:rFonts w:eastAsia="Calibri" w:cs="Calibri" w:ascii="Calibri" w:hAnsi="Calibri"/>
          <w:sz w:val="24"/>
          <w:szCs w:val="24"/>
        </w:rPr>
        <w:t>5) ÚJ v zdaňovacom období roku 2016 nevykonala žiadne opravy významných chýb.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center"/>
        <w:rPr/>
      </w:pPr>
      <w:r>
        <w:rPr>
          <w:rFonts w:eastAsia="Calibri" w:cs="Calibri" w:ascii="Calibri" w:hAnsi="Calibri"/>
          <w:b/>
          <w:sz w:val="24"/>
          <w:szCs w:val="24"/>
        </w:rPr>
        <w:t>Článok IV – INFORMÁCIE, KTORÉ VYSVETĽUJÚ A DOPĹŇAJÚ SÚVAHU A VÝKAZ ZISKOV A STRÁT</w:t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1) ÚJ neeviduje žiadne položky nehmotného majetku.</w:t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2) ÚJ neeviduje žiadne položky významných derivátov, majetku a záväzkoch zabezpečených derivátmi.</w:t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 xml:space="preserve">3a) ÚJ neeviduje žiadne položky zabezpečených záväzkov so zostatkovou dobou splatnosti dlhšou </w:t>
        <w:tab/>
        <w:tab/>
        <w:tab/>
        <w:tab/>
        <w:tab/>
        <w:t xml:space="preserve"> ako 5 rokov:  </w:t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/>
      </w:r>
    </w:p>
    <w:tbl>
      <w:tblPr>
        <w:tblStyle w:val="a4"/>
        <w:tblW w:w="9714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85"/>
        <w:gridCol w:w="2551"/>
        <w:gridCol w:w="2378"/>
      </w:tblGrid>
      <w:tr>
        <w:trPr>
          <w:trHeight w:val="680" w:hRule="atLeast"/>
        </w:trPr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Názov položky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>
        <w:trPr>
          <w:trHeight w:val="200" w:hRule="atLeast"/>
        </w:trPr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Záväzky so zostatkovou dobou splatnosti nad 5 rokov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0</w:t>
            </w:r>
          </w:p>
        </w:tc>
        <w:tc>
          <w:tcPr>
            <w:tcW w:w="2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Calibri" w:ascii="Calibri" w:hAnsi="Calibri"/>
                <w:sz w:val="24"/>
                <w:szCs w:val="24"/>
              </w:rPr>
              <w:t>0</w:t>
            </w:r>
          </w:p>
        </w:tc>
      </w:tr>
    </w:tbl>
    <w:p>
      <w:pPr>
        <w:pStyle w:val="Normal"/>
        <w:spacing w:lineRule="auto" w:line="240" w:before="120" w:after="0"/>
        <w:ind w:right="0" w:hanging="0"/>
        <w:jc w:val="both"/>
        <w:rPr/>
      </w:pPr>
      <w:r>
        <w:rPr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3b) ÚJ neeviduje žiadne položky zabezpečených záväzkov.</w:t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4) ÚJ neeviduje žiadne vlastné akcie.</w:t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rFonts w:eastAsia="Calibri" w:cs="Calibri" w:ascii="Calibri" w:hAnsi="Calibri"/>
          <w:sz w:val="24"/>
          <w:szCs w:val="24"/>
        </w:rPr>
        <w:t>5) ÚJ neeviduje žiadne položky nákladov alebo výnosov, ktoré majú výnimočný rozsah alebo výskyt.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/>
      </w:r>
    </w:p>
    <w:p>
      <w:pPr>
        <w:pStyle w:val="Normal"/>
        <w:spacing w:lineRule="auto" w:line="240" w:before="0" w:after="120"/>
        <w:ind w:right="0" w:hanging="0"/>
        <w:jc w:val="center"/>
        <w:rPr/>
      </w:pPr>
      <w:r>
        <w:rPr>
          <w:rFonts w:eastAsia="Calibri" w:cs="Calibri" w:ascii="Calibri" w:hAnsi="Calibri"/>
          <w:b/>
          <w:sz w:val="24"/>
          <w:szCs w:val="24"/>
        </w:rPr>
        <w:t>Článok V – INFORMÁCIE O INÝCH AKTÍVACH A INÝCH PASÍVACH</w:t>
      </w:r>
    </w:p>
    <w:p>
      <w:pPr>
        <w:pStyle w:val="Normal"/>
        <w:spacing w:lineRule="auto" w:line="240" w:before="0" w:after="120"/>
        <w:ind w:right="0" w:hanging="0"/>
        <w:jc w:val="center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rFonts w:eastAsia="Calibri" w:cs="Calibri" w:ascii="Calibri" w:hAnsi="Calibri"/>
          <w:sz w:val="24"/>
          <w:szCs w:val="24"/>
        </w:rPr>
        <w:t>1a) ÚJ neeviduje žiadne položky podmieneného majetku.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rFonts w:eastAsia="Calibri" w:cs="Calibri" w:ascii="Calibri" w:hAnsi="Calibri"/>
          <w:sz w:val="24"/>
          <w:szCs w:val="24"/>
        </w:rPr>
        <w:t>1b) ÚJ neeviduje žiadne položky podmienených záväzkov.</w:t>
      </w:r>
    </w:p>
    <w:p>
      <w:pPr>
        <w:pStyle w:val="Normal"/>
        <w:spacing w:lineRule="auto" w:line="240" w:before="0" w:after="12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rFonts w:eastAsia="Calibri" w:cs="Calibri" w:ascii="Calibri" w:hAnsi="Calibri"/>
          <w:sz w:val="24"/>
          <w:szCs w:val="24"/>
        </w:rPr>
        <w:t>2) ÚJ neeviduje žiadne ostatné finančné povinnosti, ktoré a nevykazujú v účtovných výkazoch.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Calibri" w:cs="Calibri" w:ascii="Calibri" w:hAnsi="Calibri"/>
          <w:sz w:val="24"/>
          <w:szCs w:val="24"/>
        </w:rPr>
        <w:t>3 V účtovníctve ÚJ sa nenachádzajú žiadne položky evidované na podsúvahových účtoch.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center"/>
        <w:rPr/>
      </w:pPr>
      <w:r>
        <w:rPr/>
      </w:r>
    </w:p>
    <w:p>
      <w:pPr>
        <w:pStyle w:val="Normal"/>
        <w:spacing w:lineRule="auto" w:line="240"/>
        <w:ind w:right="0" w:hanging="0"/>
        <w:jc w:val="center"/>
        <w:rPr/>
      </w:pPr>
      <w:r>
        <w:rPr>
          <w:rFonts w:eastAsia="Calibri" w:cs="Calibri" w:ascii="Calibri" w:hAnsi="Calibri"/>
          <w:b/>
          <w:sz w:val="24"/>
          <w:szCs w:val="24"/>
        </w:rPr>
        <w:t>Článok VI – UDALOSTI, KTORÉ NASTALI PO ZÁVIERKOVOM DNI</w:t>
      </w:r>
    </w:p>
    <w:p>
      <w:pPr>
        <w:pStyle w:val="Normal"/>
        <w:spacing w:lineRule="auto" w:line="240"/>
        <w:ind w:right="0" w:hanging="0"/>
        <w:jc w:val="center"/>
        <w:rPr/>
      </w:pPr>
      <w:r>
        <w:rPr>
          <w:rFonts w:eastAsia="Calibri" w:cs="Calibri" w:ascii="Calibri" w:hAnsi="Calibri"/>
          <w:b/>
          <w:sz w:val="24"/>
          <w:szCs w:val="24"/>
        </w:rPr>
        <w:t>(Následné udalosti)</w:t>
      </w:r>
    </w:p>
    <w:p>
      <w:pPr>
        <w:pStyle w:val="Normal"/>
        <w:spacing w:lineRule="auto" w:line="240"/>
        <w:ind w:right="0" w:hanging="0"/>
        <w:jc w:val="center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>
          <w:rFonts w:eastAsia="Calibri" w:cs="Calibri" w:ascii="Calibri" w:hAnsi="Calibri"/>
          <w:sz w:val="24"/>
          <w:szCs w:val="24"/>
        </w:rPr>
        <w:t>ÚJ neeviduje žiadne udalosti, ktoré nastali po závierkovom dni.</w:t>
      </w:r>
    </w:p>
    <w:p>
      <w:pPr>
        <w:pStyle w:val="Normal"/>
        <w:spacing w:lineRule="auto" w:line="240"/>
        <w:ind w:right="0" w:hanging="0"/>
        <w:jc w:val="center"/>
        <w:rPr/>
      </w:pPr>
      <w:r>
        <w:rPr/>
      </w:r>
    </w:p>
    <w:p>
      <w:pPr>
        <w:pStyle w:val="Normal"/>
        <w:spacing w:lineRule="auto" w:line="240"/>
        <w:ind w:right="0" w:hanging="0"/>
        <w:jc w:val="center"/>
        <w:rPr/>
      </w:pPr>
      <w:r>
        <w:rPr/>
      </w:r>
    </w:p>
    <w:p>
      <w:pPr>
        <w:pStyle w:val="Normal"/>
        <w:spacing w:lineRule="auto" w:line="240"/>
        <w:ind w:right="0" w:hanging="0"/>
        <w:jc w:val="center"/>
        <w:rPr/>
      </w:pPr>
      <w:r>
        <w:rPr>
          <w:rFonts w:eastAsia="Calibri" w:cs="Calibri" w:ascii="Calibri" w:hAnsi="Calibri"/>
          <w:b/>
          <w:sz w:val="24"/>
          <w:szCs w:val="24"/>
        </w:rPr>
        <w:t>Článok VII – OSTATNÉ INFORMÁCIE</w:t>
      </w:r>
    </w:p>
    <w:p>
      <w:pPr>
        <w:pStyle w:val="Normal"/>
        <w:spacing w:lineRule="auto" w:line="240"/>
        <w:ind w:right="0" w:hanging="0"/>
        <w:jc w:val="both"/>
        <w:rPr/>
      </w:pPr>
      <w:r>
        <w:rPr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1) ÚJ nemá žiadne právo poskytovať služby vo verejnom záujme.</w:t>
        <w:tab/>
        <w:tab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2) ÚJ nemá žiadnu priemyselnú výrobu. (§ 23d/6 ZoU)</w:t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ab/>
        <w:tab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3) ÚJ nemá žiadne finančné vzťahy s orgánmi verejnej moci. (§ 23d/6 ZoU)</w:t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/>
      </w:r>
    </w:p>
    <w:p>
      <w:pPr>
        <w:pStyle w:val="Normal"/>
        <w:spacing w:lineRule="auto" w:line="240" w:before="0" w:after="120"/>
        <w:rPr/>
      </w:pPr>
      <w:r>
        <w:rPr/>
      </w:r>
    </w:p>
    <w:p>
      <w:pPr>
        <w:pStyle w:val="Normal"/>
        <w:spacing w:lineRule="auto" w:line="240" w:before="0" w:after="120"/>
        <w:ind w:right="0" w:hanging="0"/>
        <w:jc w:val="both"/>
        <w:rPr/>
      </w:pPr>
      <w:r>
        <w:rPr>
          <w:rFonts w:eastAsia="Calibri" w:cs="Calibri" w:ascii="Calibri" w:hAnsi="Calibri"/>
          <w:sz w:val="24"/>
          <w:szCs w:val="24"/>
        </w:rPr>
        <w:tab/>
        <w:tab/>
      </w:r>
    </w:p>
    <w:sectPr>
      <w:headerReference w:type="default" r:id="rId2"/>
      <w:footerReference w:type="default" r:id="rId3"/>
      <w:type w:val="nextPage"/>
      <w:pgSz w:w="11906" w:h="16838"/>
      <w:pgMar w:left="1417" w:right="992" w:header="708" w:top="1417" w:footer="708" w:bottom="1417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enter" w:pos="4536" w:leader="none"/>
        <w:tab w:val="right" w:pos="9072" w:leader="none"/>
      </w:tabs>
      <w:spacing w:lineRule="auto" w:line="240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6</w:t>
    </w:r>
    <w:r>
      <w:fldChar w:fldCharType="end"/>
    </w:r>
  </w:p>
  <w:p>
    <w:pPr>
      <w:pStyle w:val="Normal"/>
      <w:tabs>
        <w:tab w:val="center" w:pos="4536" w:leader="none"/>
        <w:tab w:val="right" w:pos="9072" w:leader="none"/>
      </w:tabs>
      <w:spacing w:lineRule="auto" w:line="240" w:before="0" w:after="56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tabs>
        <w:tab w:val="left" w:pos="2990" w:leader="none"/>
        <w:tab w:val="left" w:pos="6348" w:leader="none"/>
      </w:tabs>
      <w:spacing w:lineRule="auto" w:line="240" w:before="567" w:after="0"/>
      <w:ind w:left="0" w:hanging="0"/>
      <w:jc w:val="center"/>
      <w:rPr/>
    </w:pPr>
    <w:r>
      <w:rPr/>
      <w:t xml:space="preserve"> </w:t>
    </w:r>
    <w:r>
      <w:rPr/>
      <w:t xml:space="preserve">Poznámky Úč POD 3 – 01          </w:t>
    </w:r>
    <w:r>
      <w:rPr>
        <w:color w:val="707070"/>
        <w:sz w:val="18"/>
        <w:szCs w:val="18"/>
        <w:highlight w:val="white"/>
      </w:rPr>
      <w:tab/>
    </w:r>
    <w:r>
      <w:rPr/>
      <w:t xml:space="preserve">                 IČO: </w:t>
    </w:r>
    <w:r>
      <w:rPr/>
      <w:t>47559535</w:t>
    </w:r>
  </w:p>
  <w:p>
    <w:pPr>
      <w:pStyle w:val="Normal"/>
      <w:widowControl w:val="false"/>
      <w:tabs>
        <w:tab w:val="left" w:pos="2990" w:leader="none"/>
        <w:tab w:val="left" w:pos="6348" w:leader="none"/>
      </w:tabs>
      <w:spacing w:lineRule="auto" w:line="240" w:before="567" w:after="0"/>
      <w:ind w:left="0" w:hanging="0"/>
      <w:jc w:val="center"/>
      <w:rPr/>
    </w:pPr>
    <w:r>
      <w:rPr/>
      <w:t xml:space="preserve"> </w:t>
    </w:r>
    <w:r>
      <w:rPr/>
      <w:t xml:space="preserve">DIČ: </w:t>
    </w:r>
    <w:r>
      <w:rPr/>
      <w:t>2023977483</w:t>
    </w:r>
    <w:r>
      <w:rPr/>
      <w:tab/>
      <w:tab/>
    </w:r>
  </w:p>
  <w:p>
    <w:pPr>
      <w:pStyle w:val="Normal"/>
      <w:tabs>
        <w:tab w:val="center" w:pos="4703" w:leader="none"/>
        <w:tab w:val="right" w:pos="9406" w:leader="none"/>
      </w:tabs>
      <w:spacing w:lineRule="auto" w:line="24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6"/>
      <w:numFmt w:val="bullet"/>
      <w:lvlText w:val="-"/>
      <w:lvlJc w:val="left"/>
      <w:pPr>
        <w:ind w:left="72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1">
      <w:start w:val="1"/>
      <w:numFmt w:val="bullet"/>
      <w:lvlText w:val="o"/>
      <w:lvlJc w:val="left"/>
      <w:pPr>
        <w:ind w:left="144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2">
      <w:start w:val="1"/>
      <w:numFmt w:val="bullet"/>
      <w:lvlText w:val="▪"/>
      <w:lvlJc w:val="left"/>
      <w:pPr>
        <w:ind w:left="216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3">
      <w:start w:val="1"/>
      <w:numFmt w:val="bullet"/>
      <w:lvlText w:val="●"/>
      <w:lvlJc w:val="left"/>
      <w:pPr>
        <w:ind w:left="288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4">
      <w:start w:val="1"/>
      <w:numFmt w:val="bullet"/>
      <w:lvlText w:val="o"/>
      <w:lvlJc w:val="left"/>
      <w:pPr>
        <w:ind w:left="360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5">
      <w:start w:val="1"/>
      <w:numFmt w:val="bullet"/>
      <w:lvlText w:val="▪"/>
      <w:lvlJc w:val="left"/>
      <w:pPr>
        <w:ind w:left="432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6">
      <w:start w:val="1"/>
      <w:numFmt w:val="bullet"/>
      <w:lvlText w:val="●"/>
      <w:lvlJc w:val="left"/>
      <w:pPr>
        <w:ind w:left="504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7">
      <w:start w:val="1"/>
      <w:numFmt w:val="bullet"/>
      <w:lvlText w:val="o"/>
      <w:lvlJc w:val="left"/>
      <w:pPr>
        <w:ind w:left="576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8">
      <w:start w:val="1"/>
      <w:numFmt w:val="bullet"/>
      <w:lvlText w:val="▪"/>
      <w:lvlJc w:val="left"/>
      <w:pPr>
        <w:ind w:left="648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</w:abstractNum>
  <w:abstractNum w:abstractNumId="2">
    <w:lvl w:ilvl="0">
      <w:start w:val="1"/>
      <w:numFmt w:val="bullet"/>
      <w:lvlText w:val="➢"/>
      <w:lvlJc w:val="left"/>
      <w:pPr>
        <w:ind w:left="36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1">
      <w:start w:val="1"/>
      <w:numFmt w:val="bullet"/>
      <w:lvlText w:val="o"/>
      <w:lvlJc w:val="left"/>
      <w:pPr>
        <w:ind w:left="108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2">
      <w:start w:val="1"/>
      <w:numFmt w:val="bullet"/>
      <w:lvlText w:val="▪"/>
      <w:lvlJc w:val="left"/>
      <w:pPr>
        <w:ind w:left="180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3">
      <w:start w:val="1"/>
      <w:numFmt w:val="bullet"/>
      <w:lvlText w:val="●"/>
      <w:lvlJc w:val="left"/>
      <w:pPr>
        <w:ind w:left="252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4">
      <w:start w:val="1"/>
      <w:numFmt w:val="bullet"/>
      <w:lvlText w:val="o"/>
      <w:lvlJc w:val="left"/>
      <w:pPr>
        <w:ind w:left="324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5">
      <w:start w:val="1"/>
      <w:numFmt w:val="bullet"/>
      <w:lvlText w:val="▪"/>
      <w:lvlJc w:val="left"/>
      <w:pPr>
        <w:ind w:left="396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6">
      <w:start w:val="1"/>
      <w:numFmt w:val="bullet"/>
      <w:lvlText w:val="●"/>
      <w:lvlJc w:val="left"/>
      <w:pPr>
        <w:ind w:left="468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7">
      <w:start w:val="1"/>
      <w:numFmt w:val="bullet"/>
      <w:lvlText w:val="o"/>
      <w:lvlJc w:val="left"/>
      <w:pPr>
        <w:ind w:left="540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8">
      <w:start w:val="1"/>
      <w:numFmt w:val="bullet"/>
      <w:lvlText w:val="▪"/>
      <w:lvlJc w:val="left"/>
      <w:pPr>
        <w:ind w:left="612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1">
      <w:start w:val="1"/>
      <w:numFmt w:val="bullet"/>
      <w:lvlText w:val="o"/>
      <w:lvlJc w:val="left"/>
      <w:pPr>
        <w:ind w:left="144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2">
      <w:start w:val="1"/>
      <w:numFmt w:val="bullet"/>
      <w:lvlText w:val="▪"/>
      <w:lvlJc w:val="left"/>
      <w:pPr>
        <w:ind w:left="216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3">
      <w:start w:val="1"/>
      <w:numFmt w:val="bullet"/>
      <w:lvlText w:val="●"/>
      <w:lvlJc w:val="left"/>
      <w:pPr>
        <w:ind w:left="288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4">
      <w:start w:val="1"/>
      <w:numFmt w:val="bullet"/>
      <w:lvlText w:val="o"/>
      <w:lvlJc w:val="left"/>
      <w:pPr>
        <w:ind w:left="360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5">
      <w:start w:val="1"/>
      <w:numFmt w:val="bullet"/>
      <w:lvlText w:val="▪"/>
      <w:lvlJc w:val="left"/>
      <w:pPr>
        <w:ind w:left="432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6">
      <w:start w:val="1"/>
      <w:numFmt w:val="bullet"/>
      <w:lvlText w:val="●"/>
      <w:lvlJc w:val="left"/>
      <w:pPr>
        <w:ind w:left="504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7">
      <w:start w:val="1"/>
      <w:numFmt w:val="bullet"/>
      <w:lvlText w:val="o"/>
      <w:lvlJc w:val="left"/>
      <w:pPr>
        <w:ind w:left="576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  <w:lvl w:ilvl="8">
      <w:start w:val="1"/>
      <w:numFmt w:val="bullet"/>
      <w:lvlText w:val="▪"/>
      <w:lvlJc w:val="left"/>
      <w:pPr>
        <w:ind w:left="6480" w:hanging="0"/>
      </w:pPr>
      <w:rPr>
        <w:rFonts w:ascii="Arial" w:hAnsi="Arial" w:cs="Arial" w:hint="default"/>
        <w:vertAlign w:val="baseline"/>
        <w:position w:val="0"/>
        <w:sz w:val="24"/>
        <w:sz w:val="24"/>
        <w:rFonts w:cs="Arial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4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000000"/>
        <w:szCs w:val="22"/>
        <w:lang w:val="sk-SK" w:eastAsia="sk-SK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000000"/>
      <w:sz w:val="22"/>
      <w:szCs w:val="22"/>
      <w:lang w:val="sk-SK" w:eastAsia="sk-SK" w:bidi="ar-SA"/>
    </w:rPr>
  </w:style>
  <w:style w:type="paragraph" w:styleId="Nadpis1">
    <w:name w:val="Nadpis 1"/>
    <w:basedOn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Nadpis 2"/>
    <w:basedOn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Nadpis 3"/>
    <w:basedOn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Nadpis 4"/>
    <w:basedOn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Nadpis 5"/>
    <w:basedOn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Nadpis 6"/>
    <w:basedOn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Arial" w:cs="Arial"/>
      <w:position w:val="0"/>
      <w:sz w:val="24"/>
      <w:sz w:val="24"/>
      <w:vertAlign w:val="baseline"/>
    </w:rPr>
  </w:style>
  <w:style w:type="character" w:styleId="ListLabel2">
    <w:name w:val="ListLabel 2"/>
    <w:qFormat/>
    <w:rPr>
      <w:rFonts w:cs="Arial"/>
      <w:position w:val="0"/>
      <w:sz w:val="24"/>
      <w:sz w:val="24"/>
      <w:vertAlign w:val="baseline"/>
    </w:rPr>
  </w:style>
  <w:style w:type="character" w:styleId="ListLabel3">
    <w:name w:val="ListLabel 3"/>
    <w:qFormat/>
    <w:rPr>
      <w:rFonts w:cs="Arial"/>
      <w:position w:val="0"/>
      <w:sz w:val="24"/>
      <w:sz w:val="24"/>
      <w:vertAlign w:val="baseline"/>
    </w:rPr>
  </w:style>
  <w:style w:type="character" w:styleId="ListLabel4">
    <w:name w:val="ListLabel 4"/>
    <w:qFormat/>
    <w:rPr>
      <w:rFonts w:cs="Arial"/>
      <w:position w:val="0"/>
      <w:sz w:val="24"/>
      <w:sz w:val="24"/>
      <w:vertAlign w:val="baseline"/>
    </w:rPr>
  </w:style>
  <w:style w:type="character" w:styleId="ListLabel5">
    <w:name w:val="ListLabel 5"/>
    <w:qFormat/>
    <w:rPr>
      <w:rFonts w:cs="Arial"/>
      <w:position w:val="0"/>
      <w:sz w:val="24"/>
      <w:sz w:val="24"/>
      <w:vertAlign w:val="baseline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elotextu">
    <w:name w:val="Telo textu"/>
    <w:basedOn w:val="Normal"/>
    <w:pPr>
      <w:spacing w:lineRule="auto" w:line="288" w:before="0" w:after="140"/>
    </w:pPr>
    <w:rPr/>
  </w:style>
  <w:style w:type="paragraph" w:styleId="Zoznam">
    <w:name w:val="Zoznam"/>
    <w:basedOn w:val="Telotextu"/>
    <w:pPr/>
    <w:rPr>
      <w:rFonts w:cs="Mangal"/>
    </w:rPr>
  </w:style>
  <w:style w:type="paragraph" w:styleId="Popis">
    <w:name w:val="P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Nzov">
    <w:name w:val="Názov"/>
    <w:basedOn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zov">
    <w:name w:val="Podnázov"/>
    <w:basedOn w:val="Normal"/>
    <w:pPr>
      <w:keepNext/>
      <w:keepLines/>
      <w:spacing w:before="360" w:after="80"/>
      <w:contextualSpacing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lavika">
    <w:name w:val="Hlavička"/>
    <w:basedOn w:val="Normal"/>
    <w:pPr/>
    <w:rPr/>
  </w:style>
  <w:style w:type="paragraph" w:styleId="Pta">
    <w:name w:val="Päta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LibreOffice/5.0.4.2$Windows_x86 LibreOffice_project/2b9802c1994aa0b7dc6079e128979269cf95bc78</Application>
  <Paragraphs>201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2016-03-30T09:56:00Z</dcterms:created>
  <dc:language>sk-SK</dc:language>
  <dcterms:modified xsi:type="dcterms:W3CDTF">2017-03-28T11:45:05Z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