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1AB4" w:rsidRDefault="003C1AB4" w:rsidP="00B36EAD">
      <w:pPr>
        <w:jc w:val="both"/>
        <w:rPr>
          <w:rFonts w:ascii="Calibri" w:hAnsi="Calibri" w:cs="Arial"/>
          <w:b/>
          <w:bCs/>
          <w:sz w:val="24"/>
          <w:szCs w:val="24"/>
        </w:rPr>
      </w:pPr>
    </w:p>
    <w:p w:rsidR="003C1AB4" w:rsidRDefault="003C1AB4" w:rsidP="003C1AB4">
      <w:pPr>
        <w:jc w:val="center"/>
        <w:rPr>
          <w:rFonts w:ascii="Calibri" w:hAnsi="Calibri" w:cs="Arial"/>
          <w:b/>
          <w:bCs/>
          <w:caps/>
          <w:sz w:val="24"/>
          <w:szCs w:val="24"/>
        </w:rPr>
      </w:pPr>
    </w:p>
    <w:p w:rsidR="003C1AB4" w:rsidRPr="003C1AB4" w:rsidRDefault="003C1AB4" w:rsidP="003C1AB4">
      <w:pPr>
        <w:jc w:val="center"/>
        <w:rPr>
          <w:rFonts w:ascii="Calibri" w:hAnsi="Calibri" w:cs="Arial"/>
          <w:b/>
          <w:bCs/>
          <w:caps/>
          <w:sz w:val="24"/>
          <w:szCs w:val="24"/>
        </w:rPr>
      </w:pPr>
      <w:r w:rsidRPr="003C1AB4">
        <w:rPr>
          <w:rFonts w:ascii="Calibri" w:hAnsi="Calibri" w:cs="Arial"/>
          <w:b/>
          <w:bCs/>
          <w:caps/>
          <w:sz w:val="24"/>
          <w:szCs w:val="24"/>
        </w:rPr>
        <w:t>Poznámky k účtovnej závierke zostavenej k 31.</w:t>
      </w:r>
      <w:r>
        <w:rPr>
          <w:rFonts w:ascii="Calibri" w:hAnsi="Calibri" w:cs="Arial"/>
          <w:b/>
          <w:bCs/>
          <w:caps/>
          <w:sz w:val="24"/>
          <w:szCs w:val="24"/>
        </w:rPr>
        <w:t xml:space="preserve"> DECEMBRU</w:t>
      </w:r>
      <w:r w:rsidRPr="003C1AB4">
        <w:rPr>
          <w:rFonts w:ascii="Calibri" w:hAnsi="Calibri" w:cs="Arial"/>
          <w:b/>
          <w:bCs/>
          <w:caps/>
          <w:sz w:val="24"/>
          <w:szCs w:val="24"/>
        </w:rPr>
        <w:t xml:space="preserve"> 201</w:t>
      </w:r>
      <w:r w:rsidR="008576CA">
        <w:rPr>
          <w:rFonts w:ascii="Calibri" w:hAnsi="Calibri" w:cs="Arial"/>
          <w:b/>
          <w:bCs/>
          <w:caps/>
          <w:sz w:val="24"/>
          <w:szCs w:val="24"/>
        </w:rPr>
        <w:t>6</w:t>
      </w:r>
    </w:p>
    <w:p w:rsidR="003C1AB4" w:rsidRDefault="003C1AB4" w:rsidP="00B36EAD">
      <w:pPr>
        <w:jc w:val="both"/>
        <w:rPr>
          <w:rFonts w:ascii="Calibri" w:hAnsi="Calibri" w:cs="Arial"/>
          <w:b/>
          <w:bCs/>
          <w:sz w:val="24"/>
          <w:szCs w:val="24"/>
        </w:rPr>
      </w:pPr>
    </w:p>
    <w:p w:rsidR="003C1AB4" w:rsidRDefault="003C1AB4" w:rsidP="00B36EAD">
      <w:pPr>
        <w:jc w:val="both"/>
        <w:rPr>
          <w:rFonts w:ascii="Calibri" w:hAnsi="Calibri" w:cs="Arial"/>
          <w:b/>
          <w:bCs/>
          <w:sz w:val="24"/>
          <w:szCs w:val="24"/>
        </w:rPr>
      </w:pPr>
    </w:p>
    <w:p w:rsidR="00B36EAD" w:rsidRPr="008F70FB" w:rsidRDefault="0054360D" w:rsidP="00B36EAD">
      <w:pPr>
        <w:jc w:val="both"/>
        <w:rPr>
          <w:rFonts w:ascii="Calibri" w:hAnsi="Calibri" w:cs="Arial"/>
          <w:b/>
          <w:bCs/>
          <w:sz w:val="24"/>
          <w:szCs w:val="24"/>
        </w:rPr>
      </w:pPr>
      <w:r>
        <w:rPr>
          <w:rFonts w:ascii="Calibri" w:hAnsi="Calibri" w:cs="Arial"/>
          <w:b/>
          <w:bCs/>
          <w:sz w:val="24"/>
          <w:szCs w:val="24"/>
        </w:rPr>
        <w:t>Čl</w:t>
      </w:r>
      <w:r w:rsidR="00B36EAD" w:rsidRPr="008F70FB">
        <w:rPr>
          <w:rFonts w:ascii="Calibri" w:hAnsi="Calibri" w:cs="Arial"/>
          <w:b/>
          <w:bCs/>
          <w:sz w:val="24"/>
          <w:szCs w:val="24"/>
        </w:rPr>
        <w:t>.</w:t>
      </w:r>
      <w:r>
        <w:rPr>
          <w:rFonts w:ascii="Calibri" w:hAnsi="Calibri" w:cs="Arial"/>
          <w:b/>
          <w:bCs/>
          <w:sz w:val="24"/>
          <w:szCs w:val="24"/>
        </w:rPr>
        <w:t xml:space="preserve"> I </w:t>
      </w:r>
      <w:r w:rsidR="00B36EAD" w:rsidRPr="008F70FB">
        <w:rPr>
          <w:rFonts w:ascii="Calibri" w:hAnsi="Calibri" w:cs="Arial"/>
          <w:b/>
          <w:bCs/>
          <w:sz w:val="24"/>
          <w:szCs w:val="24"/>
        </w:rPr>
        <w:t xml:space="preserve"> </w:t>
      </w:r>
      <w:r>
        <w:rPr>
          <w:rFonts w:ascii="Calibri" w:hAnsi="Calibri" w:cs="Arial"/>
          <w:b/>
          <w:bCs/>
          <w:sz w:val="24"/>
          <w:szCs w:val="24"/>
        </w:rPr>
        <w:t>VŠEOBECNÉ INFORMÁCIE</w:t>
      </w:r>
    </w:p>
    <w:p w:rsidR="00482980" w:rsidRPr="008F70FB" w:rsidRDefault="00482980" w:rsidP="00482980">
      <w:pPr>
        <w:pStyle w:val="Normlny1"/>
        <w:jc w:val="both"/>
        <w:rPr>
          <w:rFonts w:ascii="Calibri" w:hAnsi="Calibri"/>
          <w:b/>
        </w:rPr>
      </w:pPr>
    </w:p>
    <w:p w:rsidR="00482980" w:rsidRPr="008F70FB" w:rsidRDefault="00482980" w:rsidP="00482980">
      <w:pPr>
        <w:pStyle w:val="Normlny1"/>
        <w:jc w:val="both"/>
        <w:rPr>
          <w:rFonts w:ascii="Calibri" w:hAnsi="Calibri"/>
          <w:b/>
        </w:rPr>
      </w:pPr>
    </w:p>
    <w:p w:rsidR="00482980" w:rsidRPr="008F70FB" w:rsidRDefault="00B36EAD" w:rsidP="00482980">
      <w:pPr>
        <w:pStyle w:val="Normlny1"/>
        <w:jc w:val="both"/>
        <w:rPr>
          <w:rFonts w:ascii="Calibri" w:hAnsi="Calibri"/>
          <w:b/>
        </w:rPr>
      </w:pPr>
      <w:r w:rsidRPr="008F70FB">
        <w:rPr>
          <w:rFonts w:ascii="Calibri" w:hAnsi="Calibri"/>
          <w:b/>
        </w:rPr>
        <w:t>1.</w:t>
      </w:r>
      <w:r w:rsidR="003C1AB4">
        <w:rPr>
          <w:rFonts w:ascii="Calibri" w:hAnsi="Calibri"/>
          <w:b/>
        </w:rPr>
        <w:t xml:space="preserve"> </w:t>
      </w:r>
      <w:r w:rsidR="00482980" w:rsidRPr="008F70FB">
        <w:rPr>
          <w:rFonts w:ascii="Calibri" w:hAnsi="Calibri"/>
          <w:b/>
        </w:rPr>
        <w:t>Obchodné meno a sídlo spoločnosti:</w:t>
      </w:r>
    </w:p>
    <w:p w:rsidR="00482980" w:rsidRPr="008F70FB" w:rsidRDefault="00482980" w:rsidP="00482980">
      <w:pPr>
        <w:pStyle w:val="Zkladntext"/>
        <w:rPr>
          <w:rFonts w:ascii="Calibri" w:hAnsi="Calibri"/>
          <w:sz w:val="20"/>
          <w:szCs w:val="20"/>
        </w:rPr>
      </w:pPr>
    </w:p>
    <w:p w:rsidR="00482980" w:rsidRPr="008F70FB" w:rsidRDefault="008576CA" w:rsidP="00482980">
      <w:pPr>
        <w:pStyle w:val="Zkladntext"/>
        <w:rPr>
          <w:rFonts w:ascii="Calibri" w:hAnsi="Calibri"/>
          <w:sz w:val="20"/>
          <w:szCs w:val="20"/>
        </w:rPr>
      </w:pPr>
      <w:r>
        <w:rPr>
          <w:rFonts w:ascii="Calibri" w:hAnsi="Calibri"/>
          <w:sz w:val="20"/>
          <w:szCs w:val="20"/>
        </w:rPr>
        <w:t>CG Office, s.r.o.</w:t>
      </w:r>
    </w:p>
    <w:p w:rsidR="00482980" w:rsidRPr="008F70FB" w:rsidRDefault="0009429E" w:rsidP="00482980">
      <w:pPr>
        <w:pStyle w:val="Zkladntext"/>
        <w:rPr>
          <w:rFonts w:ascii="Calibri" w:hAnsi="Calibri"/>
          <w:b w:val="0"/>
          <w:sz w:val="20"/>
          <w:szCs w:val="20"/>
        </w:rPr>
      </w:pPr>
      <w:r>
        <w:rPr>
          <w:rFonts w:ascii="Calibri" w:hAnsi="Calibri"/>
          <w:b w:val="0"/>
          <w:sz w:val="20"/>
          <w:szCs w:val="20"/>
        </w:rPr>
        <w:t>Vojtecha Tvrdého 793/21, 010 01 Žilina</w:t>
      </w:r>
    </w:p>
    <w:p w:rsidR="00482980" w:rsidRPr="00C84BE9" w:rsidRDefault="00482980" w:rsidP="00482980">
      <w:pPr>
        <w:pStyle w:val="Zkladntext"/>
        <w:rPr>
          <w:rFonts w:ascii="Calibri" w:hAnsi="Calibri"/>
          <w:bCs w:val="0"/>
          <w:sz w:val="20"/>
          <w:szCs w:val="20"/>
        </w:rPr>
      </w:pPr>
    </w:p>
    <w:p w:rsidR="00482980" w:rsidRPr="00C84BE9" w:rsidRDefault="00482980" w:rsidP="00482980">
      <w:pPr>
        <w:pStyle w:val="Zkladntext"/>
        <w:rPr>
          <w:rFonts w:ascii="Calibri" w:hAnsi="Calibri"/>
          <w:b w:val="0"/>
          <w:sz w:val="20"/>
          <w:szCs w:val="20"/>
        </w:rPr>
      </w:pPr>
      <w:r w:rsidRPr="00C84BE9">
        <w:rPr>
          <w:rFonts w:ascii="Calibri" w:hAnsi="Calibri"/>
          <w:b w:val="0"/>
          <w:sz w:val="20"/>
          <w:szCs w:val="20"/>
        </w:rPr>
        <w:t xml:space="preserve">Spoločnosť </w:t>
      </w:r>
      <w:r w:rsidR="008576CA" w:rsidRPr="00C84BE9">
        <w:rPr>
          <w:rFonts w:ascii="Calibri" w:hAnsi="Calibri"/>
          <w:b w:val="0"/>
          <w:sz w:val="20"/>
          <w:szCs w:val="20"/>
        </w:rPr>
        <w:t>CG Office</w:t>
      </w:r>
      <w:r w:rsidR="0009429E" w:rsidRPr="00C84BE9">
        <w:rPr>
          <w:rFonts w:ascii="Calibri" w:hAnsi="Calibri"/>
          <w:b w:val="0"/>
          <w:sz w:val="20"/>
          <w:szCs w:val="20"/>
        </w:rPr>
        <w:t xml:space="preserve">, </w:t>
      </w:r>
      <w:r w:rsidRPr="00C84BE9">
        <w:rPr>
          <w:rFonts w:ascii="Calibri" w:hAnsi="Calibri"/>
          <w:b w:val="0"/>
          <w:sz w:val="20"/>
          <w:szCs w:val="20"/>
        </w:rPr>
        <w:t>s.r.o.</w:t>
      </w:r>
      <w:r w:rsidR="004C28ED" w:rsidRPr="00C84BE9">
        <w:rPr>
          <w:rFonts w:ascii="Calibri" w:hAnsi="Calibri"/>
          <w:b w:val="0"/>
          <w:sz w:val="20"/>
          <w:szCs w:val="20"/>
        </w:rPr>
        <w:t xml:space="preserve"> </w:t>
      </w:r>
      <w:r w:rsidRPr="00C84BE9">
        <w:rPr>
          <w:rFonts w:ascii="Calibri" w:hAnsi="Calibri"/>
          <w:b w:val="0"/>
          <w:i/>
          <w:sz w:val="20"/>
          <w:szCs w:val="20"/>
        </w:rPr>
        <w:t xml:space="preserve">(ďalej len „spoločnosť“) </w:t>
      </w:r>
      <w:r w:rsidRPr="00C84BE9">
        <w:rPr>
          <w:rFonts w:ascii="Calibri" w:hAnsi="Calibri"/>
          <w:b w:val="0"/>
          <w:sz w:val="20"/>
          <w:szCs w:val="20"/>
        </w:rPr>
        <w:t>bola založená</w:t>
      </w:r>
      <w:r w:rsidR="00CF1DBA" w:rsidRPr="00C84BE9">
        <w:rPr>
          <w:rFonts w:ascii="Calibri" w:hAnsi="Calibri"/>
          <w:b w:val="0"/>
          <w:sz w:val="20"/>
          <w:szCs w:val="20"/>
        </w:rPr>
        <w:t xml:space="preserve"> Spoločenskou zmluvou</w:t>
      </w:r>
      <w:r w:rsidRPr="00C84BE9">
        <w:rPr>
          <w:rFonts w:ascii="Calibri" w:hAnsi="Calibri"/>
          <w:b w:val="0"/>
          <w:sz w:val="20"/>
          <w:szCs w:val="20"/>
        </w:rPr>
        <w:t xml:space="preserve"> zo dňa </w:t>
      </w:r>
      <w:r w:rsidR="00CF1DBA" w:rsidRPr="00C84BE9">
        <w:rPr>
          <w:rFonts w:ascii="Calibri" w:hAnsi="Calibri"/>
          <w:b w:val="0"/>
          <w:sz w:val="20"/>
          <w:szCs w:val="20"/>
        </w:rPr>
        <w:t>11.8.2016</w:t>
      </w:r>
      <w:r w:rsidRPr="00C84BE9">
        <w:rPr>
          <w:rFonts w:ascii="Calibri" w:hAnsi="Calibri"/>
          <w:b w:val="0"/>
          <w:sz w:val="20"/>
          <w:szCs w:val="20"/>
        </w:rPr>
        <w:t xml:space="preserve"> a do obchodného registra bola zapísaná </w:t>
      </w:r>
      <w:r w:rsidR="00CF1DBA" w:rsidRPr="00C84BE9">
        <w:rPr>
          <w:rFonts w:ascii="Calibri" w:hAnsi="Calibri"/>
          <w:b w:val="0"/>
          <w:sz w:val="20"/>
          <w:szCs w:val="20"/>
        </w:rPr>
        <w:t>29.7.2016</w:t>
      </w:r>
      <w:r w:rsidRPr="00C84BE9">
        <w:rPr>
          <w:rFonts w:ascii="Calibri" w:hAnsi="Calibri"/>
          <w:b w:val="0"/>
          <w:sz w:val="20"/>
          <w:szCs w:val="20"/>
        </w:rPr>
        <w:t xml:space="preserve"> (Obchodný register Okresného súdu </w:t>
      </w:r>
      <w:r w:rsidR="003F4022" w:rsidRPr="00C84BE9">
        <w:rPr>
          <w:rFonts w:ascii="Calibri" w:hAnsi="Calibri"/>
          <w:b w:val="0"/>
          <w:sz w:val="20"/>
          <w:szCs w:val="20"/>
        </w:rPr>
        <w:t xml:space="preserve">Žilina, odd. Sro, Vložka č. </w:t>
      </w:r>
      <w:r w:rsidR="00CF1DBA" w:rsidRPr="00C84BE9">
        <w:rPr>
          <w:rFonts w:ascii="Calibri" w:hAnsi="Calibri"/>
          <w:b w:val="0"/>
          <w:sz w:val="20"/>
          <w:szCs w:val="20"/>
        </w:rPr>
        <w:t>67244</w:t>
      </w:r>
      <w:r w:rsidR="003F4022" w:rsidRPr="00C84BE9">
        <w:rPr>
          <w:rFonts w:ascii="Calibri" w:hAnsi="Calibri"/>
          <w:b w:val="0"/>
          <w:sz w:val="20"/>
          <w:szCs w:val="20"/>
        </w:rPr>
        <w:t>/L)</w:t>
      </w:r>
      <w:r w:rsidR="00CC3A02" w:rsidRPr="00C84BE9">
        <w:rPr>
          <w:rFonts w:ascii="Calibri" w:hAnsi="Calibri"/>
          <w:b w:val="0"/>
          <w:sz w:val="20"/>
          <w:szCs w:val="20"/>
        </w:rPr>
        <w:t>.</w:t>
      </w:r>
      <w:r w:rsidRPr="00C84BE9">
        <w:rPr>
          <w:rFonts w:ascii="Calibri" w:hAnsi="Calibri"/>
          <w:b w:val="0"/>
          <w:sz w:val="20"/>
          <w:szCs w:val="20"/>
        </w:rPr>
        <w:t xml:space="preserve"> Identifikačné číslo organizácie (IČO) je </w:t>
      </w:r>
      <w:r w:rsidR="00CF1DBA" w:rsidRPr="00C84BE9">
        <w:rPr>
          <w:rFonts w:ascii="Calibri" w:hAnsi="Calibri"/>
          <w:b w:val="0"/>
          <w:sz w:val="20"/>
          <w:szCs w:val="20"/>
        </w:rPr>
        <w:t>44 166</w:t>
      </w:r>
      <w:r w:rsidR="00CC3A02" w:rsidRPr="00C84BE9">
        <w:rPr>
          <w:rFonts w:ascii="Calibri" w:hAnsi="Calibri"/>
          <w:b w:val="0"/>
          <w:sz w:val="20"/>
          <w:szCs w:val="20"/>
        </w:rPr>
        <w:t> </w:t>
      </w:r>
      <w:r w:rsidR="00CF1DBA" w:rsidRPr="00C84BE9">
        <w:rPr>
          <w:rFonts w:ascii="Calibri" w:hAnsi="Calibri"/>
          <w:b w:val="0"/>
          <w:sz w:val="20"/>
          <w:szCs w:val="20"/>
        </w:rPr>
        <w:t>036</w:t>
      </w:r>
      <w:r w:rsidR="00CC3A02" w:rsidRPr="00C84BE9">
        <w:rPr>
          <w:rFonts w:ascii="Calibri" w:hAnsi="Calibri"/>
          <w:b w:val="0"/>
          <w:sz w:val="20"/>
          <w:szCs w:val="20"/>
        </w:rPr>
        <w:t>.</w:t>
      </w:r>
      <w:r w:rsidRPr="00C84BE9">
        <w:rPr>
          <w:rFonts w:ascii="Calibri" w:hAnsi="Calibri"/>
          <w:b w:val="0"/>
          <w:sz w:val="20"/>
          <w:szCs w:val="20"/>
        </w:rPr>
        <w:t xml:space="preserve">  Daňové registračné číslo spoločnosti je </w:t>
      </w:r>
      <w:r w:rsidR="00CF1DBA" w:rsidRPr="00C84BE9">
        <w:rPr>
          <w:rFonts w:ascii="Calibri" w:hAnsi="Calibri"/>
          <w:b w:val="0"/>
          <w:sz w:val="20"/>
          <w:szCs w:val="20"/>
        </w:rPr>
        <w:t>2022618411.</w:t>
      </w:r>
    </w:p>
    <w:p w:rsidR="00CC3A02" w:rsidRPr="00C84BE9" w:rsidRDefault="00CC3A02" w:rsidP="00CC3A02">
      <w:pPr>
        <w:pStyle w:val="Zkladntext"/>
        <w:rPr>
          <w:rFonts w:ascii="Calibri" w:hAnsi="Calibri"/>
          <w:b w:val="0"/>
          <w:sz w:val="20"/>
          <w:szCs w:val="20"/>
        </w:rPr>
      </w:pPr>
      <w:r w:rsidRPr="00C84BE9">
        <w:rPr>
          <w:rFonts w:ascii="Calibri" w:hAnsi="Calibri"/>
          <w:b w:val="0"/>
          <w:sz w:val="20"/>
          <w:szCs w:val="20"/>
        </w:rPr>
        <w:t>V obchodnom registri bola do 28.7.2016  zapísaná spoločnosť CLEAN TEAM, s.r.o. (Obchodný register Okresného súdu Žilina, odd. Sro, Vložka č. 67244/L). Identifikačné číslo organizácie (IČO) je 44 166 036.  Daňové registračné číslo spoločnosti je 2022618411.</w:t>
      </w:r>
    </w:p>
    <w:p w:rsidR="00DD0784" w:rsidRPr="00D35D0C" w:rsidRDefault="00DD0784" w:rsidP="00482980">
      <w:pPr>
        <w:pStyle w:val="Zkladntext"/>
        <w:rPr>
          <w:rFonts w:ascii="Calibri" w:hAnsi="Calibri"/>
          <w:b w:val="0"/>
          <w:color w:val="FF0000"/>
          <w:sz w:val="20"/>
          <w:szCs w:val="20"/>
        </w:rPr>
      </w:pPr>
    </w:p>
    <w:p w:rsidR="00482980" w:rsidRPr="008F70FB" w:rsidRDefault="00482980" w:rsidP="00482980">
      <w:pPr>
        <w:pStyle w:val="Normlny1"/>
        <w:jc w:val="both"/>
        <w:rPr>
          <w:rFonts w:ascii="Calibri" w:hAnsi="Calibri"/>
        </w:rPr>
      </w:pPr>
    </w:p>
    <w:p w:rsidR="003F4022" w:rsidRPr="008F70FB" w:rsidRDefault="00B36EAD" w:rsidP="00482980">
      <w:pPr>
        <w:pStyle w:val="Normlny1"/>
        <w:jc w:val="both"/>
        <w:rPr>
          <w:rFonts w:ascii="Calibri" w:hAnsi="Calibri"/>
          <w:b/>
        </w:rPr>
      </w:pPr>
      <w:r w:rsidRPr="008F70FB">
        <w:rPr>
          <w:rFonts w:ascii="Calibri" w:hAnsi="Calibri"/>
          <w:b/>
        </w:rPr>
        <w:t>2.</w:t>
      </w:r>
      <w:r w:rsidR="003C1AB4">
        <w:rPr>
          <w:rFonts w:ascii="Calibri" w:hAnsi="Calibri"/>
          <w:b/>
        </w:rPr>
        <w:t xml:space="preserve"> </w:t>
      </w:r>
      <w:r w:rsidR="00482980" w:rsidRPr="008F70FB">
        <w:rPr>
          <w:rFonts w:ascii="Calibri" w:hAnsi="Calibri"/>
          <w:b/>
        </w:rPr>
        <w:t xml:space="preserve">Hlavná činnosť spoločnosti: </w:t>
      </w:r>
    </w:p>
    <w:p w:rsidR="00A02E22" w:rsidRDefault="003F4022" w:rsidP="00482980">
      <w:pPr>
        <w:pStyle w:val="Zkladntext"/>
        <w:rPr>
          <w:rFonts w:asciiTheme="minorHAnsi" w:hAnsiTheme="minorHAnsi"/>
          <w:b w:val="0"/>
          <w:sz w:val="20"/>
          <w:szCs w:val="20"/>
        </w:rPr>
      </w:pPr>
      <w:r>
        <w:rPr>
          <w:rFonts w:asciiTheme="minorHAnsi" w:hAnsiTheme="minorHAnsi"/>
          <w:b w:val="0"/>
          <w:sz w:val="20"/>
          <w:szCs w:val="20"/>
        </w:rPr>
        <w:t xml:space="preserve">- </w:t>
      </w:r>
      <w:r w:rsidR="00D35D0C">
        <w:rPr>
          <w:rFonts w:asciiTheme="minorHAnsi" w:hAnsiTheme="minorHAnsi"/>
          <w:b w:val="0"/>
          <w:sz w:val="20"/>
          <w:szCs w:val="20"/>
        </w:rPr>
        <w:t>čistiace a upratovacie služby</w:t>
      </w:r>
    </w:p>
    <w:p w:rsidR="003C1AB4" w:rsidRDefault="00D35D0C" w:rsidP="00482980">
      <w:pPr>
        <w:pStyle w:val="Zkladntext"/>
        <w:rPr>
          <w:rFonts w:asciiTheme="minorHAnsi" w:hAnsiTheme="minorHAnsi"/>
          <w:b w:val="0"/>
          <w:sz w:val="20"/>
          <w:szCs w:val="20"/>
        </w:rPr>
      </w:pPr>
      <w:r>
        <w:rPr>
          <w:rFonts w:asciiTheme="minorHAnsi" w:hAnsiTheme="minorHAnsi"/>
          <w:b w:val="0"/>
          <w:sz w:val="20"/>
          <w:szCs w:val="20"/>
        </w:rPr>
        <w:t xml:space="preserve">- </w:t>
      </w:r>
      <w:r w:rsidR="004E571D">
        <w:rPr>
          <w:rFonts w:asciiTheme="minorHAnsi" w:hAnsiTheme="minorHAnsi"/>
          <w:b w:val="0"/>
          <w:sz w:val="20"/>
          <w:szCs w:val="20"/>
        </w:rPr>
        <w:t>sprostredkovateľská činnosť v oblasti služieb</w:t>
      </w:r>
    </w:p>
    <w:p w:rsidR="003F4022" w:rsidRDefault="003F4022" w:rsidP="00482980">
      <w:pPr>
        <w:pStyle w:val="Zkladntext"/>
        <w:rPr>
          <w:rFonts w:asciiTheme="minorHAnsi" w:hAnsiTheme="minorHAnsi"/>
          <w:b w:val="0"/>
          <w:sz w:val="20"/>
          <w:szCs w:val="20"/>
        </w:rPr>
      </w:pPr>
    </w:p>
    <w:p w:rsidR="00AB0B2C" w:rsidRDefault="00AB0B2C" w:rsidP="00AB0B2C">
      <w:pPr>
        <w:pStyle w:val="Nzov"/>
        <w:spacing w:before="0" w:beforeAutospacing="0" w:after="60"/>
        <w:jc w:val="left"/>
        <w:rPr>
          <w:rFonts w:ascii="Calibri" w:hAnsi="Calibri"/>
          <w:sz w:val="20"/>
          <w:szCs w:val="20"/>
        </w:rPr>
      </w:pPr>
      <w:r w:rsidRPr="00AB0B2C">
        <w:rPr>
          <w:rFonts w:ascii="Calibri" w:hAnsi="Calibri"/>
          <w:sz w:val="20"/>
          <w:szCs w:val="20"/>
        </w:rPr>
        <w:t>3.  Počet zamestnancov</w:t>
      </w:r>
    </w:p>
    <w:p w:rsidR="00DA5673" w:rsidRDefault="00DA5673" w:rsidP="00DA5673"/>
    <w:bookmarkStart w:id="0" w:name="_MON_1520012139"/>
    <w:bookmarkEnd w:id="0"/>
    <w:p w:rsidR="00DA5673" w:rsidRPr="00DA5673" w:rsidRDefault="00D35D0C" w:rsidP="00DA5673">
      <w:r>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9pt;height:83.25pt" o:ole="">
            <v:imagedata r:id="rId8" o:title=""/>
          </v:shape>
          <o:OLEObject Type="Embed" ProgID="Excel.Sheet.12" ShapeID="_x0000_i1025" DrawAspect="Content" ObjectID="_1552302566" r:id="rId9"/>
        </w:object>
      </w:r>
    </w:p>
    <w:p w:rsidR="00AB0B2C" w:rsidRPr="00A02E22" w:rsidRDefault="00AB0B2C" w:rsidP="00482980">
      <w:pPr>
        <w:pStyle w:val="Zkladntext"/>
        <w:rPr>
          <w:rFonts w:asciiTheme="minorHAnsi" w:hAnsiTheme="minorHAnsi"/>
          <w:b w:val="0"/>
          <w:sz w:val="20"/>
          <w:szCs w:val="20"/>
        </w:rPr>
      </w:pPr>
    </w:p>
    <w:p w:rsidR="00AB0B2C" w:rsidRDefault="00AB0B2C" w:rsidP="00AB0B2C">
      <w:pPr>
        <w:pStyle w:val="Zkladntext"/>
        <w:rPr>
          <w:rFonts w:ascii="Calibri" w:hAnsi="Calibri"/>
          <w:sz w:val="20"/>
          <w:szCs w:val="20"/>
        </w:rPr>
      </w:pPr>
      <w:r>
        <w:rPr>
          <w:rFonts w:ascii="Calibri" w:hAnsi="Calibri"/>
          <w:sz w:val="20"/>
          <w:szCs w:val="20"/>
        </w:rPr>
        <w:t>4</w:t>
      </w:r>
      <w:r w:rsidRPr="008F70FB">
        <w:rPr>
          <w:rFonts w:ascii="Calibri" w:hAnsi="Calibri"/>
          <w:sz w:val="20"/>
          <w:szCs w:val="20"/>
        </w:rPr>
        <w:t>.</w:t>
      </w:r>
      <w:r w:rsidR="003C1AB4">
        <w:rPr>
          <w:rFonts w:ascii="Calibri" w:hAnsi="Calibri"/>
          <w:sz w:val="20"/>
          <w:szCs w:val="20"/>
        </w:rPr>
        <w:t xml:space="preserve"> </w:t>
      </w:r>
      <w:r>
        <w:rPr>
          <w:rFonts w:ascii="Calibri" w:hAnsi="Calibri"/>
          <w:sz w:val="20"/>
          <w:szCs w:val="20"/>
        </w:rPr>
        <w:t xml:space="preserve">Údaje o neobmedzenom ručení </w:t>
      </w:r>
    </w:p>
    <w:p w:rsidR="00AB0B2C" w:rsidRPr="00AB0B2C" w:rsidRDefault="00AB0B2C" w:rsidP="00AB0B2C">
      <w:pPr>
        <w:pStyle w:val="Zkladntext"/>
        <w:rPr>
          <w:rFonts w:ascii="Calibri" w:hAnsi="Calibri"/>
          <w:b w:val="0"/>
          <w:sz w:val="20"/>
          <w:szCs w:val="20"/>
        </w:rPr>
      </w:pPr>
      <w:r w:rsidRPr="00AB0B2C">
        <w:rPr>
          <w:rFonts w:ascii="Calibri" w:hAnsi="Calibri"/>
          <w:b w:val="0"/>
          <w:sz w:val="20"/>
          <w:szCs w:val="20"/>
        </w:rPr>
        <w:t>Spoločnosť nie je neobmedzenie ručiacim spoločníkom v iných spoločnostiach.</w:t>
      </w:r>
    </w:p>
    <w:p w:rsidR="00AB0B2C" w:rsidRDefault="00AB0B2C" w:rsidP="00482980">
      <w:pPr>
        <w:pStyle w:val="Zkladntext"/>
        <w:rPr>
          <w:rFonts w:ascii="Calibri" w:hAnsi="Calibri"/>
          <w:bCs w:val="0"/>
          <w:sz w:val="20"/>
          <w:szCs w:val="20"/>
        </w:rPr>
      </w:pPr>
    </w:p>
    <w:p w:rsidR="00AB0B2C" w:rsidRDefault="00AB0B2C" w:rsidP="00482980">
      <w:pPr>
        <w:pStyle w:val="Zkladntext"/>
        <w:rPr>
          <w:rFonts w:ascii="Calibri" w:hAnsi="Calibri"/>
          <w:bCs w:val="0"/>
          <w:sz w:val="20"/>
          <w:szCs w:val="20"/>
        </w:rPr>
      </w:pPr>
      <w:r>
        <w:rPr>
          <w:rFonts w:ascii="Calibri" w:hAnsi="Calibri"/>
          <w:bCs w:val="0"/>
          <w:sz w:val="20"/>
          <w:szCs w:val="20"/>
        </w:rPr>
        <w:t>5</w:t>
      </w:r>
      <w:r w:rsidR="00B36EAD" w:rsidRPr="008F70FB">
        <w:rPr>
          <w:rFonts w:ascii="Calibri" w:hAnsi="Calibri"/>
          <w:bCs w:val="0"/>
          <w:sz w:val="20"/>
          <w:szCs w:val="20"/>
        </w:rPr>
        <w:t>.</w:t>
      </w:r>
      <w:r w:rsidR="003C1AB4">
        <w:rPr>
          <w:rFonts w:ascii="Calibri" w:hAnsi="Calibri"/>
          <w:bCs w:val="0"/>
          <w:sz w:val="20"/>
          <w:szCs w:val="20"/>
        </w:rPr>
        <w:t xml:space="preserve"> </w:t>
      </w:r>
      <w:r>
        <w:rPr>
          <w:rFonts w:ascii="Calibri" w:hAnsi="Calibri"/>
          <w:bCs w:val="0"/>
          <w:sz w:val="20"/>
          <w:szCs w:val="20"/>
        </w:rPr>
        <w:t xml:space="preserve">Právny dôvod na zostavenie účtovnej uzávierky </w:t>
      </w:r>
    </w:p>
    <w:p w:rsidR="00B36EAD" w:rsidRDefault="00482980" w:rsidP="00482980">
      <w:pPr>
        <w:pStyle w:val="Zkladntext"/>
        <w:rPr>
          <w:rFonts w:ascii="Calibri" w:hAnsi="Calibri"/>
          <w:b w:val="0"/>
          <w:sz w:val="20"/>
          <w:szCs w:val="20"/>
        </w:rPr>
      </w:pPr>
      <w:r w:rsidRPr="00AB0B2C">
        <w:rPr>
          <w:rFonts w:ascii="Calibri" w:hAnsi="Calibri"/>
          <w:b w:val="0"/>
          <w:bCs w:val="0"/>
          <w:sz w:val="20"/>
          <w:szCs w:val="20"/>
        </w:rPr>
        <w:t xml:space="preserve">Účtovná závierka Spoločnosti k 31. 12. </w:t>
      </w:r>
      <w:r w:rsidR="003C1AB4">
        <w:rPr>
          <w:rFonts w:ascii="Calibri" w:hAnsi="Calibri"/>
          <w:b w:val="0"/>
          <w:bCs w:val="0"/>
          <w:sz w:val="20"/>
          <w:szCs w:val="20"/>
        </w:rPr>
        <w:t>201</w:t>
      </w:r>
      <w:r w:rsidR="00D35D0C">
        <w:rPr>
          <w:rFonts w:ascii="Calibri" w:hAnsi="Calibri"/>
          <w:b w:val="0"/>
          <w:bCs w:val="0"/>
          <w:sz w:val="20"/>
          <w:szCs w:val="20"/>
        </w:rPr>
        <w:t>6</w:t>
      </w:r>
      <w:r w:rsidRPr="00AB0B2C">
        <w:rPr>
          <w:rFonts w:ascii="Calibri" w:hAnsi="Calibri"/>
          <w:b w:val="0"/>
          <w:sz w:val="20"/>
          <w:szCs w:val="20"/>
        </w:rPr>
        <w:t xml:space="preserve"> je zostavená ako riadna individuálna účtovná závierka</w:t>
      </w:r>
      <w:r w:rsidRPr="008F70FB">
        <w:rPr>
          <w:rFonts w:ascii="Calibri" w:hAnsi="Calibri"/>
          <w:b w:val="0"/>
          <w:sz w:val="20"/>
          <w:szCs w:val="20"/>
        </w:rPr>
        <w:t xml:space="preserve"> podľa   zákona č. 431/2002 o účtovníctve v znení neskorších predpisov, za účtovné obdobie od 1. januára </w:t>
      </w:r>
      <w:r w:rsidR="003C1AB4">
        <w:rPr>
          <w:rFonts w:ascii="Calibri" w:hAnsi="Calibri"/>
          <w:b w:val="0"/>
          <w:sz w:val="20"/>
          <w:szCs w:val="20"/>
        </w:rPr>
        <w:t>201</w:t>
      </w:r>
      <w:r w:rsidR="00D35D0C">
        <w:rPr>
          <w:rFonts w:ascii="Calibri" w:hAnsi="Calibri"/>
          <w:b w:val="0"/>
          <w:sz w:val="20"/>
          <w:szCs w:val="20"/>
        </w:rPr>
        <w:t>6</w:t>
      </w:r>
      <w:r w:rsidR="00B85684">
        <w:rPr>
          <w:rFonts w:ascii="Calibri" w:hAnsi="Calibri"/>
          <w:b w:val="0"/>
          <w:sz w:val="20"/>
          <w:szCs w:val="20"/>
        </w:rPr>
        <w:t xml:space="preserve"> </w:t>
      </w:r>
      <w:r w:rsidRPr="008F70FB">
        <w:rPr>
          <w:rFonts w:ascii="Calibri" w:hAnsi="Calibri"/>
          <w:b w:val="0"/>
          <w:sz w:val="20"/>
          <w:szCs w:val="20"/>
        </w:rPr>
        <w:t xml:space="preserve">do 31. decembra </w:t>
      </w:r>
      <w:r w:rsidR="003C1AB4">
        <w:rPr>
          <w:rFonts w:ascii="Calibri" w:hAnsi="Calibri"/>
          <w:b w:val="0"/>
          <w:sz w:val="20"/>
          <w:szCs w:val="20"/>
        </w:rPr>
        <w:t>201</w:t>
      </w:r>
      <w:r w:rsidR="00D35D0C">
        <w:rPr>
          <w:rFonts w:ascii="Calibri" w:hAnsi="Calibri"/>
          <w:b w:val="0"/>
          <w:sz w:val="20"/>
          <w:szCs w:val="20"/>
        </w:rPr>
        <w:t>6</w:t>
      </w:r>
      <w:r w:rsidRPr="008F70FB">
        <w:rPr>
          <w:rFonts w:ascii="Calibri" w:hAnsi="Calibri"/>
          <w:b w:val="0"/>
          <w:sz w:val="20"/>
          <w:szCs w:val="20"/>
        </w:rPr>
        <w:t xml:space="preserve">. Bola zostavená za predpokladu nepretržitého trvania spoločnosti. Spoločnosť </w:t>
      </w:r>
      <w:r w:rsidR="00F072EE">
        <w:rPr>
          <w:rFonts w:ascii="Calibri" w:hAnsi="Calibri"/>
          <w:b w:val="0"/>
          <w:sz w:val="20"/>
          <w:szCs w:val="20"/>
        </w:rPr>
        <w:t>ne</w:t>
      </w:r>
      <w:r w:rsidRPr="008F70FB">
        <w:rPr>
          <w:rFonts w:ascii="Calibri" w:hAnsi="Calibri"/>
          <w:b w:val="0"/>
          <w:sz w:val="20"/>
          <w:szCs w:val="20"/>
        </w:rPr>
        <w:t xml:space="preserve">má zákonnú povinnosť auditu účtovnej závierky zostavenej za rok </w:t>
      </w:r>
      <w:r w:rsidR="003C1AB4">
        <w:rPr>
          <w:rFonts w:ascii="Calibri" w:hAnsi="Calibri"/>
          <w:b w:val="0"/>
          <w:sz w:val="20"/>
          <w:szCs w:val="20"/>
        </w:rPr>
        <w:t>201</w:t>
      </w:r>
      <w:r w:rsidR="00D35D0C">
        <w:rPr>
          <w:rFonts w:ascii="Calibri" w:hAnsi="Calibri"/>
          <w:b w:val="0"/>
          <w:sz w:val="20"/>
          <w:szCs w:val="20"/>
        </w:rPr>
        <w:t>6</w:t>
      </w:r>
      <w:r w:rsidRPr="008F70FB">
        <w:rPr>
          <w:rFonts w:ascii="Calibri" w:hAnsi="Calibri"/>
          <w:b w:val="0"/>
          <w:sz w:val="20"/>
          <w:szCs w:val="20"/>
        </w:rPr>
        <w:t xml:space="preserve">. </w:t>
      </w:r>
    </w:p>
    <w:p w:rsidR="0054360D" w:rsidRDefault="0054360D" w:rsidP="00482980">
      <w:pPr>
        <w:pStyle w:val="Zkladntext"/>
        <w:rPr>
          <w:rFonts w:ascii="Calibri" w:hAnsi="Calibri"/>
          <w:b w:val="0"/>
          <w:sz w:val="20"/>
          <w:szCs w:val="20"/>
        </w:rPr>
      </w:pPr>
    </w:p>
    <w:p w:rsidR="0054360D" w:rsidRPr="0054360D" w:rsidRDefault="0054360D" w:rsidP="0054360D">
      <w:pPr>
        <w:jc w:val="both"/>
        <w:rPr>
          <w:rFonts w:asciiTheme="minorHAnsi" w:hAnsiTheme="minorHAnsi" w:cs="Times New Roman"/>
          <w:sz w:val="20"/>
          <w:szCs w:val="20"/>
        </w:rPr>
      </w:pPr>
      <w:r w:rsidRPr="0054360D">
        <w:rPr>
          <w:rFonts w:asciiTheme="minorHAnsi" w:hAnsiTheme="minorHAnsi" w:cs="Times New Roman"/>
          <w:sz w:val="20"/>
          <w:szCs w:val="20"/>
        </w:rPr>
        <w:t xml:space="preserve">Spoločnosť je </w:t>
      </w:r>
      <w:r w:rsidR="00AA67EF">
        <w:rPr>
          <w:rFonts w:asciiTheme="minorHAnsi" w:hAnsiTheme="minorHAnsi" w:cs="Times New Roman"/>
          <w:sz w:val="20"/>
          <w:szCs w:val="20"/>
        </w:rPr>
        <w:t>v roku 201</w:t>
      </w:r>
      <w:r w:rsidR="00D35D0C">
        <w:rPr>
          <w:rFonts w:asciiTheme="minorHAnsi" w:hAnsiTheme="minorHAnsi" w:cs="Times New Roman"/>
          <w:sz w:val="20"/>
          <w:szCs w:val="20"/>
        </w:rPr>
        <w:t>6</w:t>
      </w:r>
      <w:r w:rsidR="00AA67EF">
        <w:rPr>
          <w:rFonts w:asciiTheme="minorHAnsi" w:hAnsiTheme="minorHAnsi" w:cs="Times New Roman"/>
          <w:sz w:val="20"/>
          <w:szCs w:val="20"/>
        </w:rPr>
        <w:t xml:space="preserve"> </w:t>
      </w:r>
      <w:r w:rsidRPr="0054360D">
        <w:rPr>
          <w:rFonts w:asciiTheme="minorHAnsi" w:hAnsiTheme="minorHAnsi" w:cs="Times New Roman"/>
          <w:sz w:val="20"/>
          <w:szCs w:val="20"/>
        </w:rPr>
        <w:t>zatriedená do veľkostnej skupiny malých účtovných jednotiek.</w:t>
      </w:r>
    </w:p>
    <w:p w:rsidR="00FF3810" w:rsidRPr="00FF3810" w:rsidRDefault="00AB0B2C" w:rsidP="00FF3810">
      <w:pPr>
        <w:pStyle w:val="Nadpis3"/>
        <w:numPr>
          <w:ilvl w:val="2"/>
          <w:numId w:val="0"/>
        </w:numPr>
        <w:tabs>
          <w:tab w:val="num" w:pos="862"/>
        </w:tabs>
        <w:ind w:left="578" w:right="142" w:hanging="578"/>
        <w:jc w:val="both"/>
        <w:rPr>
          <w:rFonts w:asciiTheme="minorHAnsi" w:hAnsiTheme="minorHAnsi" w:cstheme="minorHAnsi"/>
          <w:sz w:val="20"/>
        </w:rPr>
      </w:pPr>
      <w:r>
        <w:rPr>
          <w:rFonts w:asciiTheme="minorHAnsi" w:hAnsiTheme="minorHAnsi" w:cstheme="minorHAnsi"/>
          <w:sz w:val="20"/>
          <w:szCs w:val="20"/>
        </w:rPr>
        <w:t>6</w:t>
      </w:r>
      <w:r w:rsidR="00B36EAD" w:rsidRPr="00FF3810">
        <w:rPr>
          <w:rFonts w:asciiTheme="minorHAnsi" w:hAnsiTheme="minorHAnsi" w:cstheme="minorHAnsi"/>
          <w:sz w:val="20"/>
          <w:szCs w:val="20"/>
        </w:rPr>
        <w:t>.</w:t>
      </w:r>
      <w:bookmarkStart w:id="1" w:name="_Toc347595025"/>
      <w:r w:rsidR="003C1AB4">
        <w:rPr>
          <w:rFonts w:asciiTheme="minorHAnsi" w:hAnsiTheme="minorHAnsi" w:cstheme="minorHAnsi"/>
          <w:sz w:val="20"/>
          <w:szCs w:val="20"/>
        </w:rPr>
        <w:t xml:space="preserve"> </w:t>
      </w:r>
      <w:r w:rsidR="00FF3810" w:rsidRPr="00FF3810">
        <w:rPr>
          <w:rFonts w:asciiTheme="minorHAnsi" w:hAnsiTheme="minorHAnsi" w:cstheme="minorHAnsi"/>
          <w:sz w:val="20"/>
        </w:rPr>
        <w:t>Dátum schválenie účtovnej závierky za predchádzajúce účtovné obdobie</w:t>
      </w:r>
      <w:bookmarkEnd w:id="1"/>
    </w:p>
    <w:p w:rsidR="009D15A6" w:rsidRDefault="00482980" w:rsidP="00482980">
      <w:pPr>
        <w:pStyle w:val="Zkladntext"/>
        <w:rPr>
          <w:rFonts w:ascii="Calibri" w:hAnsi="Calibri"/>
          <w:b w:val="0"/>
          <w:sz w:val="20"/>
          <w:szCs w:val="20"/>
        </w:rPr>
      </w:pPr>
      <w:r w:rsidRPr="00FF3810">
        <w:rPr>
          <w:rFonts w:ascii="Calibri" w:hAnsi="Calibri"/>
          <w:b w:val="0"/>
          <w:sz w:val="20"/>
          <w:szCs w:val="20"/>
        </w:rPr>
        <w:t xml:space="preserve">Účtovnú závierku za rok </w:t>
      </w:r>
      <w:r w:rsidR="003C1AB4">
        <w:rPr>
          <w:rFonts w:ascii="Calibri" w:hAnsi="Calibri"/>
          <w:b w:val="0"/>
          <w:sz w:val="20"/>
          <w:szCs w:val="20"/>
        </w:rPr>
        <w:t>201</w:t>
      </w:r>
      <w:r w:rsidR="00D35D0C">
        <w:rPr>
          <w:rFonts w:ascii="Calibri" w:hAnsi="Calibri"/>
          <w:b w:val="0"/>
          <w:sz w:val="20"/>
          <w:szCs w:val="20"/>
        </w:rPr>
        <w:t>5</w:t>
      </w:r>
      <w:r w:rsidRPr="00FF3810">
        <w:rPr>
          <w:rFonts w:ascii="Calibri" w:hAnsi="Calibri"/>
          <w:b w:val="0"/>
          <w:sz w:val="20"/>
          <w:szCs w:val="20"/>
        </w:rPr>
        <w:t xml:space="preserve"> schválil</w:t>
      </w:r>
      <w:r w:rsidR="00B424A8" w:rsidRPr="00FF3810">
        <w:rPr>
          <w:rFonts w:ascii="Calibri" w:hAnsi="Calibri"/>
          <w:b w:val="0"/>
          <w:sz w:val="20"/>
          <w:szCs w:val="20"/>
        </w:rPr>
        <w:t>o</w:t>
      </w:r>
      <w:r w:rsidRPr="00FF3810">
        <w:rPr>
          <w:rFonts w:ascii="Calibri" w:hAnsi="Calibri"/>
          <w:b w:val="0"/>
          <w:sz w:val="20"/>
          <w:szCs w:val="20"/>
        </w:rPr>
        <w:t xml:space="preserve"> valné zhromaždenie spoločnosti </w:t>
      </w:r>
      <w:r w:rsidR="00D35D0C">
        <w:rPr>
          <w:rFonts w:ascii="Calibri" w:hAnsi="Calibri"/>
          <w:b w:val="0"/>
          <w:sz w:val="20"/>
          <w:szCs w:val="20"/>
        </w:rPr>
        <w:t>20.6</w:t>
      </w:r>
      <w:r w:rsidR="0054360D">
        <w:rPr>
          <w:rFonts w:ascii="Calibri" w:hAnsi="Calibri"/>
          <w:b w:val="0"/>
          <w:sz w:val="20"/>
          <w:szCs w:val="20"/>
        </w:rPr>
        <w:t>.</w:t>
      </w:r>
      <w:r w:rsidR="00D35D0C">
        <w:rPr>
          <w:rFonts w:ascii="Calibri" w:hAnsi="Calibri"/>
          <w:b w:val="0"/>
          <w:sz w:val="20"/>
          <w:szCs w:val="20"/>
        </w:rPr>
        <w:t>2016.</w:t>
      </w:r>
      <w:r w:rsidR="00FF3810" w:rsidRPr="00FF3810">
        <w:rPr>
          <w:rFonts w:ascii="Calibri" w:hAnsi="Calibri"/>
          <w:b w:val="0"/>
          <w:sz w:val="20"/>
          <w:szCs w:val="20"/>
        </w:rPr>
        <w:t xml:space="preserve"> </w:t>
      </w:r>
    </w:p>
    <w:p w:rsidR="00FC2FC2" w:rsidRDefault="00FC2FC2" w:rsidP="00DA5673">
      <w:pPr>
        <w:pStyle w:val="Zkladntext"/>
        <w:rPr>
          <w:rFonts w:ascii="Calibri" w:hAnsi="Calibri"/>
          <w:b w:val="0"/>
          <w:sz w:val="20"/>
          <w:szCs w:val="20"/>
        </w:rPr>
      </w:pPr>
    </w:p>
    <w:p w:rsidR="00D00725" w:rsidRDefault="00D00725" w:rsidP="00DA5673">
      <w:pPr>
        <w:pStyle w:val="Zkladntext"/>
        <w:rPr>
          <w:rFonts w:ascii="Calibri" w:hAnsi="Calibri"/>
          <w:b w:val="0"/>
          <w:sz w:val="20"/>
          <w:szCs w:val="20"/>
        </w:rPr>
      </w:pPr>
    </w:p>
    <w:p w:rsidR="00D00725" w:rsidRDefault="00D00725" w:rsidP="00DA5673">
      <w:pPr>
        <w:pStyle w:val="Zkladntext"/>
        <w:rPr>
          <w:rFonts w:ascii="Calibri" w:hAnsi="Calibri"/>
          <w:b w:val="0"/>
          <w:sz w:val="20"/>
          <w:szCs w:val="20"/>
        </w:rPr>
      </w:pPr>
    </w:p>
    <w:p w:rsidR="00D00725" w:rsidRDefault="00D00725" w:rsidP="00DA5673">
      <w:pPr>
        <w:pStyle w:val="Zkladntext"/>
        <w:rPr>
          <w:rFonts w:ascii="Calibri" w:hAnsi="Calibri"/>
          <w:b w:val="0"/>
          <w:sz w:val="20"/>
          <w:szCs w:val="20"/>
        </w:rPr>
      </w:pPr>
    </w:p>
    <w:p w:rsidR="00D00725" w:rsidRDefault="00D00725" w:rsidP="00DA5673">
      <w:pPr>
        <w:pStyle w:val="Zkladntext"/>
        <w:rPr>
          <w:rFonts w:ascii="Calibri" w:hAnsi="Calibri"/>
          <w:b w:val="0"/>
          <w:sz w:val="20"/>
          <w:szCs w:val="20"/>
        </w:rPr>
      </w:pPr>
    </w:p>
    <w:p w:rsidR="00D00725" w:rsidRPr="00DA5673" w:rsidRDefault="00D00725" w:rsidP="00DA5673">
      <w:pPr>
        <w:pStyle w:val="Zkladntext"/>
        <w:rPr>
          <w:rFonts w:ascii="Calibri" w:hAnsi="Calibri"/>
          <w:b w:val="0"/>
          <w:sz w:val="20"/>
          <w:szCs w:val="20"/>
        </w:rPr>
      </w:pPr>
    </w:p>
    <w:p w:rsidR="00345463" w:rsidRPr="00DA5673" w:rsidRDefault="0054360D" w:rsidP="00DA5673">
      <w:pPr>
        <w:pStyle w:val="Zkladntext"/>
        <w:rPr>
          <w:rFonts w:ascii="Calibri" w:hAnsi="Calibri" w:cs="Arial"/>
          <w:bCs w:val="0"/>
          <w:sz w:val="20"/>
          <w:szCs w:val="20"/>
        </w:rPr>
      </w:pPr>
      <w:r w:rsidRPr="00DA5673">
        <w:rPr>
          <w:rFonts w:ascii="Calibri" w:hAnsi="Calibri"/>
          <w:sz w:val="20"/>
          <w:szCs w:val="20"/>
        </w:rPr>
        <w:t xml:space="preserve">7. </w:t>
      </w:r>
      <w:r w:rsidRPr="00DA5673">
        <w:rPr>
          <w:rFonts w:ascii="Calibri" w:hAnsi="Calibri" w:cs="Arial"/>
          <w:sz w:val="20"/>
          <w:szCs w:val="20"/>
        </w:rPr>
        <w:t>Údaje o skupine účtovných jednotiek</w:t>
      </w:r>
    </w:p>
    <w:p w:rsidR="00D00725" w:rsidRPr="00DA5673" w:rsidRDefault="000176F0" w:rsidP="00DA5673">
      <w:pPr>
        <w:pStyle w:val="Zkladntext"/>
        <w:rPr>
          <w:rFonts w:asciiTheme="minorHAnsi" w:hAnsiTheme="minorHAnsi"/>
          <w:b w:val="0"/>
          <w:sz w:val="20"/>
          <w:szCs w:val="20"/>
        </w:rPr>
      </w:pPr>
      <w:r>
        <w:rPr>
          <w:rFonts w:asciiTheme="minorHAnsi" w:hAnsiTheme="minorHAnsi"/>
          <w:b w:val="0"/>
          <w:sz w:val="20"/>
          <w:szCs w:val="20"/>
        </w:rPr>
        <w:t>Jediným zakladateľom a spoločníkom spoločnosti s ručením obmedzeným je:</w:t>
      </w:r>
    </w:p>
    <w:p w:rsidR="00DA5673" w:rsidRPr="00DA5673" w:rsidRDefault="00DA5673" w:rsidP="00DA5673">
      <w:pPr>
        <w:pStyle w:val="Zkladntext"/>
        <w:rPr>
          <w:rFonts w:asciiTheme="minorHAnsi" w:hAnsiTheme="minorHAnsi"/>
          <w:b w:val="0"/>
          <w:sz w:val="20"/>
          <w:szCs w:val="20"/>
        </w:rPr>
      </w:pPr>
    </w:p>
    <w:p w:rsidR="00DA5673" w:rsidRPr="00DA5673" w:rsidRDefault="00D35D0C" w:rsidP="00DA5673">
      <w:pPr>
        <w:pStyle w:val="Zkladntext"/>
        <w:rPr>
          <w:rFonts w:asciiTheme="minorHAnsi" w:hAnsiTheme="minorHAnsi"/>
          <w:b w:val="0"/>
          <w:sz w:val="20"/>
          <w:szCs w:val="20"/>
        </w:rPr>
      </w:pPr>
      <w:r>
        <w:rPr>
          <w:rFonts w:asciiTheme="minorHAnsi" w:hAnsiTheme="minorHAnsi"/>
          <w:b w:val="0"/>
          <w:sz w:val="20"/>
          <w:szCs w:val="20"/>
        </w:rPr>
        <w:t xml:space="preserve">VS Investment a.s. </w:t>
      </w:r>
      <w:r w:rsidR="000176F0">
        <w:rPr>
          <w:rFonts w:asciiTheme="minorHAnsi" w:hAnsiTheme="minorHAnsi"/>
          <w:b w:val="0"/>
          <w:sz w:val="20"/>
          <w:szCs w:val="20"/>
        </w:rPr>
        <w:t xml:space="preserve">so sídlom Vojtecha Tvrdého 793/21, 010 01 Žilina, IČO: </w:t>
      </w:r>
      <w:r w:rsidR="00970983">
        <w:rPr>
          <w:rFonts w:asciiTheme="minorHAnsi" w:hAnsiTheme="minorHAnsi"/>
          <w:b w:val="0"/>
          <w:sz w:val="20"/>
          <w:szCs w:val="20"/>
        </w:rPr>
        <w:t>44 983 727</w:t>
      </w:r>
      <w:r w:rsidR="000176F0">
        <w:rPr>
          <w:rFonts w:asciiTheme="minorHAnsi" w:hAnsiTheme="minorHAnsi"/>
          <w:b w:val="0"/>
          <w:sz w:val="20"/>
          <w:szCs w:val="20"/>
        </w:rPr>
        <w:t xml:space="preserve">, zapísaná v Obchodnom registri vedenom Okresným súdom v Žiline, vo vložke č. </w:t>
      </w:r>
      <w:r w:rsidR="00970983">
        <w:rPr>
          <w:rFonts w:asciiTheme="minorHAnsi" w:hAnsiTheme="minorHAnsi"/>
          <w:b w:val="0"/>
          <w:sz w:val="20"/>
          <w:szCs w:val="20"/>
        </w:rPr>
        <w:t>10804</w:t>
      </w:r>
      <w:r w:rsidR="000176F0">
        <w:rPr>
          <w:rFonts w:asciiTheme="minorHAnsi" w:hAnsiTheme="minorHAnsi"/>
          <w:b w:val="0"/>
          <w:sz w:val="20"/>
          <w:szCs w:val="20"/>
        </w:rPr>
        <w:t>/L s</w:t>
      </w:r>
      <w:r w:rsidR="00970983">
        <w:rPr>
          <w:rFonts w:asciiTheme="minorHAnsi" w:hAnsiTheme="minorHAnsi"/>
          <w:b w:val="0"/>
          <w:sz w:val="20"/>
          <w:szCs w:val="20"/>
        </w:rPr>
        <w:t> vkladom spoločníka 6.639</w:t>
      </w:r>
      <w:r w:rsidR="000176F0">
        <w:rPr>
          <w:rFonts w:asciiTheme="minorHAnsi" w:hAnsiTheme="minorHAnsi"/>
          <w:b w:val="0"/>
          <w:sz w:val="20"/>
          <w:szCs w:val="20"/>
        </w:rPr>
        <w:t xml:space="preserve">,-€ (slovom </w:t>
      </w:r>
      <w:r w:rsidR="00970983">
        <w:rPr>
          <w:rFonts w:asciiTheme="minorHAnsi" w:hAnsiTheme="minorHAnsi"/>
          <w:b w:val="0"/>
          <w:sz w:val="20"/>
          <w:szCs w:val="20"/>
        </w:rPr>
        <w:t>šesťtisícšesťstotridsaťdeväť e</w:t>
      </w:r>
      <w:r w:rsidR="000176F0">
        <w:rPr>
          <w:rFonts w:asciiTheme="minorHAnsi" w:hAnsiTheme="minorHAnsi"/>
          <w:b w:val="0"/>
          <w:sz w:val="20"/>
          <w:szCs w:val="20"/>
        </w:rPr>
        <w:t>ur), čo predstavuje 100% na základnom imaní spoločnosti s ručením obmedzeným.</w:t>
      </w:r>
    </w:p>
    <w:p w:rsidR="00DA5673" w:rsidRPr="00DA5673" w:rsidRDefault="00DA5673" w:rsidP="00DA5673">
      <w:pPr>
        <w:pStyle w:val="Zkladntext"/>
        <w:rPr>
          <w:rFonts w:asciiTheme="minorHAnsi" w:hAnsiTheme="minorHAnsi"/>
          <w:b w:val="0"/>
          <w:sz w:val="20"/>
          <w:szCs w:val="20"/>
        </w:rPr>
      </w:pPr>
    </w:p>
    <w:p w:rsidR="00DA5673" w:rsidRDefault="00DA5673" w:rsidP="0054360D">
      <w:pPr>
        <w:jc w:val="both"/>
        <w:rPr>
          <w:rFonts w:ascii="Calibri" w:hAnsi="Calibri" w:cs="Arial"/>
          <w:b/>
          <w:bCs/>
          <w:sz w:val="24"/>
          <w:szCs w:val="24"/>
        </w:rPr>
      </w:pPr>
    </w:p>
    <w:p w:rsidR="0054360D" w:rsidRPr="008F70FB" w:rsidRDefault="0054360D" w:rsidP="0054360D">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 </w:t>
      </w:r>
      <w:r w:rsidRPr="008F70FB">
        <w:rPr>
          <w:rFonts w:ascii="Calibri" w:hAnsi="Calibri" w:cs="Arial"/>
          <w:b/>
          <w:bCs/>
          <w:sz w:val="24"/>
          <w:szCs w:val="24"/>
        </w:rPr>
        <w:t xml:space="preserve"> </w:t>
      </w:r>
      <w:r>
        <w:rPr>
          <w:rFonts w:ascii="Calibri" w:hAnsi="Calibri" w:cs="Arial"/>
          <w:b/>
          <w:bCs/>
          <w:sz w:val="24"/>
          <w:szCs w:val="24"/>
        </w:rPr>
        <w:t>INFORMÁCIE O ORGÁNOCH SPOLOČNOSTI</w:t>
      </w:r>
    </w:p>
    <w:p w:rsidR="0054360D" w:rsidRDefault="0054360D" w:rsidP="0054360D">
      <w:pPr>
        <w:jc w:val="both"/>
        <w:outlineLvl w:val="0"/>
        <w:rPr>
          <w:rFonts w:ascii="Calibri" w:hAnsi="Calibri"/>
          <w:bCs/>
          <w:sz w:val="20"/>
          <w:szCs w:val="20"/>
          <w:lang w:eastAsia="cs-CZ"/>
        </w:rPr>
      </w:pPr>
    </w:p>
    <w:p w:rsidR="0054360D" w:rsidRDefault="00DA5673" w:rsidP="0054360D">
      <w:pPr>
        <w:jc w:val="both"/>
        <w:outlineLvl w:val="0"/>
        <w:rPr>
          <w:rFonts w:ascii="Calibri" w:hAnsi="Calibri"/>
          <w:bCs/>
          <w:sz w:val="20"/>
          <w:szCs w:val="20"/>
          <w:lang w:eastAsia="cs-CZ"/>
        </w:rPr>
      </w:pPr>
      <w:r>
        <w:rPr>
          <w:rFonts w:ascii="Calibri" w:hAnsi="Calibri"/>
          <w:bCs/>
          <w:sz w:val="20"/>
          <w:szCs w:val="20"/>
          <w:lang w:eastAsia="cs-CZ"/>
        </w:rPr>
        <w:t>Konateľ</w:t>
      </w:r>
      <w:r w:rsidR="00D00725">
        <w:rPr>
          <w:rFonts w:ascii="Calibri" w:hAnsi="Calibri"/>
          <w:bCs/>
          <w:sz w:val="20"/>
          <w:szCs w:val="20"/>
          <w:lang w:eastAsia="cs-CZ"/>
        </w:rPr>
        <w:t>om</w:t>
      </w:r>
      <w:r w:rsidR="001764E5">
        <w:rPr>
          <w:rFonts w:ascii="Calibri" w:hAnsi="Calibri"/>
          <w:bCs/>
          <w:sz w:val="20"/>
          <w:szCs w:val="20"/>
          <w:lang w:eastAsia="cs-CZ"/>
        </w:rPr>
        <w:t xml:space="preserve"> </w:t>
      </w:r>
      <w:r w:rsidR="0054360D">
        <w:rPr>
          <w:rFonts w:ascii="Calibri" w:hAnsi="Calibri"/>
          <w:bCs/>
          <w:sz w:val="20"/>
          <w:szCs w:val="20"/>
          <w:lang w:eastAsia="cs-CZ"/>
        </w:rPr>
        <w:t>neboli v roku 201</w:t>
      </w:r>
      <w:r w:rsidR="00D00725">
        <w:rPr>
          <w:rFonts w:ascii="Calibri" w:hAnsi="Calibri"/>
          <w:bCs/>
          <w:sz w:val="20"/>
          <w:szCs w:val="20"/>
          <w:lang w:eastAsia="cs-CZ"/>
        </w:rPr>
        <w:t>6</w:t>
      </w:r>
      <w:r w:rsidR="0054360D">
        <w:rPr>
          <w:rFonts w:ascii="Calibri" w:hAnsi="Calibri"/>
          <w:bCs/>
          <w:sz w:val="20"/>
          <w:szCs w:val="20"/>
          <w:lang w:eastAsia="cs-CZ"/>
        </w:rPr>
        <w:t xml:space="preserve"> poskytnuté žiadne pôžičky, záruky alebo iné formy zabezpečenia</w:t>
      </w:r>
      <w:r w:rsidR="005D4C79">
        <w:rPr>
          <w:rFonts w:ascii="Calibri" w:hAnsi="Calibri"/>
          <w:bCs/>
          <w:sz w:val="20"/>
          <w:szCs w:val="20"/>
          <w:lang w:eastAsia="cs-CZ"/>
        </w:rPr>
        <w:t>, ani</w:t>
      </w:r>
      <w:r w:rsidR="00D00725">
        <w:rPr>
          <w:rFonts w:ascii="Calibri" w:hAnsi="Calibri"/>
          <w:bCs/>
          <w:sz w:val="20"/>
          <w:szCs w:val="20"/>
          <w:lang w:eastAsia="cs-CZ"/>
        </w:rPr>
        <w:t xml:space="preserve"> im</w:t>
      </w:r>
      <w:r w:rsidR="005D4C79">
        <w:rPr>
          <w:rFonts w:ascii="Calibri" w:hAnsi="Calibri"/>
          <w:bCs/>
          <w:sz w:val="20"/>
          <w:szCs w:val="20"/>
          <w:lang w:eastAsia="cs-CZ"/>
        </w:rPr>
        <w:t xml:space="preserve"> </w:t>
      </w:r>
      <w:r w:rsidR="00AA67EF">
        <w:rPr>
          <w:rFonts w:ascii="Calibri" w:hAnsi="Calibri"/>
          <w:bCs/>
          <w:sz w:val="20"/>
          <w:szCs w:val="20"/>
          <w:lang w:eastAsia="cs-CZ"/>
        </w:rPr>
        <w:t>neboli poskytnuté finančné prostriedky</w:t>
      </w:r>
      <w:r w:rsidR="0054360D">
        <w:rPr>
          <w:rFonts w:ascii="Calibri" w:hAnsi="Calibri"/>
          <w:bCs/>
          <w:sz w:val="20"/>
          <w:szCs w:val="20"/>
          <w:lang w:eastAsia="cs-CZ"/>
        </w:rPr>
        <w:t xml:space="preserve"> alebo iné plnenia na súkromné účely.</w:t>
      </w:r>
    </w:p>
    <w:p w:rsidR="001B57E5" w:rsidRDefault="001B57E5" w:rsidP="00482980">
      <w:pPr>
        <w:pStyle w:val="Normlny1"/>
        <w:jc w:val="both"/>
        <w:rPr>
          <w:rFonts w:ascii="Calibri" w:hAnsi="Calibri"/>
          <w:b/>
          <w:bCs/>
          <w:iCs/>
          <w:u w:val="single"/>
        </w:rPr>
      </w:pPr>
    </w:p>
    <w:p w:rsidR="00A83C56" w:rsidRDefault="00A83C56" w:rsidP="00482980">
      <w:pPr>
        <w:pStyle w:val="Normlny1"/>
        <w:jc w:val="both"/>
        <w:rPr>
          <w:rFonts w:ascii="Calibri" w:hAnsi="Calibri"/>
          <w:b/>
          <w:bCs/>
          <w:iCs/>
          <w:u w:val="single"/>
        </w:rPr>
      </w:pPr>
    </w:p>
    <w:p w:rsidR="009A52B5" w:rsidRPr="008F70FB" w:rsidRDefault="009A52B5" w:rsidP="009A52B5">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III </w:t>
      </w:r>
      <w:r w:rsidRPr="008F70FB">
        <w:rPr>
          <w:rFonts w:ascii="Calibri" w:hAnsi="Calibri" w:cs="Arial"/>
          <w:b/>
          <w:bCs/>
          <w:sz w:val="24"/>
          <w:szCs w:val="24"/>
        </w:rPr>
        <w:t xml:space="preserve"> </w:t>
      </w:r>
      <w:r>
        <w:rPr>
          <w:rFonts w:ascii="Calibri" w:hAnsi="Calibri" w:cs="Arial"/>
          <w:b/>
          <w:bCs/>
          <w:sz w:val="24"/>
          <w:szCs w:val="24"/>
        </w:rPr>
        <w:t>INFORMÁCIE O PRIJATÝCH POSTUPOCH</w:t>
      </w:r>
    </w:p>
    <w:p w:rsidR="00482980" w:rsidRPr="008F70FB" w:rsidRDefault="00482980" w:rsidP="00482980">
      <w:pPr>
        <w:pStyle w:val="Normlny1"/>
        <w:jc w:val="both"/>
        <w:rPr>
          <w:rFonts w:ascii="Calibri" w:hAnsi="Calibri"/>
          <w:bCs/>
          <w:iCs/>
          <w:u w:val="single"/>
        </w:rPr>
      </w:pPr>
    </w:p>
    <w:p w:rsidR="00482980" w:rsidRPr="008F70FB" w:rsidRDefault="00482980" w:rsidP="00482980">
      <w:pPr>
        <w:pStyle w:val="Normlny1"/>
        <w:jc w:val="both"/>
        <w:rPr>
          <w:rFonts w:ascii="Calibri" w:hAnsi="Calibri"/>
          <w:b/>
          <w:caps/>
        </w:rPr>
      </w:pPr>
      <w:r w:rsidRPr="008F70FB">
        <w:rPr>
          <w:rFonts w:ascii="Calibri" w:hAnsi="Calibri"/>
          <w:b/>
          <w:caps/>
        </w:rPr>
        <w:t>Východiská pre zostavenie účtovnej závierky:</w:t>
      </w:r>
      <w:r w:rsidRPr="008F70FB">
        <w:rPr>
          <w:rFonts w:ascii="Calibri" w:hAnsi="Calibri"/>
          <w:b/>
          <w:caps/>
        </w:rPr>
        <w:tab/>
      </w:r>
    </w:p>
    <w:p w:rsidR="00482980" w:rsidRPr="008F70FB" w:rsidRDefault="00482980" w:rsidP="00482980">
      <w:pPr>
        <w:tabs>
          <w:tab w:val="left" w:pos="284"/>
          <w:tab w:val="left" w:pos="993"/>
        </w:tabs>
        <w:jc w:val="both"/>
        <w:rPr>
          <w:rFonts w:ascii="Calibri" w:hAnsi="Calibri"/>
          <w:sz w:val="20"/>
          <w:szCs w:val="20"/>
        </w:rPr>
      </w:pPr>
    </w:p>
    <w:p w:rsidR="00482980" w:rsidRPr="008F70FB" w:rsidRDefault="00482980" w:rsidP="00482980">
      <w:pPr>
        <w:tabs>
          <w:tab w:val="left" w:pos="284"/>
          <w:tab w:val="left" w:pos="993"/>
        </w:tabs>
        <w:jc w:val="both"/>
        <w:rPr>
          <w:rFonts w:ascii="Calibri" w:hAnsi="Calibri"/>
          <w:sz w:val="20"/>
          <w:szCs w:val="20"/>
        </w:rPr>
      </w:pPr>
      <w:r w:rsidRPr="008F70FB">
        <w:rPr>
          <w:rFonts w:ascii="Calibri" w:hAnsi="Calibri"/>
          <w:sz w:val="20"/>
          <w:szCs w:val="20"/>
        </w:rPr>
        <w:t xml:space="preserve">Účtovná závierka bola zostavená za predpokladu nepretržitého trvania spoločnosti v súlade so zákonom o účtovníctve  platným v Slovenskej republike a nadväzujúcimi postupmi účtovania. </w:t>
      </w:r>
    </w:p>
    <w:p w:rsidR="00482980" w:rsidRPr="008F70FB" w:rsidRDefault="00482980" w:rsidP="00482980">
      <w:pPr>
        <w:pStyle w:val="Zkladntext"/>
        <w:rPr>
          <w:rFonts w:ascii="Calibri" w:hAnsi="Calibri"/>
          <w:sz w:val="20"/>
          <w:szCs w:val="20"/>
        </w:rPr>
      </w:pPr>
    </w:p>
    <w:p w:rsidR="00482980" w:rsidRPr="008F70FB" w:rsidRDefault="00482980" w:rsidP="00482980">
      <w:pPr>
        <w:pStyle w:val="Zkladntext"/>
        <w:rPr>
          <w:rFonts w:ascii="Calibri" w:hAnsi="Calibri"/>
          <w:b w:val="0"/>
          <w:bCs w:val="0"/>
          <w:sz w:val="20"/>
          <w:szCs w:val="20"/>
        </w:rPr>
      </w:pPr>
      <w:r w:rsidRPr="008F70FB">
        <w:rPr>
          <w:rFonts w:ascii="Calibri" w:hAnsi="Calibri"/>
          <w:b w:val="0"/>
          <w:sz w:val="20"/>
          <w:szCs w:val="20"/>
        </w:rPr>
        <w:t xml:space="preserve">Zostavenie  finančných výkazov je v súlade so všeobecnými účtovnými princípmi použitia odhadov a predpokladov, ktoré vplývajú na majetok a záväzky vo finančných výkazoch, na poznámky o nepredpokladanom majetku a záväzkoch v deň zostavenia finančných výkazov a na príjmy a výdavky počas vykazovaného obdobia. Aj keď sú odhady založené na najlepších informáciách manažmentu o bežných udalostiach a aktivitách, skutočné výsledky sa môžu líšiť od týchto odhadov.  </w:t>
      </w:r>
    </w:p>
    <w:p w:rsidR="00482980" w:rsidRPr="008F70FB" w:rsidRDefault="00482980" w:rsidP="00482980">
      <w:pPr>
        <w:jc w:val="both"/>
        <w:rPr>
          <w:rFonts w:ascii="Calibri" w:hAnsi="Calibri"/>
          <w:sz w:val="20"/>
          <w:szCs w:val="20"/>
        </w:rPr>
      </w:pPr>
    </w:p>
    <w:p w:rsidR="00175705" w:rsidRDefault="00482980" w:rsidP="00175705">
      <w:pPr>
        <w:tabs>
          <w:tab w:val="left" w:pos="284"/>
          <w:tab w:val="left" w:pos="993"/>
        </w:tabs>
        <w:jc w:val="both"/>
        <w:rPr>
          <w:rStyle w:val="ZkladntextChar"/>
          <w:rFonts w:ascii="Calibri" w:hAnsi="Calibri" w:cs="Arial Narrow"/>
          <w:bCs w:val="0"/>
          <w:sz w:val="20"/>
          <w:szCs w:val="20"/>
          <w:lang w:eastAsia="en-US"/>
        </w:rPr>
      </w:pPr>
      <w:r w:rsidRPr="00175705">
        <w:rPr>
          <w:rFonts w:ascii="Calibri" w:hAnsi="Calibri"/>
          <w:sz w:val="20"/>
          <w:szCs w:val="20"/>
        </w:rPr>
        <w:t>Účtovné metódy a všeobecné účtovné zásady boli účtovnou jednotkou konzistentne aplikované.</w:t>
      </w:r>
      <w:r w:rsidR="00FC2FC2" w:rsidRPr="00175705">
        <w:rPr>
          <w:rFonts w:ascii="Calibri" w:hAnsi="Calibri"/>
          <w:sz w:val="20"/>
          <w:szCs w:val="20"/>
        </w:rPr>
        <w:t xml:space="preserve"> V účtovnom období </w:t>
      </w:r>
      <w:r w:rsidR="003C1AB4" w:rsidRPr="00175705">
        <w:rPr>
          <w:rFonts w:ascii="Calibri" w:hAnsi="Calibri"/>
          <w:sz w:val="20"/>
          <w:szCs w:val="20"/>
        </w:rPr>
        <w:t>201</w:t>
      </w:r>
      <w:r w:rsidR="001B6A6E">
        <w:rPr>
          <w:rFonts w:ascii="Calibri" w:hAnsi="Calibri"/>
          <w:sz w:val="20"/>
          <w:szCs w:val="20"/>
        </w:rPr>
        <w:t>6</w:t>
      </w:r>
      <w:r w:rsidR="00FC2FC2" w:rsidRPr="00175705">
        <w:rPr>
          <w:rFonts w:ascii="Calibri" w:hAnsi="Calibri"/>
          <w:sz w:val="20"/>
          <w:szCs w:val="20"/>
        </w:rPr>
        <w:t xml:space="preserve"> spoločnosť nevykonala žiadne opravy významných chýb minulých období.</w:t>
      </w:r>
      <w:r w:rsidR="00175705" w:rsidRPr="00175705">
        <w:rPr>
          <w:rStyle w:val="ZkladntextChar"/>
          <w:rFonts w:ascii="Calibri" w:hAnsi="Calibri" w:cs="Arial Narrow"/>
          <w:bCs w:val="0"/>
          <w:sz w:val="20"/>
          <w:szCs w:val="20"/>
          <w:lang w:eastAsia="en-US"/>
        </w:rPr>
        <w:t xml:space="preserve"> </w:t>
      </w:r>
    </w:p>
    <w:p w:rsidR="00175705" w:rsidRDefault="00175705" w:rsidP="00175705">
      <w:pPr>
        <w:tabs>
          <w:tab w:val="left" w:pos="284"/>
          <w:tab w:val="left" w:pos="993"/>
        </w:tabs>
        <w:jc w:val="both"/>
        <w:rPr>
          <w:rStyle w:val="ZkladntextChar"/>
          <w:rFonts w:ascii="Calibri" w:hAnsi="Calibri" w:cs="Arial Narrow"/>
          <w:bCs w:val="0"/>
          <w:sz w:val="20"/>
          <w:szCs w:val="20"/>
          <w:lang w:eastAsia="en-US"/>
        </w:rPr>
      </w:pPr>
    </w:p>
    <w:p w:rsidR="00175705" w:rsidRDefault="00175705" w:rsidP="00175705">
      <w:pPr>
        <w:tabs>
          <w:tab w:val="left" w:pos="284"/>
          <w:tab w:val="left" w:pos="993"/>
        </w:tabs>
        <w:jc w:val="both"/>
        <w:rPr>
          <w:rStyle w:val="ZkladntextChar"/>
          <w:rFonts w:ascii="Calibri" w:hAnsi="Calibri" w:cs="Arial Narrow"/>
          <w:b w:val="0"/>
          <w:bCs w:val="0"/>
          <w:sz w:val="20"/>
          <w:szCs w:val="20"/>
          <w:lang w:eastAsia="en-US"/>
        </w:rPr>
      </w:pPr>
      <w:r w:rsidRPr="00175705">
        <w:rPr>
          <w:rStyle w:val="ZkladntextChar"/>
          <w:rFonts w:ascii="Calibri" w:hAnsi="Calibri" w:cs="Arial Narrow"/>
          <w:b w:val="0"/>
          <w:bCs w:val="0"/>
          <w:sz w:val="20"/>
          <w:szCs w:val="20"/>
          <w:lang w:eastAsia="en-US"/>
        </w:rPr>
        <w:t>Peňažné údaje sú v účtovnej závierke vykazované v celých eurách.</w:t>
      </w:r>
    </w:p>
    <w:p w:rsidR="001B6A6E" w:rsidRPr="00175705" w:rsidRDefault="001B6A6E" w:rsidP="00175705">
      <w:pPr>
        <w:tabs>
          <w:tab w:val="left" w:pos="284"/>
          <w:tab w:val="left" w:pos="993"/>
        </w:tabs>
        <w:jc w:val="both"/>
        <w:rPr>
          <w:rStyle w:val="ZkladntextChar"/>
          <w:rFonts w:ascii="Calibri" w:hAnsi="Calibri" w:cs="Arial Narrow"/>
          <w:b w:val="0"/>
          <w:bCs w:val="0"/>
          <w:sz w:val="20"/>
          <w:szCs w:val="20"/>
          <w:lang w:eastAsia="en-US"/>
        </w:rPr>
      </w:pPr>
    </w:p>
    <w:p w:rsidR="00482980" w:rsidRPr="008F70FB" w:rsidRDefault="00482980" w:rsidP="00482980">
      <w:pPr>
        <w:pStyle w:val="Nadpis1"/>
        <w:jc w:val="both"/>
        <w:rPr>
          <w:rFonts w:ascii="Calibri" w:hAnsi="Calibri"/>
          <w:caps/>
          <w:noProof/>
          <w:sz w:val="20"/>
          <w:szCs w:val="20"/>
        </w:rPr>
      </w:pPr>
      <w:r w:rsidRPr="008F70FB">
        <w:rPr>
          <w:rFonts w:ascii="Calibri" w:hAnsi="Calibri"/>
          <w:caps/>
          <w:noProof/>
          <w:sz w:val="20"/>
          <w:szCs w:val="20"/>
        </w:rPr>
        <w:t>Spôsob oceňovania jednotlivých položiek</w:t>
      </w:r>
    </w:p>
    <w:p w:rsidR="009A52B5" w:rsidRDefault="009A52B5" w:rsidP="002B7AE4">
      <w:pPr>
        <w:jc w:val="both"/>
        <w:rPr>
          <w:rFonts w:ascii="Calibri" w:hAnsi="Calibri"/>
          <w:b/>
          <w:sz w:val="20"/>
          <w:szCs w:val="20"/>
        </w:rPr>
      </w:pPr>
    </w:p>
    <w:p w:rsidR="00482980" w:rsidRPr="008F70FB" w:rsidRDefault="00B36EAD" w:rsidP="002B7AE4">
      <w:pPr>
        <w:jc w:val="both"/>
        <w:rPr>
          <w:rFonts w:ascii="Calibri" w:hAnsi="Calibri"/>
          <w:b/>
          <w:sz w:val="20"/>
          <w:szCs w:val="20"/>
        </w:rPr>
      </w:pPr>
      <w:r w:rsidRPr="008F70FB">
        <w:rPr>
          <w:rFonts w:ascii="Calibri" w:hAnsi="Calibri"/>
          <w:b/>
          <w:sz w:val="20"/>
          <w:szCs w:val="20"/>
        </w:rPr>
        <w:t xml:space="preserve">a) </w:t>
      </w:r>
      <w:r w:rsidR="00482980" w:rsidRPr="008F70FB">
        <w:rPr>
          <w:rFonts w:ascii="Calibri" w:hAnsi="Calibri"/>
          <w:b/>
          <w:sz w:val="20"/>
          <w:szCs w:val="20"/>
        </w:rPr>
        <w:t>Dlhodobý nehmotný a hmotný majetok</w:t>
      </w:r>
    </w:p>
    <w:p w:rsidR="00482980" w:rsidRPr="008F70FB" w:rsidRDefault="00482980" w:rsidP="00482980">
      <w:pPr>
        <w:pStyle w:val="Zkladntext"/>
        <w:rPr>
          <w:rFonts w:ascii="Calibri" w:hAnsi="Calibri"/>
          <w:b w:val="0"/>
          <w:sz w:val="20"/>
          <w:szCs w:val="20"/>
        </w:rPr>
      </w:pPr>
      <w:r w:rsidRPr="008F70FB">
        <w:rPr>
          <w:rFonts w:ascii="Calibri" w:hAnsi="Calibri"/>
          <w:b w:val="0"/>
          <w:sz w:val="20"/>
          <w:szCs w:val="20"/>
        </w:rPr>
        <w:t xml:space="preserve">Dlhodobý nehmotný a hmotný majetok  nakupovaný sa oceňuje obstarávacou cenou, ktorá zahrňuje cenu obstarania a náklady súvisiace s obstaraním. </w:t>
      </w:r>
    </w:p>
    <w:p w:rsidR="00482980" w:rsidRPr="008F70FB" w:rsidRDefault="00482980" w:rsidP="00482980">
      <w:pPr>
        <w:pStyle w:val="Zkladntext"/>
        <w:rPr>
          <w:rFonts w:ascii="Calibri" w:hAnsi="Calibri"/>
          <w:b w:val="0"/>
          <w:sz w:val="20"/>
          <w:szCs w:val="20"/>
        </w:rPr>
      </w:pPr>
    </w:p>
    <w:p w:rsidR="00482980" w:rsidRPr="008F70FB" w:rsidRDefault="00482980" w:rsidP="00482980">
      <w:pPr>
        <w:pStyle w:val="Zkladntext"/>
        <w:rPr>
          <w:rFonts w:ascii="Calibri" w:hAnsi="Calibri"/>
          <w:b w:val="0"/>
          <w:sz w:val="20"/>
          <w:szCs w:val="20"/>
        </w:rPr>
      </w:pPr>
      <w:r w:rsidRPr="008F70FB">
        <w:rPr>
          <w:rFonts w:ascii="Calibri" w:hAnsi="Calibri"/>
          <w:b w:val="0"/>
          <w:sz w:val="20"/>
          <w:szCs w:val="20"/>
        </w:rPr>
        <w:t xml:space="preserve">Odpisy dlhodobého nehmotného majetku sú stanovené vychádzajúc z predpokladanej doby jeho používania. Odpisovať sa začína rovnomerne od mesiaca zaradenia do používania. Nehmotný  majetok, ktorého obstarávacia cena je 2 400 EUR a nižšia, sa zúčtováva priamo na ťarchu nákladov spoločnosti bežného roka. </w:t>
      </w:r>
    </w:p>
    <w:p w:rsidR="00482980" w:rsidRDefault="00482980" w:rsidP="00482980">
      <w:pPr>
        <w:pStyle w:val="Zkladntext"/>
        <w:rPr>
          <w:rFonts w:ascii="Calibri" w:hAnsi="Calibri"/>
          <w:b w:val="0"/>
          <w:sz w:val="20"/>
          <w:szCs w:val="20"/>
        </w:rPr>
      </w:pPr>
      <w:r w:rsidRPr="008F70FB">
        <w:rPr>
          <w:rFonts w:ascii="Calibri" w:hAnsi="Calibri"/>
          <w:b w:val="0"/>
          <w:sz w:val="20"/>
          <w:szCs w:val="20"/>
        </w:rPr>
        <w:t xml:space="preserve">Odpisy dlhodobého hmotného majetku, ktorého obstarávacia cena je vyššia ako  1 700 EUR sú stanovené na základe doby jeho životnosti. Odpisovať sa začína od </w:t>
      </w:r>
      <w:r w:rsidR="002B7AE4" w:rsidRPr="008F70FB">
        <w:rPr>
          <w:rFonts w:ascii="Calibri" w:hAnsi="Calibri"/>
          <w:b w:val="0"/>
          <w:sz w:val="20"/>
          <w:szCs w:val="20"/>
        </w:rPr>
        <w:t>mesiaca zaradenia do používania</w:t>
      </w:r>
      <w:r w:rsidRPr="008F70FB">
        <w:rPr>
          <w:rFonts w:ascii="Calibri" w:hAnsi="Calibri"/>
          <w:b w:val="0"/>
          <w:sz w:val="20"/>
          <w:szCs w:val="20"/>
        </w:rPr>
        <w:t xml:space="preserve">. </w:t>
      </w:r>
      <w:r w:rsidR="000176F0">
        <w:rPr>
          <w:rFonts w:ascii="Calibri" w:hAnsi="Calibri"/>
          <w:b w:val="0"/>
          <w:sz w:val="20"/>
          <w:szCs w:val="20"/>
        </w:rPr>
        <w:t>Spoločnosť eviduje dlhodobý hmotný majetok</w:t>
      </w:r>
      <w:r w:rsidR="001B6A6E">
        <w:rPr>
          <w:rFonts w:ascii="Calibri" w:hAnsi="Calibri"/>
          <w:b w:val="0"/>
          <w:sz w:val="20"/>
          <w:szCs w:val="20"/>
        </w:rPr>
        <w:t>:</w:t>
      </w:r>
    </w:p>
    <w:p w:rsidR="00DA5673" w:rsidRDefault="00DA5673" w:rsidP="00482980">
      <w:pPr>
        <w:pStyle w:val="Zkladntext"/>
        <w:rPr>
          <w:rFonts w:ascii="Calibri" w:hAnsi="Calibri"/>
          <w:b w:val="0"/>
          <w:sz w:val="20"/>
          <w:szCs w:val="20"/>
        </w:rPr>
      </w:pPr>
    </w:p>
    <w:p w:rsidR="00D00725" w:rsidRDefault="00D00725" w:rsidP="00482980">
      <w:pPr>
        <w:pStyle w:val="Zkladntext"/>
        <w:rPr>
          <w:rFonts w:ascii="Calibri" w:hAnsi="Calibri"/>
          <w:b w:val="0"/>
          <w:sz w:val="20"/>
          <w:szCs w:val="20"/>
        </w:rPr>
      </w:pPr>
    </w:p>
    <w:tbl>
      <w:tblPr>
        <w:tblW w:w="9214" w:type="dxa"/>
        <w:tblInd w:w="30" w:type="dxa"/>
        <w:tblLayout w:type="fixed"/>
        <w:tblCellMar>
          <w:left w:w="30" w:type="dxa"/>
          <w:right w:w="30" w:type="dxa"/>
        </w:tblCellMar>
        <w:tblLook w:val="0000"/>
      </w:tblPr>
      <w:tblGrid>
        <w:gridCol w:w="426"/>
        <w:gridCol w:w="2976"/>
        <w:gridCol w:w="142"/>
        <w:gridCol w:w="1985"/>
        <w:gridCol w:w="141"/>
        <w:gridCol w:w="1701"/>
        <w:gridCol w:w="142"/>
        <w:gridCol w:w="1701"/>
      </w:tblGrid>
      <w:tr w:rsidR="00DA5673" w:rsidTr="00DA5673">
        <w:trPr>
          <w:gridBefore w:val="1"/>
          <w:wBefore w:w="426" w:type="dxa"/>
          <w:trHeight w:val="250"/>
        </w:trPr>
        <w:tc>
          <w:tcPr>
            <w:tcW w:w="3118" w:type="dxa"/>
            <w:gridSpan w:val="2"/>
          </w:tcPr>
          <w:p w:rsidR="00DA5673" w:rsidRDefault="00DA5673" w:rsidP="001D4D18">
            <w:pPr>
              <w:pStyle w:val="Tabulka"/>
            </w:pPr>
          </w:p>
        </w:tc>
        <w:tc>
          <w:tcPr>
            <w:tcW w:w="1985" w:type="dxa"/>
          </w:tcPr>
          <w:p w:rsidR="00DA5673" w:rsidRDefault="00DA5673" w:rsidP="001D4D18">
            <w:pPr>
              <w:pStyle w:val="Tabulka"/>
              <w:jc w:val="center"/>
            </w:pPr>
            <w:r>
              <w:t>Predpokladaná</w:t>
            </w:r>
          </w:p>
        </w:tc>
        <w:tc>
          <w:tcPr>
            <w:tcW w:w="141" w:type="dxa"/>
          </w:tcPr>
          <w:p w:rsidR="00DA5673" w:rsidRDefault="00DA5673" w:rsidP="001D4D18">
            <w:pPr>
              <w:pStyle w:val="Tabulka"/>
              <w:jc w:val="center"/>
            </w:pPr>
          </w:p>
        </w:tc>
        <w:tc>
          <w:tcPr>
            <w:tcW w:w="1701" w:type="dxa"/>
          </w:tcPr>
          <w:p w:rsidR="00DA5673" w:rsidRDefault="00DA5673" w:rsidP="001D4D18">
            <w:pPr>
              <w:pStyle w:val="Tabulka"/>
              <w:jc w:val="center"/>
            </w:pPr>
            <w:r>
              <w:t>Metóda</w:t>
            </w:r>
          </w:p>
        </w:tc>
        <w:tc>
          <w:tcPr>
            <w:tcW w:w="142" w:type="dxa"/>
          </w:tcPr>
          <w:p w:rsidR="00DA5673" w:rsidRDefault="00DA5673" w:rsidP="001D4D18">
            <w:pPr>
              <w:pStyle w:val="Tabulka"/>
              <w:jc w:val="center"/>
            </w:pPr>
          </w:p>
        </w:tc>
        <w:tc>
          <w:tcPr>
            <w:tcW w:w="1701" w:type="dxa"/>
          </w:tcPr>
          <w:p w:rsidR="00DA5673" w:rsidRDefault="00DA5673" w:rsidP="001D4D18">
            <w:pPr>
              <w:pStyle w:val="Tabulka"/>
              <w:jc w:val="center"/>
            </w:pPr>
            <w:r>
              <w:t>Ročná odpisová</w:t>
            </w:r>
          </w:p>
        </w:tc>
      </w:tr>
      <w:tr w:rsidR="00DA5673" w:rsidTr="00DA5673">
        <w:trPr>
          <w:trHeight w:val="250"/>
        </w:trPr>
        <w:tc>
          <w:tcPr>
            <w:tcW w:w="3402" w:type="dxa"/>
            <w:gridSpan w:val="2"/>
            <w:tcBorders>
              <w:bottom w:val="single" w:sz="4" w:space="0" w:color="auto"/>
            </w:tcBorders>
          </w:tcPr>
          <w:p w:rsidR="00DA5673" w:rsidRDefault="00DA5673" w:rsidP="001D4D18">
            <w:pPr>
              <w:pStyle w:val="Tabulka"/>
            </w:pPr>
          </w:p>
        </w:tc>
        <w:tc>
          <w:tcPr>
            <w:tcW w:w="142" w:type="dxa"/>
            <w:tcBorders>
              <w:bottom w:val="single" w:sz="4" w:space="0" w:color="auto"/>
            </w:tcBorders>
          </w:tcPr>
          <w:p w:rsidR="00DA5673" w:rsidRDefault="00DA5673" w:rsidP="001D4D18">
            <w:pPr>
              <w:pStyle w:val="Tabulka"/>
            </w:pPr>
          </w:p>
        </w:tc>
        <w:tc>
          <w:tcPr>
            <w:tcW w:w="1985" w:type="dxa"/>
            <w:tcBorders>
              <w:bottom w:val="single" w:sz="4" w:space="0" w:color="auto"/>
            </w:tcBorders>
          </w:tcPr>
          <w:p w:rsidR="00DA5673" w:rsidRDefault="00DA5673" w:rsidP="001D4D18">
            <w:pPr>
              <w:pStyle w:val="Tabulka"/>
              <w:jc w:val="center"/>
            </w:pPr>
            <w:r>
              <w:t>doba používania v rokoch</w:t>
            </w:r>
          </w:p>
        </w:tc>
        <w:tc>
          <w:tcPr>
            <w:tcW w:w="141" w:type="dxa"/>
            <w:tcBorders>
              <w:bottom w:val="single" w:sz="4" w:space="0" w:color="auto"/>
            </w:tcBorders>
          </w:tcPr>
          <w:p w:rsidR="00DA5673" w:rsidRDefault="00DA5673" w:rsidP="001D4D18">
            <w:pPr>
              <w:pStyle w:val="Tabulka"/>
              <w:jc w:val="center"/>
            </w:pPr>
          </w:p>
        </w:tc>
        <w:tc>
          <w:tcPr>
            <w:tcW w:w="1701" w:type="dxa"/>
            <w:tcBorders>
              <w:bottom w:val="single" w:sz="4" w:space="0" w:color="auto"/>
            </w:tcBorders>
          </w:tcPr>
          <w:p w:rsidR="00DA5673" w:rsidRDefault="00DA5673" w:rsidP="001D4D18">
            <w:pPr>
              <w:pStyle w:val="Tabulka"/>
              <w:jc w:val="center"/>
            </w:pPr>
            <w:r>
              <w:t>odpisovania</w:t>
            </w:r>
          </w:p>
        </w:tc>
        <w:tc>
          <w:tcPr>
            <w:tcW w:w="142" w:type="dxa"/>
            <w:tcBorders>
              <w:bottom w:val="single" w:sz="4" w:space="0" w:color="auto"/>
            </w:tcBorders>
          </w:tcPr>
          <w:p w:rsidR="00DA5673" w:rsidRDefault="00DA5673" w:rsidP="001D4D18">
            <w:pPr>
              <w:pStyle w:val="Tabulka"/>
              <w:jc w:val="center"/>
            </w:pPr>
          </w:p>
        </w:tc>
        <w:tc>
          <w:tcPr>
            <w:tcW w:w="1701" w:type="dxa"/>
            <w:tcBorders>
              <w:bottom w:val="single" w:sz="4" w:space="0" w:color="auto"/>
            </w:tcBorders>
          </w:tcPr>
          <w:p w:rsidR="00DA5673" w:rsidRDefault="00DA5673" w:rsidP="001D4D18">
            <w:pPr>
              <w:pStyle w:val="Tabulka"/>
              <w:jc w:val="center"/>
            </w:pPr>
            <w:r>
              <w:t>sadzba v %</w:t>
            </w:r>
          </w:p>
        </w:tc>
      </w:tr>
      <w:tr w:rsidR="00DA5673" w:rsidTr="009710F7">
        <w:trPr>
          <w:trHeight w:val="285"/>
        </w:trPr>
        <w:tc>
          <w:tcPr>
            <w:tcW w:w="3544" w:type="dxa"/>
            <w:gridSpan w:val="3"/>
            <w:tcBorders>
              <w:top w:val="single" w:sz="4" w:space="0" w:color="auto"/>
            </w:tcBorders>
          </w:tcPr>
          <w:p w:rsidR="00DA5673" w:rsidRDefault="00DA5673" w:rsidP="001D4D18">
            <w:pPr>
              <w:pStyle w:val="Tabulka"/>
              <w:rPr>
                <w:noProof/>
              </w:rPr>
            </w:pPr>
          </w:p>
          <w:p w:rsidR="00C3179D" w:rsidRDefault="00C3179D" w:rsidP="001D4D18">
            <w:pPr>
              <w:pStyle w:val="Tabulka"/>
            </w:pPr>
          </w:p>
        </w:tc>
        <w:tc>
          <w:tcPr>
            <w:tcW w:w="1985" w:type="dxa"/>
            <w:tcBorders>
              <w:top w:val="single" w:sz="4" w:space="0" w:color="auto"/>
            </w:tcBorders>
          </w:tcPr>
          <w:p w:rsidR="00DA5673" w:rsidRDefault="00DA5673" w:rsidP="001D4D18">
            <w:pPr>
              <w:pStyle w:val="Tabulka"/>
              <w:jc w:val="center"/>
            </w:pPr>
          </w:p>
        </w:tc>
        <w:tc>
          <w:tcPr>
            <w:tcW w:w="141" w:type="dxa"/>
            <w:tcBorders>
              <w:top w:val="single" w:sz="4" w:space="0" w:color="auto"/>
            </w:tcBorders>
          </w:tcPr>
          <w:p w:rsidR="00DA5673" w:rsidRDefault="00DA5673" w:rsidP="001D4D18">
            <w:pPr>
              <w:pStyle w:val="Tabulka"/>
              <w:jc w:val="center"/>
            </w:pPr>
          </w:p>
        </w:tc>
        <w:tc>
          <w:tcPr>
            <w:tcW w:w="1701" w:type="dxa"/>
            <w:tcBorders>
              <w:top w:val="single" w:sz="4" w:space="0" w:color="auto"/>
            </w:tcBorders>
          </w:tcPr>
          <w:p w:rsidR="00DA5673" w:rsidRDefault="00DA5673" w:rsidP="001D4D18">
            <w:pPr>
              <w:pStyle w:val="Tabulka"/>
              <w:jc w:val="center"/>
            </w:pPr>
          </w:p>
        </w:tc>
        <w:tc>
          <w:tcPr>
            <w:tcW w:w="142" w:type="dxa"/>
            <w:tcBorders>
              <w:top w:val="single" w:sz="4" w:space="0" w:color="auto"/>
            </w:tcBorders>
          </w:tcPr>
          <w:p w:rsidR="00DA5673" w:rsidRDefault="00DA5673" w:rsidP="001D4D18">
            <w:pPr>
              <w:pStyle w:val="Tabulka"/>
              <w:jc w:val="center"/>
            </w:pPr>
          </w:p>
        </w:tc>
        <w:tc>
          <w:tcPr>
            <w:tcW w:w="1701" w:type="dxa"/>
            <w:tcBorders>
              <w:top w:val="single" w:sz="4" w:space="0" w:color="auto"/>
            </w:tcBorders>
          </w:tcPr>
          <w:p w:rsidR="00DA5673" w:rsidRDefault="00DA5673" w:rsidP="001D4D18">
            <w:pPr>
              <w:pStyle w:val="Tabulka"/>
              <w:jc w:val="center"/>
            </w:pPr>
          </w:p>
        </w:tc>
      </w:tr>
    </w:tbl>
    <w:p w:rsidR="009156B0" w:rsidRDefault="00085941" w:rsidP="000C4865">
      <w:pPr>
        <w:pStyle w:val="Pismenka"/>
        <w:tabs>
          <w:tab w:val="clear" w:pos="426"/>
        </w:tabs>
        <w:jc w:val="both"/>
        <w:rPr>
          <w:rFonts w:ascii="Calibri" w:hAnsi="Calibri"/>
          <w:sz w:val="20"/>
        </w:rPr>
      </w:pPr>
      <w:r>
        <w:rPr>
          <w:rFonts w:ascii="Calibri" w:hAnsi="Calibri"/>
          <w:sz w:val="20"/>
        </w:rPr>
        <w:t>Stavby- administratívne priestory</w:t>
      </w:r>
      <w:r>
        <w:rPr>
          <w:rFonts w:ascii="Calibri" w:hAnsi="Calibri"/>
          <w:sz w:val="20"/>
        </w:rPr>
        <w:tab/>
      </w:r>
      <w:r>
        <w:rPr>
          <w:rFonts w:ascii="Calibri" w:hAnsi="Calibri"/>
          <w:sz w:val="20"/>
        </w:rPr>
        <w:tab/>
        <w:t>40 rokov</w:t>
      </w:r>
      <w:r>
        <w:rPr>
          <w:rFonts w:ascii="Calibri" w:hAnsi="Calibri"/>
          <w:sz w:val="20"/>
        </w:rPr>
        <w:tab/>
      </w:r>
      <w:r>
        <w:rPr>
          <w:rFonts w:ascii="Calibri" w:hAnsi="Calibri"/>
          <w:sz w:val="20"/>
        </w:rPr>
        <w:tab/>
        <w:t>lineárne</w:t>
      </w:r>
      <w:r>
        <w:rPr>
          <w:rFonts w:ascii="Calibri" w:hAnsi="Calibri"/>
          <w:sz w:val="20"/>
        </w:rPr>
        <w:tab/>
      </w:r>
      <w:r>
        <w:rPr>
          <w:rFonts w:ascii="Calibri" w:hAnsi="Calibri"/>
          <w:sz w:val="20"/>
        </w:rPr>
        <w:tab/>
      </w:r>
      <w:r>
        <w:rPr>
          <w:rFonts w:ascii="Calibri" w:hAnsi="Calibri"/>
          <w:sz w:val="20"/>
        </w:rPr>
        <w:tab/>
        <w:t>2,5%</w:t>
      </w:r>
      <w:r>
        <w:rPr>
          <w:rFonts w:ascii="Calibri" w:hAnsi="Calibri"/>
          <w:sz w:val="20"/>
        </w:rPr>
        <w:tab/>
      </w:r>
    </w:p>
    <w:p w:rsidR="00085941" w:rsidRDefault="00085941" w:rsidP="000C4865">
      <w:pPr>
        <w:pStyle w:val="Pismenka"/>
        <w:tabs>
          <w:tab w:val="clear" w:pos="426"/>
        </w:tabs>
        <w:jc w:val="both"/>
        <w:rPr>
          <w:rFonts w:ascii="Calibri" w:hAnsi="Calibri"/>
          <w:sz w:val="20"/>
        </w:rPr>
      </w:pPr>
      <w:r>
        <w:rPr>
          <w:rFonts w:ascii="Calibri" w:hAnsi="Calibri"/>
          <w:sz w:val="20"/>
        </w:rPr>
        <w:t xml:space="preserve">Kancelársky nábytok ( OC </w:t>
      </w:r>
      <w:r>
        <w:rPr>
          <w:rFonts w:ascii="Calibri" w:hAnsi="Calibri" w:cs="Calibri"/>
          <w:sz w:val="20"/>
        </w:rPr>
        <w:t>&gt;</w:t>
      </w:r>
      <w:r>
        <w:rPr>
          <w:rFonts w:ascii="Calibri" w:hAnsi="Calibri"/>
          <w:sz w:val="20"/>
        </w:rPr>
        <w:t xml:space="preserve"> 1700€ )</w:t>
      </w:r>
      <w:r>
        <w:rPr>
          <w:rFonts w:ascii="Calibri" w:hAnsi="Calibri"/>
          <w:sz w:val="20"/>
        </w:rPr>
        <w:tab/>
        <w:t>4 roky</w:t>
      </w:r>
      <w:r>
        <w:rPr>
          <w:rFonts w:ascii="Calibri" w:hAnsi="Calibri"/>
          <w:sz w:val="20"/>
        </w:rPr>
        <w:tab/>
      </w:r>
      <w:r>
        <w:rPr>
          <w:rFonts w:ascii="Calibri" w:hAnsi="Calibri"/>
          <w:sz w:val="20"/>
        </w:rPr>
        <w:tab/>
      </w:r>
      <w:r>
        <w:rPr>
          <w:rFonts w:ascii="Calibri" w:hAnsi="Calibri"/>
          <w:sz w:val="20"/>
        </w:rPr>
        <w:tab/>
        <w:t>lineárne</w:t>
      </w:r>
      <w:r>
        <w:rPr>
          <w:rFonts w:ascii="Calibri" w:hAnsi="Calibri"/>
          <w:sz w:val="20"/>
        </w:rPr>
        <w:tab/>
      </w:r>
      <w:r>
        <w:rPr>
          <w:rFonts w:ascii="Calibri" w:hAnsi="Calibri"/>
          <w:sz w:val="20"/>
        </w:rPr>
        <w:tab/>
      </w:r>
      <w:r>
        <w:rPr>
          <w:rFonts w:ascii="Calibri" w:hAnsi="Calibri"/>
          <w:sz w:val="20"/>
        </w:rPr>
        <w:tab/>
        <w:t>25%</w:t>
      </w:r>
    </w:p>
    <w:p w:rsidR="00085941" w:rsidRDefault="00085941" w:rsidP="000C4865">
      <w:pPr>
        <w:pStyle w:val="Pismenka"/>
        <w:tabs>
          <w:tab w:val="clear" w:pos="426"/>
        </w:tabs>
        <w:jc w:val="both"/>
        <w:rPr>
          <w:rFonts w:ascii="Calibri" w:hAnsi="Calibri"/>
          <w:sz w:val="20"/>
        </w:rPr>
      </w:pPr>
      <w:r>
        <w:rPr>
          <w:rFonts w:ascii="Calibri" w:hAnsi="Calibri"/>
          <w:sz w:val="20"/>
        </w:rPr>
        <w:t xml:space="preserve">Ostatný kancelársky nábytok (OC </w:t>
      </w:r>
      <w:r>
        <w:rPr>
          <w:rFonts w:ascii="Calibri" w:hAnsi="Calibri" w:cs="Calibri"/>
          <w:sz w:val="20"/>
        </w:rPr>
        <w:t>&lt;</w:t>
      </w:r>
      <w:r>
        <w:rPr>
          <w:rFonts w:ascii="Calibri" w:hAnsi="Calibri"/>
          <w:sz w:val="20"/>
        </w:rPr>
        <w:t xml:space="preserve"> 1700€ ) 2 roky</w:t>
      </w:r>
      <w:r>
        <w:rPr>
          <w:rFonts w:ascii="Calibri" w:hAnsi="Calibri"/>
          <w:sz w:val="20"/>
        </w:rPr>
        <w:tab/>
      </w:r>
      <w:r>
        <w:rPr>
          <w:rFonts w:ascii="Calibri" w:hAnsi="Calibri"/>
          <w:sz w:val="20"/>
        </w:rPr>
        <w:tab/>
      </w:r>
      <w:r>
        <w:rPr>
          <w:rFonts w:ascii="Calibri" w:hAnsi="Calibri"/>
          <w:sz w:val="20"/>
        </w:rPr>
        <w:tab/>
        <w:t>lineárne</w:t>
      </w:r>
      <w:r>
        <w:rPr>
          <w:rFonts w:ascii="Calibri" w:hAnsi="Calibri"/>
          <w:sz w:val="20"/>
        </w:rPr>
        <w:tab/>
      </w:r>
      <w:r>
        <w:rPr>
          <w:rFonts w:ascii="Calibri" w:hAnsi="Calibri"/>
          <w:sz w:val="20"/>
        </w:rPr>
        <w:tab/>
      </w:r>
      <w:r>
        <w:rPr>
          <w:rFonts w:ascii="Calibri" w:hAnsi="Calibri"/>
          <w:sz w:val="20"/>
        </w:rPr>
        <w:tab/>
        <w:t>50%</w:t>
      </w:r>
    </w:p>
    <w:p w:rsidR="009156B0" w:rsidRDefault="00085941" w:rsidP="000C4865">
      <w:pPr>
        <w:pStyle w:val="Pismenka"/>
        <w:tabs>
          <w:tab w:val="clear" w:pos="426"/>
        </w:tabs>
        <w:jc w:val="both"/>
        <w:rPr>
          <w:rFonts w:ascii="Calibri" w:hAnsi="Calibri"/>
          <w:sz w:val="20"/>
        </w:rPr>
      </w:pPr>
      <w:r>
        <w:rPr>
          <w:rFonts w:ascii="Calibri" w:hAnsi="Calibri"/>
          <w:sz w:val="20"/>
        </w:rPr>
        <w:t>Pozemok</w:t>
      </w:r>
      <w:r>
        <w:rPr>
          <w:rFonts w:ascii="Calibri" w:hAnsi="Calibri"/>
          <w:sz w:val="20"/>
        </w:rPr>
        <w:tab/>
      </w:r>
      <w:r>
        <w:rPr>
          <w:rFonts w:ascii="Calibri" w:hAnsi="Calibri"/>
          <w:sz w:val="20"/>
        </w:rPr>
        <w:tab/>
      </w:r>
      <w:r>
        <w:rPr>
          <w:rFonts w:ascii="Calibri" w:hAnsi="Calibri"/>
          <w:sz w:val="20"/>
        </w:rPr>
        <w:tab/>
      </w:r>
      <w:r>
        <w:rPr>
          <w:rFonts w:ascii="Calibri" w:hAnsi="Calibri"/>
          <w:sz w:val="20"/>
        </w:rPr>
        <w:tab/>
      </w:r>
      <w:r>
        <w:rPr>
          <w:rFonts w:ascii="Calibri" w:hAnsi="Calibri"/>
          <w:sz w:val="20"/>
        </w:rPr>
        <w:tab/>
      </w:r>
      <w:r>
        <w:rPr>
          <w:rFonts w:ascii="Calibri" w:hAnsi="Calibri"/>
          <w:sz w:val="20"/>
        </w:rPr>
        <w:tab/>
      </w:r>
      <w:r>
        <w:rPr>
          <w:rFonts w:ascii="Calibri" w:hAnsi="Calibri"/>
          <w:sz w:val="20"/>
        </w:rPr>
        <w:tab/>
        <w:t>neodpisuje sa</w:t>
      </w:r>
    </w:p>
    <w:p w:rsidR="009156B0" w:rsidRDefault="009156B0" w:rsidP="000C4865">
      <w:pPr>
        <w:pStyle w:val="Pismenka"/>
        <w:tabs>
          <w:tab w:val="clear" w:pos="426"/>
        </w:tabs>
        <w:jc w:val="both"/>
        <w:rPr>
          <w:rFonts w:ascii="Calibri" w:hAnsi="Calibri"/>
          <w:sz w:val="20"/>
        </w:rPr>
      </w:pPr>
    </w:p>
    <w:p w:rsidR="000C4865" w:rsidRPr="00F00CD6" w:rsidRDefault="000C4865" w:rsidP="000C4865">
      <w:pPr>
        <w:pStyle w:val="Pismenka"/>
        <w:tabs>
          <w:tab w:val="clear" w:pos="426"/>
        </w:tabs>
        <w:jc w:val="both"/>
        <w:rPr>
          <w:rFonts w:ascii="Calibri" w:hAnsi="Calibri"/>
          <w:sz w:val="20"/>
        </w:rPr>
      </w:pPr>
      <w:r>
        <w:rPr>
          <w:rFonts w:ascii="Calibri" w:hAnsi="Calibri"/>
          <w:sz w:val="20"/>
        </w:rPr>
        <w:t xml:space="preserve">b) </w:t>
      </w:r>
      <w:r w:rsidRPr="00F00CD6">
        <w:rPr>
          <w:rFonts w:ascii="Calibri" w:hAnsi="Calibri"/>
          <w:sz w:val="20"/>
        </w:rPr>
        <w:t>Dlhodobý finančný majetok</w:t>
      </w:r>
    </w:p>
    <w:p w:rsidR="005D4C79" w:rsidRDefault="000C4865" w:rsidP="000C4865">
      <w:pPr>
        <w:pStyle w:val="Zkladntext"/>
        <w:rPr>
          <w:rFonts w:ascii="Calibri" w:hAnsi="Calibri"/>
          <w:b w:val="0"/>
          <w:sz w:val="20"/>
          <w:szCs w:val="20"/>
        </w:rPr>
      </w:pPr>
      <w:r w:rsidRPr="00F00CD6">
        <w:rPr>
          <w:rFonts w:ascii="Calibri" w:hAnsi="Calibri"/>
          <w:b w:val="0"/>
          <w:sz w:val="20"/>
          <w:szCs w:val="20"/>
        </w:rPr>
        <w:t>Dlhodobý finančný majetok sa oceňuj</w:t>
      </w:r>
      <w:r>
        <w:rPr>
          <w:rFonts w:ascii="Calibri" w:hAnsi="Calibri"/>
          <w:b w:val="0"/>
          <w:sz w:val="20"/>
          <w:szCs w:val="20"/>
        </w:rPr>
        <w:t>e</w:t>
      </w:r>
      <w:r w:rsidRPr="00F00CD6">
        <w:rPr>
          <w:rFonts w:ascii="Calibri" w:hAnsi="Calibri"/>
          <w:b w:val="0"/>
          <w:sz w:val="20"/>
          <w:szCs w:val="20"/>
        </w:rPr>
        <w:t xml:space="preserve"> obstarávacou cenou vrátane nákladov súvisiacich s obstaraním. </w:t>
      </w:r>
    </w:p>
    <w:p w:rsidR="000C4865" w:rsidRPr="00F00CD6" w:rsidRDefault="005D4C79" w:rsidP="000C4865">
      <w:pPr>
        <w:pStyle w:val="Zkladntext"/>
        <w:rPr>
          <w:rFonts w:ascii="Calibri" w:hAnsi="Calibri"/>
          <w:b w:val="0"/>
          <w:sz w:val="20"/>
          <w:szCs w:val="20"/>
        </w:rPr>
      </w:pPr>
      <w:r>
        <w:rPr>
          <w:rFonts w:ascii="Calibri" w:hAnsi="Calibri"/>
          <w:b w:val="0"/>
          <w:sz w:val="20"/>
          <w:szCs w:val="20"/>
        </w:rPr>
        <w:t xml:space="preserve">V rámci dlhodobého finančného majetku sa vykazujú poskytnuté pôžičky, ktorých doba splatnosti pri poskytnutí je dlhšia </w:t>
      </w:r>
      <w:r w:rsidR="005B1D7C">
        <w:rPr>
          <w:rFonts w:ascii="Calibri" w:hAnsi="Calibri"/>
          <w:b w:val="0"/>
          <w:sz w:val="20"/>
          <w:szCs w:val="20"/>
        </w:rPr>
        <w:t xml:space="preserve">ako jeden rok. </w:t>
      </w:r>
    </w:p>
    <w:p w:rsidR="000C4865" w:rsidRDefault="000C4865" w:rsidP="002B7AE4">
      <w:pPr>
        <w:pStyle w:val="Normlny1"/>
        <w:tabs>
          <w:tab w:val="left" w:pos="360"/>
        </w:tabs>
        <w:jc w:val="both"/>
        <w:rPr>
          <w:rFonts w:ascii="Calibri" w:hAnsi="Calibri"/>
          <w:b/>
        </w:rPr>
      </w:pPr>
    </w:p>
    <w:p w:rsidR="002B7AE4" w:rsidRPr="008F70FB" w:rsidRDefault="000C4865" w:rsidP="002B7AE4">
      <w:pPr>
        <w:pStyle w:val="Normlny1"/>
        <w:tabs>
          <w:tab w:val="left" w:pos="360"/>
        </w:tabs>
        <w:jc w:val="both"/>
        <w:rPr>
          <w:rFonts w:ascii="Calibri" w:hAnsi="Calibri"/>
          <w:b/>
        </w:rPr>
      </w:pPr>
      <w:r>
        <w:rPr>
          <w:rFonts w:ascii="Calibri" w:hAnsi="Calibri"/>
          <w:b/>
        </w:rPr>
        <w:t>c</w:t>
      </w:r>
      <w:r w:rsidR="00B36EAD" w:rsidRPr="008F70FB">
        <w:rPr>
          <w:rFonts w:ascii="Calibri" w:hAnsi="Calibri"/>
          <w:b/>
        </w:rPr>
        <w:t xml:space="preserve">) </w:t>
      </w:r>
      <w:r w:rsidR="002B7AE4" w:rsidRPr="008F70FB">
        <w:rPr>
          <w:rFonts w:ascii="Calibri" w:hAnsi="Calibri"/>
          <w:b/>
        </w:rPr>
        <w:t>Zásoby</w:t>
      </w:r>
    </w:p>
    <w:p w:rsidR="00E12DD0" w:rsidRPr="006B7FD8" w:rsidRDefault="006B7FD8" w:rsidP="00E12DD0">
      <w:pPr>
        <w:pStyle w:val="Zkladntext"/>
        <w:rPr>
          <w:rFonts w:asciiTheme="minorHAnsi" w:hAnsiTheme="minorHAnsi"/>
          <w:b w:val="0"/>
          <w:sz w:val="20"/>
          <w:szCs w:val="20"/>
        </w:rPr>
      </w:pPr>
      <w:r w:rsidRPr="006B7FD8">
        <w:rPr>
          <w:rFonts w:asciiTheme="minorHAnsi" w:hAnsiTheme="minorHAnsi"/>
          <w:b w:val="0"/>
          <w:sz w:val="20"/>
          <w:szCs w:val="20"/>
        </w:rPr>
        <w:t>Zásoby sa oceňujú nižšou z nasledujúcich hodnôt: obstarávacou cenou (nakupované zásoby) alebo vlastnými nákladmi (zásoby vytvorené vlastnou činnosťou) alebo čistou realizačnou hodnotou.</w:t>
      </w:r>
      <w:r>
        <w:rPr>
          <w:rFonts w:asciiTheme="minorHAnsi" w:hAnsiTheme="minorHAnsi"/>
          <w:b w:val="0"/>
          <w:sz w:val="20"/>
          <w:szCs w:val="20"/>
        </w:rPr>
        <w:t xml:space="preserve"> </w:t>
      </w:r>
      <w:r w:rsidRPr="006B7FD8">
        <w:rPr>
          <w:rFonts w:asciiTheme="minorHAnsi" w:hAnsiTheme="minorHAnsi"/>
          <w:b w:val="0"/>
          <w:sz w:val="20"/>
          <w:szCs w:val="2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r>
        <w:rPr>
          <w:rFonts w:asciiTheme="minorHAnsi" w:hAnsiTheme="minorHAnsi"/>
          <w:b w:val="0"/>
          <w:sz w:val="20"/>
          <w:szCs w:val="20"/>
        </w:rPr>
        <w:t xml:space="preserve"> </w:t>
      </w:r>
      <w:r w:rsidRPr="006B7FD8">
        <w:rPr>
          <w:rFonts w:asciiTheme="minorHAnsi" w:hAnsiTheme="minorHAnsi"/>
          <w:b w:val="0"/>
          <w:sz w:val="20"/>
          <w:szCs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r w:rsidR="00E12DD0" w:rsidRPr="00E12DD0">
        <w:rPr>
          <w:rFonts w:asciiTheme="minorHAnsi" w:hAnsiTheme="minorHAnsi"/>
          <w:b w:val="0"/>
          <w:sz w:val="20"/>
          <w:szCs w:val="20"/>
        </w:rPr>
        <w:t xml:space="preserve"> </w:t>
      </w:r>
      <w:r w:rsidR="00266F07">
        <w:rPr>
          <w:rFonts w:asciiTheme="minorHAnsi" w:hAnsiTheme="minorHAnsi"/>
          <w:b w:val="0"/>
          <w:sz w:val="20"/>
          <w:szCs w:val="20"/>
        </w:rPr>
        <w:t xml:space="preserve">Pri vyskladňovaní vlastných výrobkov spoločnosť používa metódu FIFO. </w:t>
      </w:r>
      <w:r w:rsidR="00E12DD0">
        <w:rPr>
          <w:rFonts w:asciiTheme="minorHAnsi" w:hAnsiTheme="minorHAnsi"/>
          <w:b w:val="0"/>
          <w:sz w:val="20"/>
          <w:szCs w:val="20"/>
        </w:rPr>
        <w:t>Zásoby týkajúce sa zákazkovej výroby sú účtované priamo do nákladov konkrétnej realizovanej zákazky.</w:t>
      </w:r>
    </w:p>
    <w:p w:rsidR="006B7FD8" w:rsidRPr="006B7FD8" w:rsidRDefault="006B7FD8" w:rsidP="006B7FD8">
      <w:pPr>
        <w:pStyle w:val="Zkladntext"/>
        <w:rPr>
          <w:rFonts w:asciiTheme="minorHAnsi" w:hAnsiTheme="minorHAnsi"/>
          <w:b w:val="0"/>
          <w:sz w:val="20"/>
          <w:szCs w:val="20"/>
        </w:rPr>
      </w:pPr>
    </w:p>
    <w:p w:rsidR="006B7FD8" w:rsidRDefault="006B7FD8" w:rsidP="006B7FD8">
      <w:pPr>
        <w:pStyle w:val="Zkladntext"/>
        <w:rPr>
          <w:rFonts w:asciiTheme="minorHAnsi" w:hAnsiTheme="minorHAnsi"/>
          <w:b w:val="0"/>
          <w:sz w:val="20"/>
          <w:szCs w:val="20"/>
        </w:rPr>
      </w:pPr>
      <w:r w:rsidRPr="006B7FD8">
        <w:rPr>
          <w:rFonts w:asciiTheme="minorHAnsi" w:hAnsiTheme="minorHAnsi"/>
          <w:b w:val="0"/>
          <w:sz w:val="20"/>
          <w:szCs w:val="20"/>
        </w:rPr>
        <w:t>Čistá realizačná hodnota je predpokladaná predajná cena znížená o predpokladané náklady na ich dokončenie a o predpokladané náklady súvisiace s ich predajom.  Zníženie hodnoty zásob sa zohľadňuje vytvorením opravnej položky.</w:t>
      </w:r>
    </w:p>
    <w:p w:rsidR="006B7FD8" w:rsidRPr="00B50225" w:rsidRDefault="006B7FD8" w:rsidP="006B7FD8">
      <w:pPr>
        <w:pStyle w:val="Zkladntext"/>
        <w:rPr>
          <w:szCs w:val="18"/>
        </w:rPr>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d</w:t>
      </w:r>
      <w:r w:rsidR="00B36EAD" w:rsidRPr="008F70FB">
        <w:rPr>
          <w:rFonts w:ascii="Calibri" w:hAnsi="Calibri"/>
          <w:sz w:val="20"/>
        </w:rPr>
        <w:t xml:space="preserve">) </w:t>
      </w:r>
      <w:r w:rsidR="00482980" w:rsidRPr="008F70FB">
        <w:rPr>
          <w:rFonts w:ascii="Calibri" w:hAnsi="Calibri"/>
          <w:sz w:val="20"/>
        </w:rPr>
        <w:t>Pohľadávky</w:t>
      </w:r>
    </w:p>
    <w:p w:rsidR="006B7FD8" w:rsidRPr="006B7FD8" w:rsidRDefault="006B7FD8" w:rsidP="006B7FD8">
      <w:pPr>
        <w:pStyle w:val="Zkladntext"/>
        <w:rPr>
          <w:rFonts w:asciiTheme="minorHAnsi" w:hAnsiTheme="minorHAnsi"/>
          <w:b w:val="0"/>
          <w:sz w:val="20"/>
          <w:szCs w:val="20"/>
        </w:rPr>
      </w:pPr>
      <w:r w:rsidRPr="006B7FD8">
        <w:rPr>
          <w:rFonts w:asciiTheme="minorHAnsi" w:hAnsiTheme="minorHAnsi"/>
          <w:b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82980" w:rsidRPr="008F70FB" w:rsidRDefault="00482980" w:rsidP="00482980">
      <w:pPr>
        <w:pStyle w:val="Pismenka"/>
        <w:tabs>
          <w:tab w:val="clear" w:pos="426"/>
        </w:tabs>
        <w:ind w:left="0" w:firstLine="0"/>
        <w:jc w:val="both"/>
        <w:rPr>
          <w:rFonts w:ascii="Calibri" w:hAnsi="Calibri"/>
          <w:b w:val="0"/>
          <w:sz w:val="20"/>
        </w:rPr>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e</w:t>
      </w:r>
      <w:r w:rsidR="00B36EAD" w:rsidRPr="008F70FB">
        <w:rPr>
          <w:rFonts w:ascii="Calibri" w:hAnsi="Calibri"/>
          <w:sz w:val="20"/>
        </w:rPr>
        <w:t xml:space="preserve">) </w:t>
      </w:r>
      <w:r w:rsidR="00482980" w:rsidRPr="008F70FB">
        <w:rPr>
          <w:rFonts w:ascii="Calibri" w:hAnsi="Calibri"/>
          <w:sz w:val="20"/>
        </w:rPr>
        <w:t>Peňažné prostriedky a ceniny</w:t>
      </w:r>
    </w:p>
    <w:p w:rsidR="00482980" w:rsidRPr="008F70FB" w:rsidRDefault="00482980" w:rsidP="00482980">
      <w:pPr>
        <w:jc w:val="both"/>
        <w:rPr>
          <w:rFonts w:ascii="Calibri" w:hAnsi="Calibri"/>
          <w:sz w:val="20"/>
          <w:szCs w:val="20"/>
        </w:rPr>
      </w:pPr>
      <w:r w:rsidRPr="008F70FB">
        <w:rPr>
          <w:rFonts w:ascii="Calibri" w:hAnsi="Calibri"/>
          <w:sz w:val="20"/>
          <w:szCs w:val="20"/>
        </w:rPr>
        <w:t xml:space="preserve">Peňažné prostriedky a ceniny sa oceňujú ich </w:t>
      </w:r>
      <w:r w:rsidR="00A02E22">
        <w:rPr>
          <w:rFonts w:ascii="Calibri" w:hAnsi="Calibri"/>
          <w:sz w:val="20"/>
          <w:szCs w:val="20"/>
        </w:rPr>
        <w:t>menovitou</w:t>
      </w:r>
      <w:r w:rsidRPr="008F70FB">
        <w:rPr>
          <w:rFonts w:ascii="Calibri" w:hAnsi="Calibri"/>
          <w:sz w:val="20"/>
          <w:szCs w:val="20"/>
        </w:rPr>
        <w:t xml:space="preserve"> hodnotou.</w:t>
      </w:r>
      <w:r w:rsidR="000F1C5E">
        <w:rPr>
          <w:rFonts w:ascii="Calibri" w:hAnsi="Calibri"/>
          <w:sz w:val="20"/>
          <w:szCs w:val="20"/>
        </w:rPr>
        <w:t xml:space="preserve"> Zníženie ich hodnoty sa vyjadruje opravnou položkou.</w:t>
      </w:r>
    </w:p>
    <w:p w:rsidR="00482980" w:rsidRPr="008F70FB" w:rsidRDefault="00482980" w:rsidP="00482980">
      <w:pPr>
        <w:pStyle w:val="Zkladntext"/>
        <w:rPr>
          <w:rFonts w:ascii="Calibri" w:hAnsi="Calibri"/>
          <w:sz w:val="20"/>
          <w:szCs w:val="20"/>
        </w:rPr>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f</w:t>
      </w:r>
      <w:r w:rsidR="00B36EAD" w:rsidRPr="008F70FB">
        <w:rPr>
          <w:rFonts w:ascii="Calibri" w:hAnsi="Calibri"/>
          <w:sz w:val="20"/>
        </w:rPr>
        <w:t xml:space="preserve">) </w:t>
      </w:r>
      <w:r w:rsidR="00482980" w:rsidRPr="008F70FB">
        <w:rPr>
          <w:rFonts w:ascii="Calibri" w:hAnsi="Calibri"/>
          <w:sz w:val="20"/>
        </w:rPr>
        <w:t>Rezervy</w:t>
      </w:r>
    </w:p>
    <w:p w:rsidR="009A52B5" w:rsidRPr="00EA4D02" w:rsidRDefault="009A52B5" w:rsidP="009A52B5">
      <w:pPr>
        <w:pStyle w:val="odstavec"/>
      </w:pPr>
      <w:r w:rsidRPr="00EA4D02">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9A52B5" w:rsidRPr="00EA4D02" w:rsidRDefault="009A52B5" w:rsidP="009A52B5">
      <w:pPr>
        <w:pStyle w:val="odstavec"/>
      </w:pPr>
    </w:p>
    <w:p w:rsidR="009A52B5" w:rsidRDefault="009A52B5" w:rsidP="009A52B5">
      <w:pPr>
        <w:pStyle w:val="odstavec"/>
      </w:pPr>
      <w:r w:rsidRPr="00EA4D02">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9A52B5" w:rsidRPr="00EA4D02" w:rsidRDefault="009A52B5" w:rsidP="009A52B5">
      <w:pPr>
        <w:pStyle w:val="odstavec"/>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lastRenderedPageBreak/>
        <w:t>g</w:t>
      </w:r>
      <w:r w:rsidR="00B36EAD" w:rsidRPr="008F70FB">
        <w:rPr>
          <w:rFonts w:ascii="Calibri" w:hAnsi="Calibri"/>
          <w:sz w:val="20"/>
        </w:rPr>
        <w:t xml:space="preserve">) </w:t>
      </w:r>
      <w:r w:rsidR="00482980" w:rsidRPr="008F70FB">
        <w:rPr>
          <w:rFonts w:ascii="Calibri" w:hAnsi="Calibri"/>
          <w:sz w:val="20"/>
        </w:rPr>
        <w:t>Záväzky</w:t>
      </w:r>
    </w:p>
    <w:p w:rsidR="002B7AE4" w:rsidRPr="009A52B5" w:rsidRDefault="009A52B5" w:rsidP="009A52B5">
      <w:pPr>
        <w:pStyle w:val="Pismenka"/>
        <w:tabs>
          <w:tab w:val="clear" w:pos="426"/>
        </w:tabs>
        <w:ind w:left="0" w:firstLine="0"/>
        <w:jc w:val="both"/>
        <w:rPr>
          <w:rFonts w:asciiTheme="minorHAnsi" w:hAnsiTheme="minorHAnsi"/>
          <w:b w:val="0"/>
          <w:sz w:val="20"/>
        </w:rPr>
      </w:pPr>
      <w:r w:rsidRPr="009A52B5">
        <w:rPr>
          <w:rFonts w:asciiTheme="minorHAnsi" w:hAnsiTheme="minorHAnsi"/>
          <w:b w:val="0"/>
          <w:sz w:val="20"/>
        </w:rPr>
        <w:t>Záväzky sa oceňujú pri  ich vzniku menovitou hodnotou. Záväzky pri ich prevzatí sa oceňujú obstarávacou cenou. Ak sa pri inventarizácii zistí, že suma záväzkov je iná ako ich výška v účtovníctve, uvedú sa záväzky v účtovníctve a v účtovnej závierke v tomto zistenom ocenení</w:t>
      </w:r>
      <w:r>
        <w:rPr>
          <w:rFonts w:asciiTheme="minorHAnsi" w:hAnsiTheme="minorHAnsi"/>
          <w:b w:val="0"/>
          <w:sz w:val="20"/>
        </w:rPr>
        <w:t>.</w:t>
      </w:r>
    </w:p>
    <w:p w:rsidR="009A52B5" w:rsidRPr="00EA4D02" w:rsidRDefault="009A52B5" w:rsidP="009A52B5">
      <w:pPr>
        <w:ind w:firstLine="426"/>
        <w:jc w:val="both"/>
        <w:rPr>
          <w:rFonts w:asciiTheme="minorHAnsi" w:hAnsiTheme="minorHAnsi" w:cs="Times New Roman"/>
          <w:sz w:val="20"/>
          <w:szCs w:val="20"/>
        </w:rPr>
      </w:pPr>
    </w:p>
    <w:p w:rsidR="009A52B5" w:rsidRPr="00EA4D02" w:rsidRDefault="009A52B5" w:rsidP="009A52B5">
      <w:pPr>
        <w:pStyle w:val="abc"/>
        <w:numPr>
          <w:ilvl w:val="0"/>
          <w:numId w:val="0"/>
        </w:numPr>
        <w:tabs>
          <w:tab w:val="left" w:pos="426"/>
        </w:tabs>
      </w:pPr>
      <w:r>
        <w:t xml:space="preserve">h) </w:t>
      </w:r>
      <w:r w:rsidRPr="00EA4D02">
        <w:t>Splatná daň z príjmu</w:t>
      </w:r>
    </w:p>
    <w:p w:rsidR="009A52B5" w:rsidRPr="00EA4D02" w:rsidRDefault="009A52B5" w:rsidP="009A52B5">
      <w:pPr>
        <w:pStyle w:val="odstavec"/>
      </w:pPr>
      <w:r w:rsidRPr="00EA4D02">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9A52B5" w:rsidRPr="00EA4D02" w:rsidRDefault="009A52B5" w:rsidP="009A52B5">
      <w:pPr>
        <w:pStyle w:val="odstavec"/>
      </w:pPr>
    </w:p>
    <w:p w:rsidR="009A52B5" w:rsidRPr="00EA4D02" w:rsidRDefault="009A52B5" w:rsidP="009A52B5">
      <w:pPr>
        <w:pStyle w:val="abc"/>
        <w:numPr>
          <w:ilvl w:val="0"/>
          <w:numId w:val="0"/>
        </w:numPr>
        <w:tabs>
          <w:tab w:val="left" w:pos="426"/>
        </w:tabs>
      </w:pPr>
      <w:r>
        <w:t>i) O</w:t>
      </w:r>
      <w:r w:rsidRPr="00EA4D02">
        <w:t>dložená daň z príjmu</w:t>
      </w:r>
    </w:p>
    <w:p w:rsidR="009A52B5" w:rsidRPr="00EA4D02" w:rsidRDefault="009A52B5" w:rsidP="009A52B5">
      <w:pPr>
        <w:pStyle w:val="odstavec"/>
      </w:pPr>
      <w:r w:rsidRPr="00EA4D02">
        <w:t>Odložená daň z príjmu vyplýva z:</w:t>
      </w:r>
    </w:p>
    <w:p w:rsidR="009A52B5" w:rsidRPr="00EA4D02" w:rsidRDefault="009A52B5" w:rsidP="009A52B5">
      <w:pPr>
        <w:pStyle w:val="odstavec"/>
      </w:pPr>
      <w:r>
        <w:t xml:space="preserve">- </w:t>
      </w:r>
      <w:r w:rsidRPr="00EA4D02">
        <w:t>rozdielov medzi účtovnou hodnotou majetku a účtovnou hodnot</w:t>
      </w:r>
      <w:r w:rsidR="00175705">
        <w:t xml:space="preserve">ou záväzkov vykázanou v súvahe </w:t>
      </w:r>
      <w:r w:rsidRPr="00EA4D02">
        <w:t>a ich daňovou základňou,</w:t>
      </w:r>
    </w:p>
    <w:p w:rsidR="009A52B5" w:rsidRPr="00EA4D02" w:rsidRDefault="009A52B5" w:rsidP="009A52B5">
      <w:pPr>
        <w:pStyle w:val="odstavec"/>
      </w:pPr>
      <w:r>
        <w:t xml:space="preserve">- </w:t>
      </w:r>
      <w:r w:rsidRPr="00EA4D02">
        <w:t>možnosti umorovať daňovú stratu v budúcnosti, pod ktorou sa ro</w:t>
      </w:r>
      <w:r>
        <w:t xml:space="preserve">zumie možnosť odpočítať daňovú </w:t>
      </w:r>
      <w:r w:rsidRPr="00EA4D02">
        <w:t>stratu od základu dane v budúcnosti,</w:t>
      </w:r>
    </w:p>
    <w:p w:rsidR="009A52B5" w:rsidRPr="00EA4D02" w:rsidRDefault="009A52B5" w:rsidP="009A52B5">
      <w:pPr>
        <w:pStyle w:val="odstavec"/>
      </w:pPr>
      <w:r>
        <w:t xml:space="preserve">- </w:t>
      </w:r>
      <w:r w:rsidRPr="00EA4D02">
        <w:t>možnosti previesť nevyužité daňové odpočty a iné daňové nároky do budúcich období.</w:t>
      </w:r>
    </w:p>
    <w:p w:rsidR="009A52B5" w:rsidRDefault="009A52B5" w:rsidP="009A52B5">
      <w:pPr>
        <w:pStyle w:val="odstavec"/>
      </w:pPr>
    </w:p>
    <w:p w:rsidR="009A52B5" w:rsidRPr="00EA4D02" w:rsidRDefault="009A52B5" w:rsidP="009A52B5">
      <w:pPr>
        <w:pStyle w:val="odstavec"/>
      </w:pPr>
      <w:r w:rsidRPr="00EA4D02">
        <w:t>Odložená daňová pohľadávka sa účtuje iba do takej výšky, do akej je pravdepodobné, že bude možné dočasné rozdiely vyrovnať voči budúcemu základu dane.</w:t>
      </w:r>
      <w:r>
        <w:t xml:space="preserve"> </w:t>
      </w:r>
      <w:r w:rsidRPr="00EA4D02">
        <w:t>Pri výpočte odloženej dane sa použije sadzba dane z príjmov, o ktorej sa predpokladá, že bude platiť v čase vyrovnania odloženej dane.</w:t>
      </w:r>
    </w:p>
    <w:p w:rsidR="009A52B5" w:rsidRPr="00EA4D02" w:rsidRDefault="009A52B5" w:rsidP="009A52B5">
      <w:pPr>
        <w:pStyle w:val="odstavec"/>
      </w:pPr>
    </w:p>
    <w:p w:rsidR="00482980" w:rsidRPr="008F70FB" w:rsidRDefault="009A52B5" w:rsidP="002B7AE4">
      <w:pPr>
        <w:pStyle w:val="Pismenka"/>
        <w:tabs>
          <w:tab w:val="clear" w:pos="426"/>
        </w:tabs>
        <w:ind w:left="0" w:firstLine="0"/>
        <w:jc w:val="both"/>
        <w:rPr>
          <w:rFonts w:ascii="Calibri" w:hAnsi="Calibri"/>
          <w:sz w:val="20"/>
        </w:rPr>
      </w:pPr>
      <w:r>
        <w:rPr>
          <w:rFonts w:ascii="Calibri" w:hAnsi="Calibri"/>
          <w:sz w:val="20"/>
        </w:rPr>
        <w:t>j</w:t>
      </w:r>
      <w:r w:rsidR="00B36EAD" w:rsidRPr="008F70FB">
        <w:rPr>
          <w:rFonts w:ascii="Calibri" w:hAnsi="Calibri"/>
          <w:sz w:val="20"/>
        </w:rPr>
        <w:t xml:space="preserve">) </w:t>
      </w:r>
      <w:r w:rsidR="00482980" w:rsidRPr="008F70FB">
        <w:rPr>
          <w:rFonts w:ascii="Calibri" w:hAnsi="Calibri"/>
          <w:sz w:val="20"/>
        </w:rPr>
        <w:t>Časové rozlíšenie</w:t>
      </w:r>
    </w:p>
    <w:p w:rsidR="00482980" w:rsidRPr="008F70FB" w:rsidRDefault="00482980" w:rsidP="00482980">
      <w:pPr>
        <w:jc w:val="both"/>
        <w:rPr>
          <w:rFonts w:ascii="Calibri" w:hAnsi="Calibri"/>
          <w:sz w:val="20"/>
          <w:szCs w:val="20"/>
        </w:rPr>
      </w:pPr>
      <w:r w:rsidRPr="008F70FB">
        <w:rPr>
          <w:rFonts w:ascii="Calibri" w:hAnsi="Calibri"/>
          <w:sz w:val="20"/>
          <w:szCs w:val="20"/>
        </w:rPr>
        <w:t>Náklady, príjmy, výdavky a výnosy budúcich období sa vykazujú vo výške, ktorá je potrebná na dodržanie zásady vecnej a časovej súvislosti s účtovným obdobím.</w:t>
      </w:r>
    </w:p>
    <w:p w:rsidR="00482980" w:rsidRPr="008F70FB" w:rsidRDefault="00482980" w:rsidP="00482980">
      <w:pPr>
        <w:pStyle w:val="Zkladntext"/>
        <w:rPr>
          <w:rFonts w:ascii="Calibri" w:hAnsi="Calibri"/>
          <w:sz w:val="20"/>
          <w:szCs w:val="20"/>
        </w:rPr>
      </w:pPr>
    </w:p>
    <w:p w:rsidR="00482980" w:rsidRPr="008F70FB" w:rsidRDefault="009A52B5" w:rsidP="002B7AE4">
      <w:pPr>
        <w:pStyle w:val="Pismenka"/>
        <w:tabs>
          <w:tab w:val="clear" w:pos="426"/>
        </w:tabs>
        <w:ind w:left="0" w:firstLine="0"/>
        <w:jc w:val="both"/>
        <w:rPr>
          <w:rFonts w:ascii="Calibri" w:hAnsi="Calibri"/>
          <w:sz w:val="20"/>
        </w:rPr>
      </w:pPr>
      <w:r>
        <w:rPr>
          <w:rFonts w:ascii="Calibri" w:hAnsi="Calibri"/>
          <w:sz w:val="20"/>
        </w:rPr>
        <w:t>k</w:t>
      </w:r>
      <w:r w:rsidR="00B36EAD" w:rsidRPr="008F70FB">
        <w:rPr>
          <w:rFonts w:ascii="Calibri" w:hAnsi="Calibri"/>
          <w:sz w:val="20"/>
        </w:rPr>
        <w:t>)</w:t>
      </w:r>
      <w:r w:rsidR="006B7FD8">
        <w:rPr>
          <w:rFonts w:ascii="Calibri" w:hAnsi="Calibri"/>
          <w:sz w:val="20"/>
        </w:rPr>
        <w:t xml:space="preserve"> </w:t>
      </w:r>
      <w:r w:rsidR="00482980" w:rsidRPr="008F70FB">
        <w:rPr>
          <w:rFonts w:ascii="Calibri" w:hAnsi="Calibri"/>
          <w:sz w:val="20"/>
        </w:rPr>
        <w:t>Nevyfakturované dodávky</w:t>
      </w:r>
    </w:p>
    <w:p w:rsidR="00482980" w:rsidRDefault="00482980" w:rsidP="00482980">
      <w:pPr>
        <w:pStyle w:val="Zkladntext"/>
        <w:rPr>
          <w:rFonts w:ascii="Calibri" w:hAnsi="Calibri"/>
          <w:b w:val="0"/>
          <w:sz w:val="20"/>
          <w:szCs w:val="20"/>
        </w:rPr>
      </w:pPr>
      <w:r w:rsidRPr="008F70FB">
        <w:rPr>
          <w:rFonts w:ascii="Calibri" w:hAnsi="Calibri"/>
          <w:b w:val="0"/>
          <w:sz w:val="20"/>
          <w:szCs w:val="20"/>
        </w:rPr>
        <w:t>Nevyfakturované dodávky sa oceňujú v konkrétnej výške dlhu.</w:t>
      </w:r>
    </w:p>
    <w:p w:rsidR="000402B8" w:rsidRDefault="000402B8" w:rsidP="00482980">
      <w:pPr>
        <w:pStyle w:val="Zkladntext"/>
        <w:rPr>
          <w:rFonts w:ascii="Calibri" w:hAnsi="Calibri"/>
          <w:b w:val="0"/>
          <w:sz w:val="20"/>
          <w:szCs w:val="20"/>
        </w:rPr>
      </w:pPr>
    </w:p>
    <w:p w:rsidR="000402B8" w:rsidRPr="009254A8" w:rsidRDefault="009A52B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l</w:t>
      </w:r>
      <w:r w:rsidR="000402B8" w:rsidRPr="009254A8">
        <w:rPr>
          <w:rFonts w:asciiTheme="minorHAnsi" w:hAnsiTheme="minorHAnsi"/>
          <w:sz w:val="20"/>
        </w:rPr>
        <w:t>) Prenájom (lízing)</w:t>
      </w: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Majetok prenajatý na základe operatívneho prenájmu vykazuje ako svoj majetok jeho vlastník, nie nájomca.</w:t>
      </w:r>
    </w:p>
    <w:p w:rsidR="000402B8" w:rsidRPr="009254A8" w:rsidRDefault="000402B8" w:rsidP="000402B8">
      <w:pPr>
        <w:pStyle w:val="Zkladntext"/>
        <w:rPr>
          <w:rFonts w:asciiTheme="minorHAnsi" w:hAnsiTheme="minorHAnsi"/>
          <w:b w:val="0"/>
          <w:sz w:val="20"/>
          <w:szCs w:val="20"/>
        </w:rPr>
      </w:pP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0402B8" w:rsidRPr="009254A8" w:rsidRDefault="000402B8" w:rsidP="000402B8">
      <w:pPr>
        <w:pStyle w:val="Zkladntext"/>
        <w:rPr>
          <w:rFonts w:asciiTheme="minorHAnsi" w:hAnsiTheme="minorHAnsi"/>
          <w:b w:val="0"/>
          <w:sz w:val="20"/>
          <w:szCs w:val="20"/>
        </w:rPr>
      </w:pP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0402B8" w:rsidRPr="009254A8" w:rsidRDefault="000402B8" w:rsidP="000402B8">
      <w:pPr>
        <w:pStyle w:val="Zkladntext"/>
        <w:rPr>
          <w:rFonts w:asciiTheme="minorHAnsi" w:hAnsiTheme="minorHAnsi"/>
          <w:b w:val="0"/>
          <w:sz w:val="20"/>
          <w:szCs w:val="20"/>
        </w:rPr>
      </w:pP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Súčasťou dohodnutých platieb je aj kúpna cena, za ktorú na konci dohodnutej doby finančného prenájmu prechádza vlastnícke právo k prenajatému majetku z prenajímateľa na nájomcu. Platba nájomného je alokovaná medzi splátku istiny a finančné náklady, vypočítané metódou efektívnej úrokovej miery. Finančné náklady sa účtujú na ťarchu účtu 562 – Úroky.</w:t>
      </w:r>
    </w:p>
    <w:p w:rsidR="000402B8" w:rsidRPr="000402B8" w:rsidRDefault="000402B8" w:rsidP="000402B8">
      <w:pPr>
        <w:pStyle w:val="Zkladntext"/>
        <w:rPr>
          <w:rFonts w:asciiTheme="minorHAnsi" w:hAnsiTheme="minorHAnsi"/>
          <w:b w:val="0"/>
          <w:sz w:val="20"/>
          <w:szCs w:val="20"/>
          <w:highlight w:val="yellow"/>
        </w:rPr>
      </w:pPr>
    </w:p>
    <w:p w:rsidR="000402B8" w:rsidRPr="009254A8" w:rsidRDefault="009A52B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m</w:t>
      </w:r>
      <w:r w:rsidR="000402B8" w:rsidRPr="009254A8">
        <w:rPr>
          <w:rFonts w:asciiTheme="minorHAnsi" w:hAnsiTheme="minorHAnsi"/>
          <w:sz w:val="20"/>
        </w:rPr>
        <w:t>) Cudzia mena</w:t>
      </w: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0402B8" w:rsidRPr="009254A8" w:rsidRDefault="000402B8" w:rsidP="000402B8">
      <w:pPr>
        <w:pStyle w:val="Zkladntext"/>
        <w:rPr>
          <w:rFonts w:asciiTheme="minorHAnsi" w:hAnsiTheme="minorHAnsi"/>
          <w:b w:val="0"/>
          <w:sz w:val="20"/>
          <w:szCs w:val="20"/>
        </w:rPr>
      </w:pP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Na ocenenie prírastku cudzej meny nakúpenej za euro sa použije kurz, za ktorý bola táto cudzia mena nakúpená.</w:t>
      </w:r>
      <w:r w:rsidR="00A83C56">
        <w:rPr>
          <w:rFonts w:asciiTheme="minorHAnsi" w:hAnsiTheme="minorHAnsi"/>
          <w:b w:val="0"/>
          <w:sz w:val="20"/>
          <w:szCs w:val="20"/>
        </w:rPr>
        <w:t xml:space="preserve"> </w:t>
      </w:r>
      <w:r w:rsidRPr="009254A8">
        <w:rPr>
          <w:rFonts w:asciiTheme="minorHAnsi" w:hAnsiTheme="minorHAnsi"/>
          <w:b w:val="0"/>
          <w:sz w:val="20"/>
          <w:szCs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0402B8" w:rsidRPr="009254A8" w:rsidRDefault="000402B8" w:rsidP="000402B8">
      <w:pPr>
        <w:pStyle w:val="Zkladntext"/>
        <w:rPr>
          <w:rFonts w:asciiTheme="minorHAnsi" w:hAnsiTheme="minorHAnsi"/>
          <w:b w:val="0"/>
          <w:sz w:val="20"/>
          <w:szCs w:val="20"/>
        </w:rPr>
      </w:pPr>
    </w:p>
    <w:p w:rsidR="000402B8" w:rsidRPr="000402B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0402B8" w:rsidRPr="000402B8" w:rsidRDefault="000402B8" w:rsidP="00482980">
      <w:pPr>
        <w:pStyle w:val="Zkladntext"/>
        <w:rPr>
          <w:rFonts w:asciiTheme="minorHAnsi" w:hAnsiTheme="minorHAnsi"/>
          <w:b w:val="0"/>
          <w:sz w:val="20"/>
          <w:szCs w:val="20"/>
        </w:rPr>
      </w:pPr>
    </w:p>
    <w:p w:rsidR="00482980" w:rsidRPr="008F70FB" w:rsidRDefault="009A52B5" w:rsidP="002B7AE4">
      <w:pPr>
        <w:jc w:val="both"/>
        <w:rPr>
          <w:rFonts w:ascii="Calibri" w:hAnsi="Calibri"/>
          <w:b/>
          <w:sz w:val="20"/>
          <w:szCs w:val="20"/>
        </w:rPr>
      </w:pPr>
      <w:r>
        <w:rPr>
          <w:rFonts w:ascii="Calibri" w:hAnsi="Calibri"/>
          <w:b/>
          <w:sz w:val="20"/>
          <w:szCs w:val="20"/>
        </w:rPr>
        <w:t>n</w:t>
      </w:r>
      <w:r w:rsidR="00B36EAD" w:rsidRPr="008F70FB">
        <w:rPr>
          <w:rFonts w:ascii="Calibri" w:hAnsi="Calibri"/>
          <w:b/>
          <w:sz w:val="20"/>
          <w:szCs w:val="20"/>
        </w:rPr>
        <w:t>)</w:t>
      </w:r>
      <w:r w:rsidR="006B7FD8">
        <w:rPr>
          <w:rFonts w:ascii="Calibri" w:hAnsi="Calibri"/>
          <w:b/>
          <w:sz w:val="20"/>
          <w:szCs w:val="20"/>
        </w:rPr>
        <w:t xml:space="preserve"> </w:t>
      </w:r>
      <w:r w:rsidR="00482980" w:rsidRPr="008F70FB">
        <w:rPr>
          <w:rFonts w:ascii="Calibri" w:hAnsi="Calibri"/>
          <w:b/>
          <w:sz w:val="20"/>
          <w:szCs w:val="20"/>
        </w:rPr>
        <w:t>Výnosy</w:t>
      </w:r>
    </w:p>
    <w:p w:rsidR="0086788D" w:rsidRPr="0086788D" w:rsidRDefault="0086788D" w:rsidP="0086788D">
      <w:pPr>
        <w:pStyle w:val="Zkladntext"/>
        <w:rPr>
          <w:rFonts w:ascii="Calibri" w:hAnsi="Calibri" w:cs="Arial Narrow"/>
          <w:b w:val="0"/>
          <w:bCs w:val="0"/>
          <w:sz w:val="20"/>
          <w:szCs w:val="20"/>
          <w:lang w:eastAsia="en-US"/>
        </w:rPr>
      </w:pPr>
      <w:r w:rsidRPr="0086788D">
        <w:rPr>
          <w:rFonts w:ascii="Calibri" w:hAnsi="Calibri" w:cs="Arial Narrow"/>
          <w:b w:val="0"/>
          <w:bCs w:val="0"/>
          <w:sz w:val="20"/>
          <w:szCs w:val="20"/>
          <w:lang w:eastAsia="en-US"/>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82980" w:rsidRPr="008F70FB" w:rsidRDefault="00482980" w:rsidP="00482980">
      <w:pPr>
        <w:pStyle w:val="Zkladntext"/>
        <w:rPr>
          <w:rFonts w:ascii="Calibri" w:hAnsi="Calibri"/>
          <w:sz w:val="20"/>
          <w:szCs w:val="20"/>
        </w:rPr>
      </w:pPr>
    </w:p>
    <w:p w:rsidR="00A83C56" w:rsidRPr="00534E38" w:rsidRDefault="0086788D" w:rsidP="00A83C56">
      <w:pPr>
        <w:pStyle w:val="abc"/>
        <w:numPr>
          <w:ilvl w:val="0"/>
          <w:numId w:val="0"/>
        </w:numPr>
      </w:pPr>
      <w:r>
        <w:t>o</w:t>
      </w:r>
      <w:r w:rsidR="00A83C56">
        <w:t xml:space="preserve">) </w:t>
      </w:r>
      <w:r w:rsidR="00A83C56" w:rsidRPr="00534E38">
        <w:t>Opravné položky</w:t>
      </w:r>
    </w:p>
    <w:p w:rsidR="00A83C56" w:rsidRPr="00534E38" w:rsidRDefault="00A83C56" w:rsidP="00A83C56">
      <w:pPr>
        <w:pStyle w:val="odstavec"/>
      </w:pPr>
      <w:r w:rsidRPr="00534E38">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E12DD0" w:rsidRDefault="00E12DD0" w:rsidP="00394CFB">
      <w:pPr>
        <w:jc w:val="both"/>
        <w:rPr>
          <w:rFonts w:ascii="Calibri" w:hAnsi="Calibri"/>
          <w:sz w:val="20"/>
          <w:szCs w:val="20"/>
        </w:rPr>
      </w:pPr>
    </w:p>
    <w:p w:rsidR="00BE5AB4" w:rsidRDefault="0086788D" w:rsidP="00BE5AB4">
      <w:pPr>
        <w:pStyle w:val="abc"/>
        <w:numPr>
          <w:ilvl w:val="0"/>
          <w:numId w:val="0"/>
        </w:numPr>
      </w:pPr>
      <w:r>
        <w:t>p</w:t>
      </w:r>
      <w:r w:rsidR="006B7FD8">
        <w:t xml:space="preserve">) </w:t>
      </w:r>
      <w:r w:rsidR="006B7FD8" w:rsidRPr="006B7FD8">
        <w:t>Oprava chýb minulých období</w:t>
      </w:r>
    </w:p>
    <w:p w:rsidR="006B7FD8" w:rsidRPr="006B7FD8" w:rsidRDefault="006B7FD8" w:rsidP="00BE5AB4">
      <w:pPr>
        <w:pStyle w:val="abc"/>
        <w:numPr>
          <w:ilvl w:val="0"/>
          <w:numId w:val="0"/>
        </w:numPr>
        <w:rPr>
          <w:rFonts w:cs="Calibri"/>
          <w:b w:val="0"/>
        </w:rPr>
      </w:pPr>
      <w:r w:rsidRPr="006B7FD8">
        <w:rPr>
          <w:b w:val="0"/>
        </w:rPr>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00AD7DD4">
        <w:rPr>
          <w:b w:val="0"/>
        </w:rPr>
        <w:t>.</w:t>
      </w:r>
    </w:p>
    <w:p w:rsidR="005975C7" w:rsidRDefault="005975C7" w:rsidP="00B36EAD">
      <w:pPr>
        <w:pStyle w:val="Nzov"/>
        <w:spacing w:before="0" w:beforeAutospacing="0" w:after="60"/>
        <w:jc w:val="left"/>
        <w:rPr>
          <w:rFonts w:ascii="Calibri" w:hAnsi="Calibri" w:cs="Calibri"/>
          <w:sz w:val="24"/>
          <w:szCs w:val="24"/>
        </w:rPr>
      </w:pPr>
    </w:p>
    <w:p w:rsidR="005975C7" w:rsidRDefault="005975C7" w:rsidP="00B36EAD">
      <w:pPr>
        <w:pStyle w:val="Nzov"/>
        <w:spacing w:before="0" w:beforeAutospacing="0" w:after="60"/>
        <w:jc w:val="left"/>
        <w:rPr>
          <w:rFonts w:ascii="Calibri" w:hAnsi="Calibri" w:cs="Calibri"/>
          <w:sz w:val="24"/>
          <w:szCs w:val="24"/>
        </w:rPr>
      </w:pPr>
    </w:p>
    <w:p w:rsidR="00B36EAD" w:rsidRPr="008F70FB" w:rsidRDefault="00175705" w:rsidP="00B36EAD">
      <w:pPr>
        <w:pStyle w:val="Nzov"/>
        <w:spacing w:before="0" w:beforeAutospacing="0" w:after="60"/>
        <w:jc w:val="left"/>
        <w:rPr>
          <w:rFonts w:ascii="Calibri" w:hAnsi="Calibri" w:cs="Calibri"/>
          <w:b w:val="0"/>
          <w:sz w:val="24"/>
          <w:szCs w:val="24"/>
        </w:rPr>
      </w:pPr>
      <w:r>
        <w:rPr>
          <w:rFonts w:ascii="Calibri" w:hAnsi="Calibri" w:cs="Calibri"/>
          <w:sz w:val="24"/>
          <w:szCs w:val="24"/>
        </w:rPr>
        <w:t>Čl. IV INFORMÁCIE, KTORÉ VYSVETĽUJÚ A DOPĹŇAJÚ SÚVAHU A VÝKAZ ZISKOV A STRÁT</w:t>
      </w:r>
    </w:p>
    <w:p w:rsidR="00175705" w:rsidRPr="008F70FB" w:rsidRDefault="00175705" w:rsidP="006C2BCB">
      <w:pPr>
        <w:rPr>
          <w:rFonts w:ascii="Calibri" w:hAnsi="Calibri"/>
          <w:sz w:val="20"/>
          <w:szCs w:val="20"/>
        </w:rPr>
      </w:pPr>
    </w:p>
    <w:p w:rsidR="00670EC7" w:rsidRDefault="00324C96" w:rsidP="00A55153">
      <w:pPr>
        <w:pStyle w:val="Nzov"/>
        <w:numPr>
          <w:ilvl w:val="0"/>
          <w:numId w:val="17"/>
        </w:numPr>
        <w:spacing w:before="0" w:beforeAutospacing="0" w:after="60"/>
        <w:ind w:left="284" w:hanging="284"/>
        <w:jc w:val="left"/>
        <w:rPr>
          <w:rFonts w:ascii="Calibri" w:hAnsi="Calibri"/>
          <w:sz w:val="20"/>
          <w:szCs w:val="20"/>
        </w:rPr>
      </w:pPr>
      <w:r w:rsidRPr="008F70FB">
        <w:rPr>
          <w:rFonts w:ascii="Calibri" w:hAnsi="Calibri"/>
          <w:sz w:val="20"/>
          <w:szCs w:val="20"/>
        </w:rPr>
        <w:t>Informácie o</w:t>
      </w:r>
      <w:r w:rsidR="00A55153">
        <w:rPr>
          <w:rFonts w:ascii="Calibri" w:hAnsi="Calibri"/>
          <w:sz w:val="20"/>
          <w:szCs w:val="20"/>
        </w:rPr>
        <w:t> </w:t>
      </w:r>
      <w:r w:rsidR="009B7F9A">
        <w:rPr>
          <w:rFonts w:ascii="Calibri" w:hAnsi="Calibri"/>
          <w:sz w:val="20"/>
          <w:szCs w:val="20"/>
        </w:rPr>
        <w:t>záväzkoch</w:t>
      </w:r>
    </w:p>
    <w:p w:rsidR="00D51BD9" w:rsidRPr="00D51BD9" w:rsidRDefault="00D51BD9" w:rsidP="00D51BD9">
      <w:pPr>
        <w:rPr>
          <w:rFonts w:ascii="Calibri" w:hAnsi="Calibri"/>
          <w:b/>
          <w:bCs/>
          <w:kern w:val="28"/>
          <w:sz w:val="20"/>
          <w:szCs w:val="20"/>
        </w:rPr>
      </w:pPr>
      <w:r w:rsidRPr="00D51BD9">
        <w:rPr>
          <w:rFonts w:ascii="Calibri" w:hAnsi="Calibri"/>
          <w:b/>
          <w:bCs/>
          <w:kern w:val="28"/>
          <w:sz w:val="20"/>
          <w:szCs w:val="20"/>
        </w:rPr>
        <w:t xml:space="preserve">a) dlhodobé záväzky </w:t>
      </w:r>
    </w:p>
    <w:bookmarkStart w:id="2" w:name="_MON_1520014554"/>
    <w:bookmarkEnd w:id="2"/>
    <w:p w:rsidR="009B7F9A" w:rsidRPr="009B7F9A" w:rsidRDefault="004B07B1" w:rsidP="009B7F9A">
      <w:r>
        <w:object w:dxaOrig="8972" w:dyaOrig="1638">
          <v:shape id="_x0000_i1026" type="#_x0000_t75" style="width:455.25pt;height:86.25pt" o:ole="">
            <v:imagedata r:id="rId10" o:title=""/>
          </v:shape>
          <o:OLEObject Type="Embed" ProgID="Excel.Sheet.12" ShapeID="_x0000_i1026" DrawAspect="Content" ObjectID="_1552302567" r:id="rId11"/>
        </w:object>
      </w:r>
    </w:p>
    <w:p w:rsidR="00764D76" w:rsidRDefault="00A04C88" w:rsidP="00FC7270">
      <w:pPr>
        <w:rPr>
          <w:rFonts w:asciiTheme="minorHAnsi" w:hAnsiTheme="minorHAnsi"/>
          <w:sz w:val="20"/>
          <w:szCs w:val="20"/>
        </w:rPr>
      </w:pPr>
      <w:r>
        <w:rPr>
          <w:rFonts w:asciiTheme="minorHAnsi" w:hAnsiTheme="minorHAnsi"/>
          <w:sz w:val="20"/>
          <w:szCs w:val="20"/>
        </w:rPr>
        <w:t xml:space="preserve">Dlhodobé záväzky splatné </w:t>
      </w:r>
      <w:r w:rsidR="004B07B1">
        <w:rPr>
          <w:rFonts w:asciiTheme="minorHAnsi" w:hAnsiTheme="minorHAnsi"/>
          <w:sz w:val="20"/>
          <w:szCs w:val="20"/>
        </w:rPr>
        <w:t>nad</w:t>
      </w:r>
      <w:r>
        <w:rPr>
          <w:rFonts w:asciiTheme="minorHAnsi" w:hAnsiTheme="minorHAnsi"/>
          <w:sz w:val="20"/>
          <w:szCs w:val="20"/>
        </w:rPr>
        <w:t xml:space="preserve"> </w:t>
      </w:r>
      <w:r w:rsidR="004B07B1">
        <w:rPr>
          <w:rFonts w:asciiTheme="minorHAnsi" w:hAnsiTheme="minorHAnsi"/>
          <w:sz w:val="20"/>
          <w:szCs w:val="20"/>
        </w:rPr>
        <w:t xml:space="preserve">päť rokov </w:t>
      </w:r>
      <w:r>
        <w:rPr>
          <w:rFonts w:asciiTheme="minorHAnsi" w:hAnsiTheme="minorHAnsi"/>
          <w:sz w:val="20"/>
          <w:szCs w:val="20"/>
        </w:rPr>
        <w:t xml:space="preserve"> predstavujú záväzky z</w:t>
      </w:r>
      <w:r w:rsidR="004B07B1">
        <w:rPr>
          <w:rFonts w:asciiTheme="minorHAnsi" w:hAnsiTheme="minorHAnsi"/>
          <w:sz w:val="20"/>
          <w:szCs w:val="20"/>
        </w:rPr>
        <w:t> finančného úveru</w:t>
      </w:r>
      <w:r w:rsidR="00D51BD9">
        <w:rPr>
          <w:rFonts w:asciiTheme="minorHAnsi" w:hAnsiTheme="minorHAnsi"/>
          <w:sz w:val="20"/>
          <w:szCs w:val="20"/>
        </w:rPr>
        <w:t xml:space="preserve">. Spoločnosť má </w:t>
      </w:r>
      <w:r w:rsidR="004B07B1">
        <w:rPr>
          <w:rFonts w:asciiTheme="minorHAnsi" w:hAnsiTheme="minorHAnsi"/>
          <w:sz w:val="20"/>
          <w:szCs w:val="20"/>
        </w:rPr>
        <w:t>dohodnutý splátkový kalendár.</w:t>
      </w:r>
      <w:r w:rsidR="00D51BD9">
        <w:rPr>
          <w:rFonts w:asciiTheme="minorHAnsi" w:hAnsiTheme="minorHAnsi"/>
          <w:sz w:val="20"/>
          <w:szCs w:val="20"/>
        </w:rPr>
        <w:t xml:space="preserve"> </w:t>
      </w:r>
    </w:p>
    <w:p w:rsidR="005975C7" w:rsidRDefault="005975C7" w:rsidP="00DE26DA">
      <w:pPr>
        <w:jc w:val="both"/>
        <w:rPr>
          <w:rFonts w:asciiTheme="minorHAnsi" w:hAnsiTheme="minorHAnsi"/>
          <w:b/>
          <w:sz w:val="20"/>
          <w:szCs w:val="20"/>
        </w:rPr>
      </w:pPr>
    </w:p>
    <w:p w:rsidR="005975C7" w:rsidRDefault="005975C7" w:rsidP="00DE26DA">
      <w:pPr>
        <w:jc w:val="both"/>
        <w:rPr>
          <w:rFonts w:asciiTheme="minorHAnsi" w:hAnsiTheme="minorHAnsi"/>
          <w:b/>
          <w:sz w:val="20"/>
          <w:szCs w:val="20"/>
        </w:rPr>
      </w:pPr>
    </w:p>
    <w:p w:rsidR="005975C7" w:rsidRDefault="005975C7" w:rsidP="00DE26DA">
      <w:pPr>
        <w:jc w:val="both"/>
        <w:rPr>
          <w:rFonts w:asciiTheme="minorHAnsi" w:hAnsiTheme="minorHAnsi"/>
          <w:b/>
          <w:sz w:val="20"/>
          <w:szCs w:val="20"/>
        </w:rPr>
      </w:pPr>
    </w:p>
    <w:p w:rsidR="005975C7" w:rsidRDefault="005975C7" w:rsidP="00DE26DA">
      <w:pPr>
        <w:jc w:val="both"/>
        <w:rPr>
          <w:rFonts w:asciiTheme="minorHAnsi" w:hAnsiTheme="minorHAnsi"/>
          <w:b/>
          <w:sz w:val="20"/>
          <w:szCs w:val="20"/>
        </w:rPr>
      </w:pPr>
    </w:p>
    <w:p w:rsidR="005975C7" w:rsidRDefault="005975C7" w:rsidP="00DE26DA">
      <w:pPr>
        <w:jc w:val="both"/>
        <w:rPr>
          <w:rFonts w:asciiTheme="minorHAnsi" w:hAnsiTheme="minorHAnsi"/>
          <w:b/>
          <w:sz w:val="20"/>
          <w:szCs w:val="20"/>
        </w:rPr>
      </w:pPr>
    </w:p>
    <w:p w:rsidR="00F821F0" w:rsidRDefault="00F821F0" w:rsidP="00DE26DA">
      <w:pPr>
        <w:jc w:val="both"/>
        <w:rPr>
          <w:rFonts w:asciiTheme="minorHAnsi" w:hAnsiTheme="minorHAnsi"/>
          <w:b/>
          <w:sz w:val="20"/>
          <w:szCs w:val="20"/>
        </w:rPr>
      </w:pPr>
    </w:p>
    <w:p w:rsidR="00F821F0" w:rsidRDefault="00F821F0" w:rsidP="00DE26DA">
      <w:pPr>
        <w:jc w:val="both"/>
        <w:rPr>
          <w:rFonts w:asciiTheme="minorHAnsi" w:hAnsiTheme="minorHAnsi"/>
          <w:b/>
          <w:sz w:val="20"/>
          <w:szCs w:val="20"/>
        </w:rPr>
      </w:pPr>
    </w:p>
    <w:p w:rsidR="00D51BD9" w:rsidRPr="00D51BD9" w:rsidRDefault="00D51BD9" w:rsidP="00DE26DA">
      <w:pPr>
        <w:jc w:val="both"/>
        <w:rPr>
          <w:rFonts w:asciiTheme="minorHAnsi" w:hAnsiTheme="minorHAnsi"/>
          <w:b/>
          <w:sz w:val="20"/>
          <w:szCs w:val="20"/>
        </w:rPr>
      </w:pPr>
      <w:r w:rsidRPr="00D51BD9">
        <w:rPr>
          <w:rFonts w:asciiTheme="minorHAnsi" w:hAnsiTheme="minorHAnsi"/>
          <w:b/>
          <w:sz w:val="20"/>
          <w:szCs w:val="20"/>
        </w:rPr>
        <w:t>b) Zabezpečené záväzky</w:t>
      </w:r>
    </w:p>
    <w:bookmarkStart w:id="3" w:name="_MON_1520018755"/>
    <w:bookmarkEnd w:id="3"/>
    <w:p w:rsidR="00D51BD9" w:rsidRPr="00764D76" w:rsidRDefault="00486F58" w:rsidP="00B36EAD">
      <w:pPr>
        <w:widowControl w:val="0"/>
        <w:outlineLvl w:val="0"/>
        <w:rPr>
          <w:rFonts w:ascii="Calibri" w:hAnsi="Calibri"/>
          <w:bCs/>
          <w:kern w:val="28"/>
          <w:sz w:val="20"/>
          <w:szCs w:val="20"/>
        </w:rPr>
      </w:pPr>
      <w:r w:rsidRPr="008E37DD">
        <w:rPr>
          <w:rFonts w:ascii="Calibri" w:hAnsi="Calibri"/>
          <w:b/>
          <w:bCs/>
          <w:kern w:val="28"/>
          <w:sz w:val="20"/>
          <w:szCs w:val="20"/>
        </w:rPr>
        <w:object w:dxaOrig="9586" w:dyaOrig="2765">
          <v:shape id="_x0000_i1027" type="#_x0000_t75" style="width:474pt;height:138pt" o:ole="">
            <v:imagedata r:id="rId12" o:title=""/>
          </v:shape>
          <o:OLEObject Type="Embed" ProgID="Excel.Sheet.12" ShapeID="_x0000_i1027" DrawAspect="Content" ObjectID="_1552302568" r:id="rId13"/>
        </w:object>
      </w:r>
      <w:bookmarkStart w:id="4" w:name="_GoBack"/>
      <w:bookmarkEnd w:id="4"/>
    </w:p>
    <w:p w:rsidR="00764D76" w:rsidRDefault="00764D76" w:rsidP="00764D76">
      <w:pPr>
        <w:jc w:val="both"/>
        <w:rPr>
          <w:rFonts w:asciiTheme="minorHAnsi" w:hAnsiTheme="minorHAnsi"/>
          <w:sz w:val="20"/>
          <w:szCs w:val="20"/>
        </w:rPr>
      </w:pPr>
    </w:p>
    <w:p w:rsidR="00764D76" w:rsidRDefault="00764D76" w:rsidP="00764D76">
      <w:pPr>
        <w:jc w:val="both"/>
        <w:rPr>
          <w:rFonts w:asciiTheme="minorHAnsi" w:hAnsiTheme="minorHAnsi"/>
          <w:sz w:val="20"/>
          <w:szCs w:val="20"/>
        </w:rPr>
      </w:pPr>
    </w:p>
    <w:p w:rsidR="00764D76" w:rsidRDefault="00764D76" w:rsidP="00764D76">
      <w:pPr>
        <w:jc w:val="both"/>
        <w:rPr>
          <w:rFonts w:asciiTheme="minorHAnsi" w:hAnsiTheme="minorHAnsi"/>
          <w:sz w:val="20"/>
          <w:szCs w:val="20"/>
        </w:rPr>
      </w:pPr>
      <w:r>
        <w:rPr>
          <w:rFonts w:asciiTheme="minorHAnsi" w:hAnsiTheme="minorHAnsi"/>
          <w:sz w:val="20"/>
          <w:szCs w:val="20"/>
        </w:rPr>
        <w:t>Spoločnosť počas roku</w:t>
      </w:r>
      <w:r w:rsidRPr="00DE26DA">
        <w:rPr>
          <w:rFonts w:asciiTheme="minorHAnsi" w:hAnsiTheme="minorHAnsi"/>
          <w:sz w:val="20"/>
          <w:szCs w:val="20"/>
        </w:rPr>
        <w:t xml:space="preserve"> 201</w:t>
      </w:r>
      <w:r w:rsidR="003F57C8">
        <w:rPr>
          <w:rFonts w:asciiTheme="minorHAnsi" w:hAnsiTheme="minorHAnsi"/>
          <w:sz w:val="20"/>
          <w:szCs w:val="20"/>
        </w:rPr>
        <w:t>6</w:t>
      </w:r>
      <w:r w:rsidRPr="00DE26DA">
        <w:rPr>
          <w:rFonts w:asciiTheme="minorHAnsi" w:hAnsiTheme="minorHAnsi"/>
          <w:sz w:val="20"/>
          <w:szCs w:val="20"/>
        </w:rPr>
        <w:t xml:space="preserve"> ani v bezprostredne predchádzajúcom účtovnom období neúčtovala o goodwille alebo zápornom goodwille, o derivátoch alebo vlastných akciách.  Spoločnosť nevykazovala náklady alebo výnosy, ktoré majú výnimočný rozsah alebo výskyt, napríklad výnosy  z predaja podniku alebo časti alebo škody z dôvodu živelných pohrôm.</w:t>
      </w:r>
    </w:p>
    <w:p w:rsidR="00764D76" w:rsidRDefault="00764D76">
      <w:pPr>
        <w:rPr>
          <w:rFonts w:ascii="Calibri" w:hAnsi="Calibri"/>
          <w:b/>
          <w:bCs/>
          <w:kern w:val="28"/>
          <w:sz w:val="20"/>
          <w:szCs w:val="20"/>
        </w:rPr>
      </w:pPr>
      <w:r>
        <w:rPr>
          <w:rFonts w:ascii="Calibri" w:hAnsi="Calibri"/>
          <w:b/>
          <w:bCs/>
          <w:kern w:val="28"/>
          <w:sz w:val="20"/>
          <w:szCs w:val="20"/>
        </w:rPr>
        <w:br w:type="page"/>
      </w:r>
    </w:p>
    <w:p w:rsidR="00776F8B" w:rsidRDefault="00776F8B" w:rsidP="00B36EAD">
      <w:pPr>
        <w:widowControl w:val="0"/>
        <w:outlineLvl w:val="0"/>
        <w:rPr>
          <w:rFonts w:ascii="Calibri" w:hAnsi="Calibri"/>
          <w:b/>
          <w:bCs/>
          <w:kern w:val="28"/>
          <w:sz w:val="20"/>
          <w:szCs w:val="20"/>
        </w:rPr>
      </w:pPr>
    </w:p>
    <w:p w:rsidR="00776F8B" w:rsidRPr="00D51BD9" w:rsidRDefault="00776F8B" w:rsidP="00B36EAD">
      <w:pPr>
        <w:widowControl w:val="0"/>
        <w:outlineLvl w:val="0"/>
        <w:rPr>
          <w:rFonts w:ascii="Calibri" w:hAnsi="Calibri"/>
          <w:b/>
          <w:bCs/>
          <w:kern w:val="28"/>
          <w:sz w:val="20"/>
          <w:szCs w:val="20"/>
        </w:rPr>
      </w:pPr>
    </w:p>
    <w:p w:rsidR="00B36EAD" w:rsidRPr="00DE26DA" w:rsidRDefault="00DE26DA" w:rsidP="00B36EAD">
      <w:pPr>
        <w:widowControl w:val="0"/>
        <w:outlineLvl w:val="0"/>
        <w:rPr>
          <w:rFonts w:ascii="Calibri" w:hAnsi="Calibri"/>
          <w:b/>
          <w:bCs/>
          <w:kern w:val="28"/>
          <w:sz w:val="24"/>
          <w:szCs w:val="24"/>
        </w:rPr>
      </w:pPr>
      <w:r w:rsidRPr="00DE26DA">
        <w:rPr>
          <w:rFonts w:ascii="Calibri" w:hAnsi="Calibri"/>
          <w:b/>
          <w:bCs/>
          <w:kern w:val="28"/>
          <w:sz w:val="24"/>
          <w:szCs w:val="24"/>
        </w:rPr>
        <w:t>V</w:t>
      </w:r>
      <w:r w:rsidR="00CD0AF7" w:rsidRPr="00DE26DA">
        <w:rPr>
          <w:rFonts w:ascii="Calibri" w:hAnsi="Calibri"/>
          <w:b/>
          <w:bCs/>
          <w:kern w:val="28"/>
          <w:sz w:val="24"/>
          <w:szCs w:val="24"/>
        </w:rPr>
        <w:t>.</w:t>
      </w:r>
      <w:r w:rsidR="00B36EAD" w:rsidRPr="00DE26DA">
        <w:rPr>
          <w:rFonts w:ascii="Calibri" w:hAnsi="Calibri"/>
          <w:b/>
          <w:bCs/>
          <w:kern w:val="28"/>
          <w:sz w:val="24"/>
          <w:szCs w:val="24"/>
        </w:rPr>
        <w:t xml:space="preserve">  INFORMÁCIE O INÝCH AKTÍVACH A INÝCH PASÍVACH</w:t>
      </w:r>
    </w:p>
    <w:p w:rsidR="009448C5" w:rsidRDefault="009448C5" w:rsidP="00B36EAD">
      <w:pPr>
        <w:jc w:val="both"/>
        <w:rPr>
          <w:rFonts w:ascii="Calibri" w:hAnsi="Calibri"/>
          <w:b/>
          <w:bCs/>
          <w:sz w:val="20"/>
          <w:szCs w:val="20"/>
          <w:lang w:eastAsia="cs-CZ"/>
        </w:rPr>
      </w:pPr>
    </w:p>
    <w:p w:rsidR="00D848DC" w:rsidRDefault="00B36EAD" w:rsidP="00B36EAD">
      <w:pPr>
        <w:jc w:val="both"/>
        <w:rPr>
          <w:rFonts w:ascii="Calibri" w:hAnsi="Calibri"/>
          <w:bCs/>
          <w:sz w:val="20"/>
          <w:szCs w:val="20"/>
          <w:lang w:eastAsia="cs-CZ"/>
        </w:rPr>
      </w:pPr>
      <w:r w:rsidRPr="008F70FB">
        <w:rPr>
          <w:rFonts w:ascii="Calibri" w:hAnsi="Calibri"/>
          <w:bCs/>
          <w:sz w:val="20"/>
          <w:szCs w:val="20"/>
          <w:lang w:eastAsia="cs-CZ"/>
        </w:rPr>
        <w:t xml:space="preserve">Vzhľadom na to, že mnohé oblasti slovenského daňového práva neboli dostatočne overené praxou, existuje neistota v tom, ako ich budú daňové orgány aplikovať. Mieru tejto neistoty nie je možné kvantifikovať a zanikne až po tom, keď budú k dispozícii právne precedensy, prípadne oficiálne interpretácie príslušných orgánov. Vedenie spoločnosti si nie je vedomé žiadnych okolností, v dôsledku ktorých by jej vznikol významný náklad. </w:t>
      </w:r>
    </w:p>
    <w:p w:rsidR="00DD5F5C" w:rsidRPr="00DD5F5C" w:rsidRDefault="00DD5F5C" w:rsidP="00DD5F5C">
      <w:pPr>
        <w:rPr>
          <w:lang w:eastAsia="cs-CZ"/>
        </w:rPr>
      </w:pPr>
    </w:p>
    <w:p w:rsidR="00B36EAD" w:rsidRPr="00E46948" w:rsidRDefault="00E46948" w:rsidP="00BB4706">
      <w:pPr>
        <w:keepNext/>
        <w:spacing w:before="120" w:after="60"/>
        <w:outlineLvl w:val="0"/>
        <w:rPr>
          <w:rFonts w:ascii="Calibri" w:hAnsi="Calibri"/>
          <w:b/>
          <w:bCs/>
          <w:caps/>
          <w:kern w:val="32"/>
          <w:sz w:val="24"/>
          <w:szCs w:val="24"/>
        </w:rPr>
      </w:pPr>
      <w:r w:rsidRPr="00E46948">
        <w:rPr>
          <w:rFonts w:ascii="Calibri" w:hAnsi="Calibri"/>
          <w:b/>
          <w:bCs/>
          <w:caps/>
          <w:kern w:val="32"/>
          <w:sz w:val="24"/>
          <w:szCs w:val="24"/>
        </w:rPr>
        <w:t xml:space="preserve">VI </w:t>
      </w:r>
      <w:r w:rsidR="00B36EAD" w:rsidRPr="00E46948">
        <w:rPr>
          <w:rFonts w:ascii="Calibri" w:hAnsi="Calibri"/>
          <w:b/>
          <w:bCs/>
          <w:caps/>
          <w:kern w:val="32"/>
          <w:sz w:val="24"/>
          <w:szCs w:val="24"/>
        </w:rPr>
        <w:t xml:space="preserve">. </w:t>
      </w:r>
      <w:bookmarkStart w:id="5" w:name="_Toc530739925"/>
      <w:r w:rsidR="00B36EAD" w:rsidRPr="00E46948">
        <w:rPr>
          <w:rFonts w:ascii="Calibri" w:hAnsi="Calibri"/>
          <w:b/>
          <w:bCs/>
          <w:caps/>
          <w:kern w:val="32"/>
          <w:sz w:val="24"/>
          <w:szCs w:val="24"/>
        </w:rPr>
        <w:t>Informácie o skutočnostiach, ktoré nastali po dni, ku ktorému sa zostavuje účtovná závierka, do dňa zostavenia účtovnej závierky</w:t>
      </w:r>
      <w:bookmarkEnd w:id="5"/>
    </w:p>
    <w:p w:rsidR="00E46948" w:rsidRDefault="00E46948" w:rsidP="00BB4706">
      <w:pPr>
        <w:rPr>
          <w:rFonts w:ascii="Calibri" w:hAnsi="Calibri"/>
          <w:bCs/>
          <w:sz w:val="20"/>
          <w:szCs w:val="20"/>
          <w:lang w:eastAsia="cs-CZ"/>
        </w:rPr>
      </w:pPr>
    </w:p>
    <w:tbl>
      <w:tblPr>
        <w:tblW w:w="9240" w:type="dxa"/>
        <w:tblInd w:w="70" w:type="dxa"/>
        <w:tblCellMar>
          <w:left w:w="70" w:type="dxa"/>
          <w:right w:w="70" w:type="dxa"/>
        </w:tblCellMar>
        <w:tblLook w:val="04A0"/>
      </w:tblPr>
      <w:tblGrid>
        <w:gridCol w:w="9240"/>
      </w:tblGrid>
      <w:tr w:rsidR="00D03D25" w:rsidRPr="00D43F67" w:rsidTr="00EB732E">
        <w:trPr>
          <w:trHeight w:val="235"/>
        </w:trPr>
        <w:tc>
          <w:tcPr>
            <w:tcW w:w="9240" w:type="dxa"/>
            <w:tcBorders>
              <w:top w:val="nil"/>
              <w:left w:val="nil"/>
              <w:bottom w:val="nil"/>
              <w:right w:val="nil"/>
            </w:tcBorders>
            <w:shd w:val="clear" w:color="auto" w:fill="auto"/>
            <w:vAlign w:val="bottom"/>
          </w:tcPr>
          <w:p w:rsidR="00D03D25" w:rsidRPr="00D43F67" w:rsidRDefault="00D03D25" w:rsidP="00BB4706">
            <w:pPr>
              <w:rPr>
                <w:rFonts w:asciiTheme="minorHAnsi" w:hAnsiTheme="minorHAnsi" w:cs="Arial"/>
                <w:sz w:val="20"/>
                <w:szCs w:val="20"/>
                <w:lang w:eastAsia="sk-SK"/>
              </w:rPr>
            </w:pPr>
            <w:r w:rsidRPr="008F70FB">
              <w:rPr>
                <w:rFonts w:ascii="Calibri" w:hAnsi="Calibri"/>
                <w:bCs/>
                <w:sz w:val="20"/>
                <w:szCs w:val="20"/>
                <w:lang w:eastAsia="cs-CZ"/>
              </w:rPr>
              <w:t xml:space="preserve">Po 31. decembri </w:t>
            </w:r>
            <w:r>
              <w:rPr>
                <w:rFonts w:ascii="Calibri" w:hAnsi="Calibri"/>
                <w:bCs/>
                <w:sz w:val="20"/>
                <w:szCs w:val="20"/>
                <w:lang w:eastAsia="cs-CZ"/>
              </w:rPr>
              <w:t>2016</w:t>
            </w:r>
            <w:r w:rsidRPr="008F70FB">
              <w:rPr>
                <w:rFonts w:ascii="Calibri" w:hAnsi="Calibri"/>
                <w:bCs/>
                <w:sz w:val="20"/>
                <w:szCs w:val="20"/>
                <w:lang w:eastAsia="cs-CZ"/>
              </w:rPr>
              <w:t xml:space="preserve"> nenastali udalosti majúce významný vplyv na verné </w:t>
            </w:r>
            <w:r>
              <w:rPr>
                <w:rFonts w:ascii="Calibri" w:hAnsi="Calibri"/>
                <w:bCs/>
                <w:sz w:val="20"/>
                <w:szCs w:val="20"/>
                <w:lang w:eastAsia="cs-CZ"/>
              </w:rPr>
              <w:t>zo</w:t>
            </w:r>
            <w:r w:rsidRPr="008F70FB">
              <w:rPr>
                <w:rFonts w:ascii="Calibri" w:hAnsi="Calibri"/>
                <w:bCs/>
                <w:sz w:val="20"/>
                <w:szCs w:val="20"/>
                <w:lang w:eastAsia="cs-CZ"/>
              </w:rPr>
              <w:t>brazenie skutočností, ktoré sú predmetom účtovníctva.</w:t>
            </w:r>
          </w:p>
        </w:tc>
      </w:tr>
    </w:tbl>
    <w:p w:rsidR="00D43F67" w:rsidRDefault="00D43F67" w:rsidP="0071136F">
      <w:pPr>
        <w:keepNext/>
        <w:jc w:val="both"/>
        <w:outlineLvl w:val="0"/>
        <w:rPr>
          <w:rFonts w:asciiTheme="minorHAnsi" w:hAnsiTheme="minorHAnsi"/>
          <w:bCs/>
          <w:kern w:val="28"/>
          <w:sz w:val="20"/>
          <w:szCs w:val="20"/>
        </w:rPr>
      </w:pPr>
    </w:p>
    <w:p w:rsidR="00EB732E" w:rsidRDefault="00EB732E" w:rsidP="0071136F">
      <w:pPr>
        <w:keepNext/>
        <w:jc w:val="both"/>
        <w:outlineLvl w:val="0"/>
        <w:rPr>
          <w:rFonts w:asciiTheme="minorHAnsi" w:hAnsiTheme="minorHAnsi"/>
          <w:bCs/>
          <w:kern w:val="28"/>
          <w:sz w:val="20"/>
          <w:szCs w:val="20"/>
        </w:rPr>
      </w:pPr>
    </w:p>
    <w:p w:rsidR="00EB732E" w:rsidRDefault="00EB732E" w:rsidP="0071136F">
      <w:pPr>
        <w:keepNext/>
        <w:jc w:val="both"/>
        <w:outlineLvl w:val="0"/>
        <w:rPr>
          <w:rFonts w:asciiTheme="minorHAnsi" w:hAnsiTheme="minorHAnsi"/>
          <w:bCs/>
          <w:kern w:val="28"/>
          <w:sz w:val="20"/>
          <w:szCs w:val="20"/>
        </w:rPr>
      </w:pPr>
    </w:p>
    <w:p w:rsidR="00BF6EDB" w:rsidRPr="00CC3783" w:rsidRDefault="00CC3783" w:rsidP="0071136F">
      <w:pPr>
        <w:keepNext/>
        <w:jc w:val="both"/>
        <w:outlineLvl w:val="0"/>
        <w:rPr>
          <w:rFonts w:asciiTheme="minorHAnsi" w:hAnsiTheme="minorHAnsi"/>
          <w:b/>
          <w:bCs/>
          <w:kern w:val="28"/>
          <w:sz w:val="20"/>
          <w:szCs w:val="20"/>
          <w:u w:val="single"/>
        </w:rPr>
      </w:pPr>
      <w:r w:rsidRPr="00CC3783">
        <w:rPr>
          <w:rFonts w:asciiTheme="minorHAnsi" w:hAnsiTheme="minorHAnsi"/>
          <w:b/>
          <w:bCs/>
          <w:kern w:val="28"/>
          <w:sz w:val="20"/>
          <w:szCs w:val="20"/>
          <w:u w:val="single"/>
        </w:rPr>
        <w:t>Zmena nastala v uvedenom:</w:t>
      </w:r>
    </w:p>
    <w:p w:rsidR="00BF6EDB" w:rsidRPr="00DA5673" w:rsidRDefault="00CC3783" w:rsidP="00BF6EDB">
      <w:pPr>
        <w:pStyle w:val="Zkladntext"/>
        <w:rPr>
          <w:rFonts w:asciiTheme="minorHAnsi" w:hAnsiTheme="minorHAnsi"/>
          <w:b w:val="0"/>
          <w:sz w:val="20"/>
          <w:szCs w:val="20"/>
        </w:rPr>
      </w:pPr>
      <w:r>
        <w:rPr>
          <w:rFonts w:asciiTheme="minorHAnsi" w:hAnsiTheme="minorHAnsi"/>
          <w:b w:val="0"/>
          <w:sz w:val="20"/>
          <w:szCs w:val="20"/>
        </w:rPr>
        <w:t>j</w:t>
      </w:r>
      <w:r w:rsidR="00BF6EDB">
        <w:rPr>
          <w:rFonts w:asciiTheme="minorHAnsi" w:hAnsiTheme="minorHAnsi"/>
          <w:b w:val="0"/>
          <w:sz w:val="20"/>
          <w:szCs w:val="20"/>
        </w:rPr>
        <w:t xml:space="preserve">ediným </w:t>
      </w:r>
      <w:r w:rsidR="00E469D7">
        <w:rPr>
          <w:rFonts w:asciiTheme="minorHAnsi" w:hAnsiTheme="minorHAnsi"/>
          <w:b w:val="0"/>
          <w:sz w:val="20"/>
          <w:szCs w:val="20"/>
        </w:rPr>
        <w:t xml:space="preserve">spoločníkom </w:t>
      </w:r>
      <w:r w:rsidR="00BF6EDB">
        <w:rPr>
          <w:rFonts w:asciiTheme="minorHAnsi" w:hAnsiTheme="minorHAnsi"/>
          <w:b w:val="0"/>
          <w:sz w:val="20"/>
          <w:szCs w:val="20"/>
        </w:rPr>
        <w:t>spoločnosti s ručením obmedzeným je</w:t>
      </w:r>
      <w:r>
        <w:rPr>
          <w:rFonts w:asciiTheme="minorHAnsi" w:hAnsiTheme="minorHAnsi"/>
          <w:b w:val="0"/>
          <w:sz w:val="20"/>
          <w:szCs w:val="20"/>
        </w:rPr>
        <w:t xml:space="preserve"> </w:t>
      </w:r>
      <w:r w:rsidR="00E469D7">
        <w:rPr>
          <w:rFonts w:asciiTheme="minorHAnsi" w:hAnsiTheme="minorHAnsi"/>
          <w:b w:val="0"/>
          <w:sz w:val="20"/>
          <w:szCs w:val="20"/>
        </w:rPr>
        <w:t xml:space="preserve">od </w:t>
      </w:r>
      <w:r w:rsidR="00E469D7" w:rsidRPr="002558C7">
        <w:rPr>
          <w:rFonts w:asciiTheme="minorHAnsi" w:hAnsiTheme="minorHAnsi"/>
          <w:sz w:val="20"/>
          <w:szCs w:val="20"/>
        </w:rPr>
        <w:t>25.2.2017</w:t>
      </w:r>
      <w:r w:rsidR="00BF6EDB" w:rsidRPr="002558C7">
        <w:rPr>
          <w:rFonts w:asciiTheme="minorHAnsi" w:hAnsiTheme="minorHAnsi"/>
          <w:sz w:val="20"/>
          <w:szCs w:val="20"/>
        </w:rPr>
        <w:t>:</w:t>
      </w:r>
    </w:p>
    <w:p w:rsidR="00BF6EDB" w:rsidRPr="00DA5673" w:rsidRDefault="00BF6EDB" w:rsidP="00BF6EDB">
      <w:pPr>
        <w:pStyle w:val="Zkladntext"/>
        <w:rPr>
          <w:rFonts w:asciiTheme="minorHAnsi" w:hAnsiTheme="minorHAnsi"/>
          <w:b w:val="0"/>
          <w:sz w:val="20"/>
          <w:szCs w:val="20"/>
        </w:rPr>
      </w:pPr>
    </w:p>
    <w:p w:rsidR="00BF6EDB" w:rsidRPr="00DA5673" w:rsidRDefault="00E469D7" w:rsidP="00BF6EDB">
      <w:pPr>
        <w:pStyle w:val="Zkladntext"/>
        <w:rPr>
          <w:rFonts w:asciiTheme="minorHAnsi" w:hAnsiTheme="minorHAnsi"/>
          <w:b w:val="0"/>
          <w:sz w:val="20"/>
          <w:szCs w:val="20"/>
        </w:rPr>
      </w:pPr>
      <w:r w:rsidRPr="00CC3783">
        <w:rPr>
          <w:rFonts w:asciiTheme="minorHAnsi" w:hAnsiTheme="minorHAnsi"/>
          <w:sz w:val="20"/>
          <w:szCs w:val="20"/>
        </w:rPr>
        <w:t xml:space="preserve"> L </w:t>
      </w:r>
      <w:r w:rsidRPr="00CC3783">
        <w:rPr>
          <w:rFonts w:asciiTheme="minorHAnsi" w:hAnsiTheme="minorHAnsi" w:cstheme="minorHAnsi"/>
          <w:sz w:val="20"/>
          <w:szCs w:val="20"/>
        </w:rPr>
        <w:t>&amp; K DEVELOPMENT,</w:t>
      </w:r>
      <w:r w:rsidR="00BF6EDB" w:rsidRPr="00CC3783">
        <w:rPr>
          <w:rFonts w:asciiTheme="minorHAnsi" w:hAnsiTheme="minorHAnsi"/>
          <w:sz w:val="20"/>
          <w:szCs w:val="20"/>
        </w:rPr>
        <w:t xml:space="preserve"> a.s.</w:t>
      </w:r>
      <w:r w:rsidR="00BF6EDB">
        <w:rPr>
          <w:rFonts w:asciiTheme="minorHAnsi" w:hAnsiTheme="minorHAnsi"/>
          <w:b w:val="0"/>
          <w:sz w:val="20"/>
          <w:szCs w:val="20"/>
        </w:rPr>
        <w:t xml:space="preserve"> so sídlom Vojtecha Tvrdého 793/21, 010 01 Žilina, IČO: </w:t>
      </w:r>
      <w:r w:rsidR="00CC3783">
        <w:rPr>
          <w:rFonts w:asciiTheme="minorHAnsi" w:hAnsiTheme="minorHAnsi"/>
          <w:b w:val="0"/>
          <w:sz w:val="20"/>
          <w:szCs w:val="20"/>
        </w:rPr>
        <w:t>36 417 513</w:t>
      </w:r>
      <w:r w:rsidR="00BF6EDB">
        <w:rPr>
          <w:rFonts w:asciiTheme="minorHAnsi" w:hAnsiTheme="minorHAnsi"/>
          <w:b w:val="0"/>
          <w:sz w:val="20"/>
          <w:szCs w:val="20"/>
        </w:rPr>
        <w:t>, zapísaná v Obchodnom registri vedenom Okresným súdom v Žiline, vo vložke č. 10</w:t>
      </w:r>
      <w:r w:rsidR="00CC3783">
        <w:rPr>
          <w:rFonts w:asciiTheme="minorHAnsi" w:hAnsiTheme="minorHAnsi"/>
          <w:b w:val="0"/>
          <w:sz w:val="20"/>
          <w:szCs w:val="20"/>
        </w:rPr>
        <w:t>530</w:t>
      </w:r>
      <w:r w:rsidR="00BF6EDB">
        <w:rPr>
          <w:rFonts w:asciiTheme="minorHAnsi" w:hAnsiTheme="minorHAnsi"/>
          <w:b w:val="0"/>
          <w:sz w:val="20"/>
          <w:szCs w:val="20"/>
        </w:rPr>
        <w:t>/L s vkladom spoločníka 6.639,-€ (slovom šesťtisícšesťstotridsaťdeväť eur), čo predstavuje 100% na základnom imaní spoločnosti s ručením obmedzeným.</w:t>
      </w:r>
    </w:p>
    <w:p w:rsidR="00BF6EDB" w:rsidRDefault="00BF6EDB" w:rsidP="0071136F">
      <w:pPr>
        <w:keepNext/>
        <w:jc w:val="both"/>
        <w:outlineLvl w:val="0"/>
        <w:rPr>
          <w:rFonts w:asciiTheme="minorHAnsi" w:hAnsiTheme="minorHAnsi"/>
          <w:bCs/>
          <w:kern w:val="28"/>
          <w:sz w:val="20"/>
          <w:szCs w:val="20"/>
        </w:rPr>
      </w:pPr>
    </w:p>
    <w:p w:rsidR="00712537" w:rsidRDefault="00A22CAB" w:rsidP="00712537">
      <w:pPr>
        <w:keepNext/>
        <w:jc w:val="both"/>
        <w:outlineLvl w:val="0"/>
        <w:rPr>
          <w:rFonts w:asciiTheme="minorHAnsi" w:hAnsiTheme="minorHAnsi"/>
          <w:bCs/>
          <w:kern w:val="28"/>
          <w:sz w:val="20"/>
          <w:szCs w:val="20"/>
        </w:rPr>
      </w:pPr>
      <w:r>
        <w:rPr>
          <w:rFonts w:asciiTheme="minorHAnsi" w:hAnsiTheme="minorHAnsi"/>
          <w:bCs/>
          <w:kern w:val="28"/>
          <w:sz w:val="20"/>
          <w:szCs w:val="20"/>
        </w:rPr>
        <w:t>Súdne</w:t>
      </w:r>
      <w:r w:rsidR="00712537">
        <w:rPr>
          <w:rFonts w:asciiTheme="minorHAnsi" w:hAnsiTheme="minorHAnsi"/>
          <w:bCs/>
          <w:kern w:val="28"/>
          <w:sz w:val="20"/>
          <w:szCs w:val="20"/>
        </w:rPr>
        <w:t xml:space="preserve"> spory:</w:t>
      </w:r>
    </w:p>
    <w:p w:rsidR="00712537" w:rsidRPr="00712537" w:rsidRDefault="00FE6708" w:rsidP="00712537">
      <w:pPr>
        <w:pStyle w:val="Odsekzoznamu"/>
        <w:keepNext/>
        <w:numPr>
          <w:ilvl w:val="0"/>
          <w:numId w:val="20"/>
        </w:numPr>
        <w:jc w:val="both"/>
        <w:outlineLvl w:val="0"/>
        <w:rPr>
          <w:rFonts w:asciiTheme="minorHAnsi" w:hAnsiTheme="minorHAnsi" w:cs="Times New Roman"/>
          <w:bCs/>
          <w:sz w:val="20"/>
          <w:szCs w:val="20"/>
          <w:lang w:eastAsia="cs-CZ"/>
        </w:rPr>
      </w:pPr>
      <w:r w:rsidRPr="00712537">
        <w:rPr>
          <w:rFonts w:asciiTheme="minorHAnsi" w:hAnsiTheme="minorHAnsi" w:cs="Times New Roman"/>
          <w:bCs/>
          <w:sz w:val="20"/>
          <w:szCs w:val="20"/>
          <w:lang w:eastAsia="cs-CZ"/>
        </w:rPr>
        <w:t>CG Office, s.r.o. c/a VL INTER, spol. s r.o. o náhradu škody vo výške 38.836,86</w:t>
      </w:r>
      <w:r w:rsidR="007552A2">
        <w:rPr>
          <w:rFonts w:asciiTheme="minorHAnsi" w:hAnsiTheme="minorHAnsi" w:cs="Times New Roman"/>
          <w:bCs/>
          <w:sz w:val="20"/>
          <w:szCs w:val="20"/>
          <w:lang w:eastAsia="cs-CZ"/>
        </w:rPr>
        <w:t xml:space="preserve"> </w:t>
      </w:r>
      <w:r w:rsidRPr="00712537">
        <w:rPr>
          <w:rFonts w:asciiTheme="minorHAnsi" w:hAnsiTheme="minorHAnsi" w:cs="Times New Roman"/>
          <w:bCs/>
          <w:sz w:val="20"/>
          <w:szCs w:val="20"/>
          <w:lang w:eastAsia="cs-CZ"/>
        </w:rPr>
        <w:t>€ s príslušenstvom vedenej pred Okresným súdom Bratislava IV</w:t>
      </w:r>
      <w:r w:rsidR="00A22CAB">
        <w:rPr>
          <w:rFonts w:asciiTheme="minorHAnsi" w:hAnsiTheme="minorHAnsi" w:cs="Times New Roman"/>
          <w:bCs/>
          <w:sz w:val="20"/>
          <w:szCs w:val="20"/>
          <w:lang w:eastAsia="cs-CZ"/>
        </w:rPr>
        <w:t xml:space="preserve"> ( Rozhodnutie v mene Slovenskej republiky </w:t>
      </w:r>
      <w:r w:rsidRPr="00712537">
        <w:rPr>
          <w:rFonts w:asciiTheme="minorHAnsi" w:hAnsiTheme="minorHAnsi" w:cs="Times New Roman"/>
          <w:bCs/>
          <w:sz w:val="20"/>
          <w:szCs w:val="20"/>
          <w:lang w:eastAsia="cs-CZ"/>
        </w:rPr>
        <w:t>pod sp.zn. 12Cb 154/2013</w:t>
      </w:r>
      <w:r w:rsidR="00A22CAB">
        <w:rPr>
          <w:rFonts w:asciiTheme="minorHAnsi" w:hAnsiTheme="minorHAnsi" w:cs="Times New Roman"/>
          <w:bCs/>
          <w:sz w:val="20"/>
          <w:szCs w:val="20"/>
          <w:lang w:eastAsia="cs-CZ"/>
        </w:rPr>
        <w:t xml:space="preserve"> zatiaľ nie je právoplatné) </w:t>
      </w:r>
      <w:r w:rsidR="00712537">
        <w:rPr>
          <w:rFonts w:asciiTheme="minorHAnsi" w:hAnsiTheme="minorHAnsi" w:cs="Times New Roman"/>
          <w:bCs/>
          <w:sz w:val="20"/>
          <w:szCs w:val="20"/>
          <w:lang w:eastAsia="cs-CZ"/>
        </w:rPr>
        <w:t>.</w:t>
      </w:r>
    </w:p>
    <w:p w:rsidR="00FE6708" w:rsidRDefault="00A22CAB" w:rsidP="00712537">
      <w:pPr>
        <w:ind w:left="720"/>
        <w:jc w:val="both"/>
        <w:rPr>
          <w:rFonts w:asciiTheme="minorHAnsi" w:hAnsiTheme="minorHAnsi" w:cs="Times New Roman"/>
          <w:bCs/>
          <w:sz w:val="20"/>
          <w:szCs w:val="20"/>
          <w:lang w:eastAsia="cs-CZ"/>
        </w:rPr>
      </w:pPr>
      <w:r>
        <w:rPr>
          <w:rFonts w:asciiTheme="minorHAnsi" w:hAnsiTheme="minorHAnsi" w:cs="Times New Roman"/>
          <w:bCs/>
          <w:sz w:val="20"/>
          <w:szCs w:val="20"/>
          <w:lang w:eastAsia="cs-CZ"/>
        </w:rPr>
        <w:t>Spoločnosť CG Office, s.r.o. má záujem uzatvoriť d</w:t>
      </w:r>
      <w:r w:rsidR="00FE6708" w:rsidRPr="00712537">
        <w:rPr>
          <w:rFonts w:asciiTheme="minorHAnsi" w:hAnsiTheme="minorHAnsi" w:cs="Times New Roman"/>
          <w:bCs/>
          <w:sz w:val="20"/>
          <w:szCs w:val="20"/>
          <w:lang w:eastAsia="cs-CZ"/>
        </w:rPr>
        <w:t>ohod</w:t>
      </w:r>
      <w:r>
        <w:rPr>
          <w:rFonts w:asciiTheme="minorHAnsi" w:hAnsiTheme="minorHAnsi" w:cs="Times New Roman"/>
          <w:bCs/>
          <w:sz w:val="20"/>
          <w:szCs w:val="20"/>
          <w:lang w:eastAsia="cs-CZ"/>
        </w:rPr>
        <w:t>u</w:t>
      </w:r>
      <w:r w:rsidR="00FE6708" w:rsidRPr="00712537">
        <w:rPr>
          <w:rFonts w:asciiTheme="minorHAnsi" w:hAnsiTheme="minorHAnsi" w:cs="Times New Roman"/>
          <w:bCs/>
          <w:sz w:val="20"/>
          <w:szCs w:val="20"/>
          <w:lang w:eastAsia="cs-CZ"/>
        </w:rPr>
        <w:t xml:space="preserve"> </w:t>
      </w:r>
      <w:r w:rsidR="00712537">
        <w:rPr>
          <w:rFonts w:asciiTheme="minorHAnsi" w:hAnsiTheme="minorHAnsi" w:cs="Times New Roman"/>
          <w:bCs/>
          <w:sz w:val="20"/>
          <w:szCs w:val="20"/>
          <w:lang w:eastAsia="cs-CZ"/>
        </w:rPr>
        <w:t xml:space="preserve">o urovnaní  </w:t>
      </w:r>
      <w:r>
        <w:rPr>
          <w:rFonts w:asciiTheme="minorHAnsi" w:hAnsiTheme="minorHAnsi" w:cs="Times New Roman"/>
          <w:bCs/>
          <w:sz w:val="20"/>
          <w:szCs w:val="20"/>
          <w:lang w:eastAsia="cs-CZ"/>
        </w:rPr>
        <w:t xml:space="preserve">so </w:t>
      </w:r>
      <w:r w:rsidR="00712537">
        <w:rPr>
          <w:rFonts w:asciiTheme="minorHAnsi" w:hAnsiTheme="minorHAnsi" w:cs="Times New Roman"/>
          <w:bCs/>
          <w:sz w:val="20"/>
          <w:szCs w:val="20"/>
          <w:lang w:eastAsia="cs-CZ"/>
        </w:rPr>
        <w:t>spoločnosť</w:t>
      </w:r>
      <w:r>
        <w:rPr>
          <w:rFonts w:asciiTheme="minorHAnsi" w:hAnsiTheme="minorHAnsi" w:cs="Times New Roman"/>
          <w:bCs/>
          <w:sz w:val="20"/>
          <w:szCs w:val="20"/>
          <w:lang w:eastAsia="cs-CZ"/>
        </w:rPr>
        <w:t>ou</w:t>
      </w:r>
      <w:r w:rsidR="00712537">
        <w:rPr>
          <w:rFonts w:asciiTheme="minorHAnsi" w:hAnsiTheme="minorHAnsi" w:cs="Times New Roman"/>
          <w:bCs/>
          <w:sz w:val="20"/>
          <w:szCs w:val="20"/>
          <w:lang w:eastAsia="cs-CZ"/>
        </w:rPr>
        <w:t xml:space="preserve"> VL INTER, spol. s r.o. </w:t>
      </w:r>
      <w:r>
        <w:rPr>
          <w:rFonts w:asciiTheme="minorHAnsi" w:hAnsiTheme="minorHAnsi" w:cs="Times New Roman"/>
          <w:bCs/>
          <w:sz w:val="20"/>
          <w:szCs w:val="20"/>
          <w:lang w:eastAsia="cs-CZ"/>
        </w:rPr>
        <w:t xml:space="preserve">, ktorá na základe tejto mimosúdnej dohody </w:t>
      </w:r>
      <w:r w:rsidR="00712537">
        <w:rPr>
          <w:rFonts w:asciiTheme="minorHAnsi" w:hAnsiTheme="minorHAnsi" w:cs="Times New Roman"/>
          <w:bCs/>
          <w:sz w:val="20"/>
          <w:szCs w:val="20"/>
          <w:lang w:eastAsia="cs-CZ"/>
        </w:rPr>
        <w:t xml:space="preserve">uhradí náhradu škody vo výške  </w:t>
      </w:r>
      <w:r w:rsidR="00FE6708" w:rsidRPr="00712537">
        <w:rPr>
          <w:rFonts w:asciiTheme="minorHAnsi" w:hAnsiTheme="minorHAnsi" w:cs="Times New Roman"/>
          <w:bCs/>
          <w:sz w:val="20"/>
          <w:szCs w:val="20"/>
          <w:lang w:eastAsia="cs-CZ"/>
        </w:rPr>
        <w:t xml:space="preserve"> </w:t>
      </w:r>
      <w:r w:rsidR="00712537">
        <w:rPr>
          <w:rFonts w:asciiTheme="minorHAnsi" w:hAnsiTheme="minorHAnsi" w:cs="Times New Roman"/>
          <w:bCs/>
          <w:sz w:val="20"/>
          <w:szCs w:val="20"/>
          <w:lang w:eastAsia="cs-CZ"/>
        </w:rPr>
        <w:t>21.825,60</w:t>
      </w:r>
      <w:r w:rsidR="007552A2">
        <w:rPr>
          <w:rFonts w:asciiTheme="minorHAnsi" w:hAnsiTheme="minorHAnsi" w:cs="Times New Roman"/>
          <w:bCs/>
          <w:sz w:val="20"/>
          <w:szCs w:val="20"/>
          <w:lang w:eastAsia="cs-CZ"/>
        </w:rPr>
        <w:t xml:space="preserve"> </w:t>
      </w:r>
      <w:r w:rsidR="00FE6708" w:rsidRPr="00712537">
        <w:rPr>
          <w:rFonts w:asciiTheme="minorHAnsi" w:hAnsiTheme="minorHAnsi" w:cs="Times New Roman"/>
          <w:bCs/>
          <w:sz w:val="20"/>
          <w:szCs w:val="20"/>
          <w:lang w:eastAsia="cs-CZ"/>
        </w:rPr>
        <w:t>€</w:t>
      </w:r>
      <w:r w:rsidR="00712537">
        <w:rPr>
          <w:rFonts w:asciiTheme="minorHAnsi" w:hAnsiTheme="minorHAnsi" w:cs="Times New Roman"/>
          <w:bCs/>
          <w:sz w:val="20"/>
          <w:szCs w:val="20"/>
          <w:lang w:eastAsia="cs-CZ"/>
        </w:rPr>
        <w:t xml:space="preserve"> </w:t>
      </w:r>
      <w:r w:rsidR="00FE6708" w:rsidRPr="00712537">
        <w:rPr>
          <w:rFonts w:asciiTheme="minorHAnsi" w:hAnsiTheme="minorHAnsi" w:cs="Times New Roman"/>
          <w:bCs/>
          <w:sz w:val="20"/>
          <w:szCs w:val="20"/>
          <w:lang w:eastAsia="cs-CZ"/>
        </w:rPr>
        <w:t xml:space="preserve"> a trovy právneho zastúpenia</w:t>
      </w:r>
      <w:r w:rsidR="00712537">
        <w:rPr>
          <w:rFonts w:asciiTheme="minorHAnsi" w:hAnsiTheme="minorHAnsi" w:cs="Times New Roman"/>
          <w:bCs/>
          <w:sz w:val="20"/>
          <w:szCs w:val="20"/>
          <w:lang w:eastAsia="cs-CZ"/>
        </w:rPr>
        <w:t xml:space="preserve"> ( celkovo vo výške </w:t>
      </w:r>
      <w:r w:rsidR="00FE6708" w:rsidRPr="00712537">
        <w:rPr>
          <w:rFonts w:asciiTheme="minorHAnsi" w:hAnsiTheme="minorHAnsi" w:cs="Times New Roman"/>
          <w:bCs/>
          <w:sz w:val="20"/>
          <w:szCs w:val="20"/>
          <w:lang w:eastAsia="cs-CZ"/>
        </w:rPr>
        <w:t xml:space="preserve">23.249,70  </w:t>
      </w:r>
      <w:r w:rsidR="00712537">
        <w:rPr>
          <w:rFonts w:asciiTheme="minorHAnsi" w:hAnsiTheme="minorHAnsi" w:cs="Times New Roman"/>
          <w:bCs/>
          <w:sz w:val="20"/>
          <w:szCs w:val="20"/>
          <w:lang w:eastAsia="cs-CZ"/>
        </w:rPr>
        <w:t>€ ).</w:t>
      </w:r>
    </w:p>
    <w:p w:rsidR="00712537" w:rsidRPr="00712537" w:rsidRDefault="00712537" w:rsidP="00712537">
      <w:pPr>
        <w:ind w:left="720"/>
        <w:jc w:val="both"/>
        <w:rPr>
          <w:rFonts w:asciiTheme="minorHAnsi" w:hAnsiTheme="minorHAnsi" w:cs="Times New Roman"/>
          <w:bCs/>
          <w:sz w:val="20"/>
          <w:szCs w:val="20"/>
          <w:lang w:eastAsia="cs-CZ"/>
        </w:rPr>
      </w:pPr>
    </w:p>
    <w:p w:rsidR="00A22CAB" w:rsidRPr="00712537" w:rsidRDefault="00FE6708" w:rsidP="00A22CAB">
      <w:pPr>
        <w:pStyle w:val="Odsekzoznamu"/>
        <w:keepNext/>
        <w:numPr>
          <w:ilvl w:val="0"/>
          <w:numId w:val="20"/>
        </w:numPr>
        <w:jc w:val="both"/>
        <w:outlineLvl w:val="0"/>
        <w:rPr>
          <w:rFonts w:asciiTheme="minorHAnsi" w:hAnsiTheme="minorHAnsi" w:cs="Times New Roman"/>
          <w:bCs/>
          <w:sz w:val="20"/>
          <w:szCs w:val="20"/>
          <w:lang w:eastAsia="cs-CZ"/>
        </w:rPr>
      </w:pPr>
      <w:r w:rsidRPr="00FE6708">
        <w:rPr>
          <w:rFonts w:asciiTheme="minorHAnsi" w:hAnsiTheme="minorHAnsi" w:cs="Times New Roman"/>
          <w:bCs/>
          <w:sz w:val="20"/>
          <w:szCs w:val="20"/>
          <w:lang w:eastAsia="cs-CZ"/>
        </w:rPr>
        <w:t>CG Office, s.r.o. c/a SG Shopping s r.o. o náhradu škody vo výške 33.000,</w:t>
      </w:r>
      <w:r w:rsidR="007552A2">
        <w:rPr>
          <w:rFonts w:asciiTheme="minorHAnsi" w:hAnsiTheme="minorHAnsi" w:cs="Times New Roman"/>
          <w:bCs/>
          <w:sz w:val="20"/>
          <w:szCs w:val="20"/>
          <w:lang w:eastAsia="cs-CZ"/>
        </w:rPr>
        <w:t>00</w:t>
      </w:r>
      <w:r w:rsidRPr="00FE6708">
        <w:rPr>
          <w:rFonts w:asciiTheme="minorHAnsi" w:hAnsiTheme="minorHAnsi" w:cs="Times New Roman"/>
          <w:bCs/>
          <w:sz w:val="20"/>
          <w:szCs w:val="20"/>
          <w:lang w:eastAsia="cs-CZ"/>
        </w:rPr>
        <w:t xml:space="preserve"> € s príslušenstvom vedenej pred Okresným súdom Bratislava IV</w:t>
      </w:r>
      <w:r w:rsidR="00A22CAB">
        <w:rPr>
          <w:rFonts w:asciiTheme="minorHAnsi" w:hAnsiTheme="minorHAnsi" w:cs="Times New Roman"/>
          <w:bCs/>
          <w:sz w:val="20"/>
          <w:szCs w:val="20"/>
          <w:lang w:eastAsia="cs-CZ"/>
        </w:rPr>
        <w:t xml:space="preserve"> ( Rozhodnutie v mene Slovenskej republiky </w:t>
      </w:r>
      <w:r w:rsidR="00A22CAB" w:rsidRPr="00712537">
        <w:rPr>
          <w:rFonts w:asciiTheme="minorHAnsi" w:hAnsiTheme="minorHAnsi" w:cs="Times New Roman"/>
          <w:bCs/>
          <w:sz w:val="20"/>
          <w:szCs w:val="20"/>
          <w:lang w:eastAsia="cs-CZ"/>
        </w:rPr>
        <w:t>pod sp.zn.</w:t>
      </w:r>
      <w:r w:rsidR="00A22CAB">
        <w:rPr>
          <w:rFonts w:asciiTheme="minorHAnsi" w:hAnsiTheme="minorHAnsi" w:cs="Times New Roman"/>
          <w:bCs/>
          <w:sz w:val="20"/>
          <w:szCs w:val="20"/>
          <w:lang w:eastAsia="cs-CZ"/>
        </w:rPr>
        <w:t xml:space="preserve"> </w:t>
      </w:r>
      <w:r w:rsidR="00A22CAB" w:rsidRPr="00FE6708">
        <w:rPr>
          <w:rFonts w:asciiTheme="minorHAnsi" w:hAnsiTheme="minorHAnsi" w:cs="Times New Roman"/>
          <w:bCs/>
          <w:sz w:val="20"/>
          <w:szCs w:val="20"/>
          <w:lang w:eastAsia="cs-CZ"/>
        </w:rPr>
        <w:t>10Cb 172/2013</w:t>
      </w:r>
      <w:r w:rsidR="00A22CAB">
        <w:rPr>
          <w:rFonts w:asciiTheme="minorHAnsi" w:hAnsiTheme="minorHAnsi" w:cs="Times New Roman"/>
          <w:bCs/>
          <w:sz w:val="20"/>
          <w:szCs w:val="20"/>
          <w:lang w:eastAsia="cs-CZ"/>
        </w:rPr>
        <w:t xml:space="preserve"> zatiaľ nie je právoplatné) .</w:t>
      </w:r>
    </w:p>
    <w:p w:rsidR="007552A2" w:rsidRPr="007552A2" w:rsidRDefault="00A22CAB" w:rsidP="007552A2">
      <w:pPr>
        <w:ind w:left="720"/>
        <w:jc w:val="both"/>
        <w:rPr>
          <w:rFonts w:asciiTheme="minorHAnsi" w:hAnsiTheme="minorHAnsi" w:cs="Times New Roman"/>
          <w:bCs/>
          <w:sz w:val="20"/>
          <w:szCs w:val="20"/>
          <w:lang w:eastAsia="cs-CZ"/>
        </w:rPr>
      </w:pPr>
      <w:r>
        <w:rPr>
          <w:rFonts w:asciiTheme="minorHAnsi" w:hAnsiTheme="minorHAnsi" w:cs="Times New Roman"/>
          <w:bCs/>
          <w:sz w:val="20"/>
          <w:szCs w:val="20"/>
          <w:lang w:eastAsia="cs-CZ"/>
        </w:rPr>
        <w:t>Spoločnosť CG Office, s.r.o. má záujem uzatvoriť d</w:t>
      </w:r>
      <w:r w:rsidRPr="00712537">
        <w:rPr>
          <w:rFonts w:asciiTheme="minorHAnsi" w:hAnsiTheme="minorHAnsi" w:cs="Times New Roman"/>
          <w:bCs/>
          <w:sz w:val="20"/>
          <w:szCs w:val="20"/>
          <w:lang w:eastAsia="cs-CZ"/>
        </w:rPr>
        <w:t>ohod</w:t>
      </w:r>
      <w:r>
        <w:rPr>
          <w:rFonts w:asciiTheme="minorHAnsi" w:hAnsiTheme="minorHAnsi" w:cs="Times New Roman"/>
          <w:bCs/>
          <w:sz w:val="20"/>
          <w:szCs w:val="20"/>
          <w:lang w:eastAsia="cs-CZ"/>
        </w:rPr>
        <w:t>u</w:t>
      </w:r>
      <w:r w:rsidRPr="00712537">
        <w:rPr>
          <w:rFonts w:asciiTheme="minorHAnsi" w:hAnsiTheme="minorHAnsi" w:cs="Times New Roman"/>
          <w:bCs/>
          <w:sz w:val="20"/>
          <w:szCs w:val="20"/>
          <w:lang w:eastAsia="cs-CZ"/>
        </w:rPr>
        <w:t xml:space="preserve"> </w:t>
      </w:r>
      <w:r>
        <w:rPr>
          <w:rFonts w:asciiTheme="minorHAnsi" w:hAnsiTheme="minorHAnsi" w:cs="Times New Roman"/>
          <w:bCs/>
          <w:sz w:val="20"/>
          <w:szCs w:val="20"/>
          <w:lang w:eastAsia="cs-CZ"/>
        </w:rPr>
        <w:t xml:space="preserve">o urovnaní  so spoločnosťou </w:t>
      </w:r>
      <w:r w:rsidR="007552A2">
        <w:rPr>
          <w:rFonts w:asciiTheme="minorHAnsi" w:hAnsiTheme="minorHAnsi" w:cs="Times New Roman"/>
          <w:bCs/>
          <w:sz w:val="20"/>
          <w:szCs w:val="20"/>
          <w:lang w:eastAsia="cs-CZ"/>
        </w:rPr>
        <w:t>Shopping</w:t>
      </w:r>
      <w:r w:rsidR="007552A2" w:rsidRPr="007552A2">
        <w:rPr>
          <w:rFonts w:asciiTheme="minorHAnsi" w:hAnsiTheme="minorHAnsi" w:cs="Times New Roman"/>
          <w:bCs/>
          <w:sz w:val="20"/>
          <w:szCs w:val="20"/>
          <w:lang w:eastAsia="cs-CZ"/>
        </w:rPr>
        <w:t xml:space="preserve"> s r.o.</w:t>
      </w:r>
      <w:r w:rsidR="007552A2">
        <w:rPr>
          <w:rFonts w:asciiTheme="minorHAnsi" w:hAnsiTheme="minorHAnsi" w:cs="Times New Roman"/>
          <w:bCs/>
          <w:sz w:val="20"/>
          <w:szCs w:val="20"/>
          <w:lang w:eastAsia="cs-CZ"/>
        </w:rPr>
        <w:t xml:space="preserve"> </w:t>
      </w:r>
      <w:r>
        <w:rPr>
          <w:rFonts w:asciiTheme="minorHAnsi" w:hAnsiTheme="minorHAnsi" w:cs="Times New Roman"/>
          <w:bCs/>
          <w:sz w:val="20"/>
          <w:szCs w:val="20"/>
          <w:lang w:eastAsia="cs-CZ"/>
        </w:rPr>
        <w:t xml:space="preserve">, ktorá na základe tejto </w:t>
      </w:r>
      <w:r w:rsidR="00EB732E">
        <w:rPr>
          <w:rFonts w:asciiTheme="minorHAnsi" w:hAnsiTheme="minorHAnsi" w:cs="Times New Roman"/>
          <w:bCs/>
          <w:sz w:val="20"/>
          <w:szCs w:val="20"/>
          <w:lang w:eastAsia="cs-CZ"/>
        </w:rPr>
        <w:t xml:space="preserve">mimosúdnej dohody </w:t>
      </w:r>
      <w:r w:rsidR="007552A2" w:rsidRPr="007552A2">
        <w:rPr>
          <w:rFonts w:asciiTheme="minorHAnsi" w:hAnsiTheme="minorHAnsi" w:cs="Times New Roman"/>
          <w:bCs/>
          <w:sz w:val="20"/>
          <w:szCs w:val="20"/>
          <w:lang w:eastAsia="cs-CZ"/>
        </w:rPr>
        <w:t xml:space="preserve">uhradí náhradu škody vo výške   </w:t>
      </w:r>
      <w:r w:rsidR="007552A2">
        <w:rPr>
          <w:rFonts w:asciiTheme="minorHAnsi" w:hAnsiTheme="minorHAnsi" w:cs="Times New Roman"/>
          <w:bCs/>
          <w:sz w:val="20"/>
          <w:szCs w:val="20"/>
          <w:lang w:eastAsia="cs-CZ"/>
        </w:rPr>
        <w:t xml:space="preserve">19.771,02 </w:t>
      </w:r>
      <w:r w:rsidR="007552A2" w:rsidRPr="007552A2">
        <w:rPr>
          <w:rFonts w:asciiTheme="minorHAnsi" w:hAnsiTheme="minorHAnsi" w:cs="Times New Roman"/>
          <w:bCs/>
          <w:sz w:val="20"/>
          <w:szCs w:val="20"/>
          <w:lang w:eastAsia="cs-CZ"/>
        </w:rPr>
        <w:t xml:space="preserve">€  a trovy právneho zastúpenia ( celkovo vo výške </w:t>
      </w:r>
      <w:r w:rsidR="007552A2">
        <w:rPr>
          <w:rFonts w:asciiTheme="minorHAnsi" w:hAnsiTheme="minorHAnsi" w:cs="Times New Roman"/>
          <w:bCs/>
          <w:sz w:val="20"/>
          <w:szCs w:val="20"/>
          <w:lang w:eastAsia="cs-CZ"/>
        </w:rPr>
        <w:t>22.380,18</w:t>
      </w:r>
      <w:r w:rsidR="007552A2" w:rsidRPr="007552A2">
        <w:rPr>
          <w:rFonts w:asciiTheme="minorHAnsi" w:hAnsiTheme="minorHAnsi" w:cs="Times New Roman"/>
          <w:bCs/>
          <w:sz w:val="20"/>
          <w:szCs w:val="20"/>
          <w:lang w:eastAsia="cs-CZ"/>
        </w:rPr>
        <w:t>  € ).</w:t>
      </w:r>
    </w:p>
    <w:p w:rsidR="00712537" w:rsidRPr="00712537" w:rsidRDefault="00712537" w:rsidP="007552A2">
      <w:pPr>
        <w:ind w:left="720"/>
        <w:rPr>
          <w:rFonts w:asciiTheme="minorHAnsi" w:hAnsiTheme="minorHAnsi" w:cs="Times New Roman"/>
          <w:bCs/>
          <w:sz w:val="20"/>
          <w:szCs w:val="20"/>
          <w:lang w:eastAsia="cs-CZ"/>
        </w:rPr>
      </w:pPr>
    </w:p>
    <w:p w:rsidR="00D43F67" w:rsidRPr="00D43F67" w:rsidRDefault="00D43F67" w:rsidP="00D43F67">
      <w:pPr>
        <w:pStyle w:val="Zkladntext"/>
        <w:rPr>
          <w:rFonts w:asciiTheme="minorHAnsi" w:hAnsiTheme="minorHAnsi"/>
          <w:sz w:val="20"/>
          <w:szCs w:val="20"/>
        </w:rPr>
      </w:pPr>
      <w:r w:rsidRPr="00D43F67">
        <w:rPr>
          <w:rFonts w:asciiTheme="minorHAnsi" w:hAnsiTheme="minorHAnsi"/>
          <w:sz w:val="20"/>
          <w:szCs w:val="20"/>
        </w:rPr>
        <w:t>Peňažné prostriedky</w:t>
      </w:r>
    </w:p>
    <w:p w:rsidR="00D43F67" w:rsidRPr="00D43F67" w:rsidRDefault="00D43F67" w:rsidP="00D43F67">
      <w:pPr>
        <w:pStyle w:val="Zkladntext"/>
        <w:rPr>
          <w:rFonts w:asciiTheme="minorHAnsi" w:hAnsiTheme="minorHAnsi"/>
          <w:b w:val="0"/>
          <w:sz w:val="20"/>
          <w:szCs w:val="20"/>
        </w:rPr>
      </w:pPr>
    </w:p>
    <w:p w:rsidR="00D43F67" w:rsidRPr="00D43F67" w:rsidRDefault="00D43F67" w:rsidP="00D43F67">
      <w:pPr>
        <w:pStyle w:val="Zkladntext"/>
        <w:rPr>
          <w:rFonts w:asciiTheme="minorHAnsi" w:hAnsiTheme="minorHAnsi"/>
          <w:b w:val="0"/>
          <w:sz w:val="20"/>
          <w:szCs w:val="20"/>
        </w:rPr>
      </w:pPr>
      <w:r w:rsidRPr="00D43F67">
        <w:rPr>
          <w:rFonts w:asciiTheme="minorHAnsi" w:hAnsiTheme="minorHAnsi"/>
          <w:b w:val="0"/>
          <w:sz w:val="20"/>
          <w:szCs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D43F67" w:rsidRDefault="00D43F67" w:rsidP="00D43F67">
      <w:pPr>
        <w:pStyle w:val="Zkladntext"/>
        <w:rPr>
          <w:rFonts w:asciiTheme="minorHAnsi" w:hAnsiTheme="minorHAnsi"/>
          <w:b w:val="0"/>
          <w:sz w:val="20"/>
          <w:szCs w:val="20"/>
        </w:rPr>
      </w:pPr>
    </w:p>
    <w:p w:rsidR="00EB732E" w:rsidRDefault="00EB732E" w:rsidP="00D43F67">
      <w:pPr>
        <w:pStyle w:val="Zkladntext"/>
        <w:rPr>
          <w:rFonts w:asciiTheme="minorHAnsi" w:hAnsiTheme="minorHAnsi"/>
          <w:b w:val="0"/>
          <w:sz w:val="20"/>
          <w:szCs w:val="20"/>
        </w:rPr>
      </w:pPr>
    </w:p>
    <w:p w:rsidR="00EB732E" w:rsidRDefault="00EB732E" w:rsidP="00D43F67">
      <w:pPr>
        <w:pStyle w:val="Zkladntext"/>
        <w:rPr>
          <w:rFonts w:asciiTheme="minorHAnsi" w:hAnsiTheme="minorHAnsi"/>
          <w:b w:val="0"/>
          <w:sz w:val="20"/>
          <w:szCs w:val="20"/>
        </w:rPr>
      </w:pPr>
    </w:p>
    <w:p w:rsidR="00EB732E" w:rsidRDefault="00EB732E" w:rsidP="00D43F67">
      <w:pPr>
        <w:pStyle w:val="Zkladntext"/>
        <w:rPr>
          <w:rFonts w:asciiTheme="minorHAnsi" w:hAnsiTheme="minorHAnsi"/>
          <w:b w:val="0"/>
          <w:sz w:val="20"/>
          <w:szCs w:val="20"/>
        </w:rPr>
      </w:pPr>
    </w:p>
    <w:p w:rsidR="00EB732E" w:rsidRDefault="00EB732E" w:rsidP="00D43F67">
      <w:pPr>
        <w:pStyle w:val="Zkladntext"/>
        <w:rPr>
          <w:rFonts w:asciiTheme="minorHAnsi" w:hAnsiTheme="minorHAnsi"/>
          <w:b w:val="0"/>
          <w:sz w:val="20"/>
          <w:szCs w:val="20"/>
        </w:rPr>
      </w:pPr>
    </w:p>
    <w:p w:rsidR="00EB732E" w:rsidRDefault="00EB732E" w:rsidP="00D43F67">
      <w:pPr>
        <w:pStyle w:val="Zkladntext"/>
        <w:rPr>
          <w:rFonts w:asciiTheme="minorHAnsi" w:hAnsiTheme="minorHAnsi"/>
          <w:b w:val="0"/>
          <w:sz w:val="20"/>
          <w:szCs w:val="20"/>
        </w:rPr>
      </w:pPr>
    </w:p>
    <w:p w:rsidR="00EB732E" w:rsidRDefault="00EB732E" w:rsidP="00D43F67">
      <w:pPr>
        <w:pStyle w:val="Zkladntext"/>
        <w:rPr>
          <w:rFonts w:asciiTheme="minorHAnsi" w:hAnsiTheme="minorHAnsi"/>
          <w:b w:val="0"/>
          <w:sz w:val="20"/>
          <w:szCs w:val="20"/>
        </w:rPr>
      </w:pPr>
    </w:p>
    <w:p w:rsidR="00EB732E" w:rsidRPr="00D43F67" w:rsidRDefault="00EB732E" w:rsidP="00D43F67">
      <w:pPr>
        <w:pStyle w:val="Zkladntext"/>
        <w:rPr>
          <w:rFonts w:asciiTheme="minorHAnsi" w:hAnsiTheme="minorHAnsi"/>
          <w:b w:val="0"/>
          <w:sz w:val="20"/>
          <w:szCs w:val="20"/>
        </w:rPr>
      </w:pPr>
    </w:p>
    <w:p w:rsidR="00D43F67" w:rsidRPr="00D43F67" w:rsidRDefault="00D43F67" w:rsidP="00D43F67">
      <w:pPr>
        <w:pStyle w:val="Zkladntext"/>
        <w:rPr>
          <w:rFonts w:asciiTheme="minorHAnsi" w:hAnsiTheme="minorHAnsi"/>
          <w:sz w:val="20"/>
          <w:szCs w:val="20"/>
        </w:rPr>
      </w:pPr>
      <w:r w:rsidRPr="00D43F67">
        <w:rPr>
          <w:rFonts w:asciiTheme="minorHAnsi" w:hAnsiTheme="minorHAnsi"/>
          <w:sz w:val="20"/>
          <w:szCs w:val="20"/>
        </w:rPr>
        <w:t>Ekvivalenty peňažných prostriedkov</w:t>
      </w:r>
    </w:p>
    <w:p w:rsidR="00D43F67" w:rsidRPr="00D43F67" w:rsidRDefault="00D43F67" w:rsidP="00D43F67">
      <w:pPr>
        <w:pStyle w:val="Zkladntext"/>
        <w:rPr>
          <w:rFonts w:asciiTheme="minorHAnsi" w:hAnsiTheme="minorHAnsi"/>
          <w:b w:val="0"/>
          <w:sz w:val="20"/>
          <w:szCs w:val="20"/>
        </w:rPr>
      </w:pPr>
    </w:p>
    <w:p w:rsidR="00D43F67" w:rsidRDefault="00D43F67" w:rsidP="00B91254">
      <w:pPr>
        <w:pStyle w:val="Zkladntext"/>
        <w:rPr>
          <w:rFonts w:asciiTheme="minorHAnsi" w:hAnsiTheme="minorHAnsi"/>
          <w:bCs w:val="0"/>
          <w:kern w:val="28"/>
          <w:sz w:val="20"/>
          <w:szCs w:val="20"/>
        </w:rPr>
      </w:pPr>
      <w:r w:rsidRPr="00D43F67">
        <w:rPr>
          <w:rFonts w:asciiTheme="minorHAnsi" w:hAnsiTheme="minorHAnsi"/>
          <w:b w:val="0"/>
          <w:sz w:val="20"/>
          <w:szCs w:val="20"/>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enné papiere určené na obchodovanie, prioritné akcie obstarané účtovnou jednotkou, ktoré sú splatné do troch mesiacov odo dňa, ku ktorému sa zostavuje účtovná závierka.</w:t>
      </w:r>
    </w:p>
    <w:p w:rsidR="00D43F67" w:rsidRDefault="00D43F67" w:rsidP="0071136F">
      <w:pPr>
        <w:keepNext/>
        <w:jc w:val="both"/>
        <w:outlineLvl w:val="0"/>
        <w:rPr>
          <w:rFonts w:asciiTheme="minorHAnsi" w:hAnsiTheme="minorHAnsi"/>
          <w:bCs/>
          <w:kern w:val="28"/>
          <w:sz w:val="20"/>
          <w:szCs w:val="20"/>
        </w:rPr>
      </w:pPr>
    </w:p>
    <w:p w:rsidR="00D43F67" w:rsidRDefault="00D43F67" w:rsidP="0071136F">
      <w:pPr>
        <w:keepNext/>
        <w:jc w:val="both"/>
        <w:outlineLvl w:val="0"/>
        <w:rPr>
          <w:rFonts w:asciiTheme="minorHAnsi" w:hAnsiTheme="minorHAnsi"/>
          <w:bCs/>
          <w:kern w:val="28"/>
          <w:sz w:val="20"/>
          <w:szCs w:val="20"/>
        </w:rPr>
      </w:pPr>
    </w:p>
    <w:sectPr w:rsidR="00D43F67" w:rsidSect="001B6A6E">
      <w:headerReference w:type="default" r:id="rId14"/>
      <w:footerReference w:type="default" r:id="rId15"/>
      <w:pgSz w:w="11907" w:h="16839" w:code="9"/>
      <w:pgMar w:top="1440" w:right="1440" w:bottom="1440" w:left="1440" w:header="708" w:footer="340"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B732E" w:rsidRDefault="00EB732E" w:rsidP="008D6E2D">
      <w:r>
        <w:separator/>
      </w:r>
    </w:p>
  </w:endnote>
  <w:endnote w:type="continuationSeparator" w:id="0">
    <w:p w:rsidR="00EB732E" w:rsidRDefault="00EB732E" w:rsidP="008D6E2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732E" w:rsidRDefault="00EB732E">
    <w:pPr>
      <w:pStyle w:val="Pta"/>
      <w:pBdr>
        <w:top w:val="thinThickSmallGap" w:sz="24" w:space="1" w:color="622423" w:themeColor="accent2" w:themeShade="7F"/>
      </w:pBdr>
      <w:rPr>
        <w:rFonts w:asciiTheme="majorHAnsi" w:hAnsiTheme="majorHAnsi"/>
      </w:rPr>
    </w:pPr>
    <w:r>
      <w:rPr>
        <w:rFonts w:asciiTheme="majorHAnsi" w:hAnsiTheme="majorHAnsi"/>
      </w:rPr>
      <w:ptab w:relativeTo="margin" w:alignment="right" w:leader="none"/>
    </w:r>
    <w:r>
      <w:rPr>
        <w:rFonts w:asciiTheme="majorHAnsi" w:hAnsiTheme="majorHAnsi"/>
      </w:rPr>
      <w:t xml:space="preserve">Strana </w:t>
    </w:r>
    <w:fldSimple w:instr=" PAGE   \* MERGEFORMAT ">
      <w:r w:rsidR="007D6E92" w:rsidRPr="007D6E92">
        <w:rPr>
          <w:rFonts w:asciiTheme="majorHAnsi" w:hAnsiTheme="majorHAnsi"/>
          <w:noProof/>
        </w:rPr>
        <w:t>7</w:t>
      </w:r>
    </w:fldSimple>
  </w:p>
  <w:p w:rsidR="00EB732E" w:rsidRDefault="00EB732E">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B732E" w:rsidRDefault="00EB732E" w:rsidP="008D6E2D">
      <w:r>
        <w:separator/>
      </w:r>
    </w:p>
  </w:footnote>
  <w:footnote w:type="continuationSeparator" w:id="0">
    <w:p w:rsidR="00EB732E" w:rsidRDefault="00EB732E" w:rsidP="008D6E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732E" w:rsidRPr="00181DFB" w:rsidRDefault="00EB732E" w:rsidP="00181DFB">
    <w:pPr>
      <w:pStyle w:val="Hlavika"/>
      <w:tabs>
        <w:tab w:val="clear" w:pos="4536"/>
        <w:tab w:val="clear" w:pos="9072"/>
        <w:tab w:val="center" w:pos="3969"/>
        <w:tab w:val="left" w:pos="7920"/>
        <w:tab w:val="right" w:pos="9213"/>
      </w:tabs>
      <w:rPr>
        <w:rFonts w:asciiTheme="minorHAnsi" w:hAnsiTheme="minorHAnsi"/>
        <w:sz w:val="18"/>
        <w:szCs w:val="18"/>
      </w:rPr>
    </w:pPr>
    <w:r w:rsidRPr="00181DFB">
      <w:rPr>
        <w:rFonts w:asciiTheme="minorHAnsi" w:hAnsiTheme="minorHAnsi"/>
        <w:sz w:val="18"/>
        <w:szCs w:val="18"/>
      </w:rPr>
      <w:tab/>
    </w:r>
    <w:r w:rsidRPr="00181DFB">
      <w:rPr>
        <w:rFonts w:asciiTheme="minorHAnsi" w:hAnsiTheme="minorHAnsi"/>
        <w:sz w:val="18"/>
        <w:szCs w:val="18"/>
      </w:rPr>
      <w:tab/>
    </w:r>
    <w:r w:rsidRPr="00181DFB">
      <w:rPr>
        <w:rFonts w:asciiTheme="minorHAnsi" w:hAnsiTheme="minorHAnsi"/>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55"/>
      <w:gridCol w:w="4295"/>
      <w:gridCol w:w="279"/>
      <w:gridCol w:w="278"/>
      <w:gridCol w:w="283"/>
      <w:gridCol w:w="282"/>
      <w:gridCol w:w="283"/>
      <w:gridCol w:w="282"/>
      <w:gridCol w:w="283"/>
      <w:gridCol w:w="282"/>
      <w:gridCol w:w="283"/>
      <w:gridCol w:w="282"/>
    </w:tblGrid>
    <w:tr w:rsidR="00EB732E" w:rsidRPr="00181DFB" w:rsidTr="00181DFB">
      <w:trPr>
        <w:trHeight w:val="126"/>
      </w:trPr>
      <w:tc>
        <w:tcPr>
          <w:tcW w:w="2062" w:type="dxa"/>
          <w:tcBorders>
            <w:top w:val="nil"/>
            <w:left w:val="nil"/>
            <w:bottom w:val="nil"/>
            <w:right w:val="nil"/>
          </w:tcBorders>
          <w:vAlign w:val="center"/>
        </w:tcPr>
        <w:p w:rsidR="00EB732E" w:rsidRPr="00181DFB" w:rsidRDefault="00EB732E" w:rsidP="00181DFB">
          <w:pPr>
            <w:pStyle w:val="Hlavika"/>
            <w:tabs>
              <w:tab w:val="clear" w:pos="4536"/>
              <w:tab w:val="center" w:pos="4253"/>
              <w:tab w:val="right" w:pos="9213"/>
            </w:tabs>
            <w:spacing w:line="276" w:lineRule="auto"/>
            <w:ind w:firstLine="2"/>
            <w:rPr>
              <w:rFonts w:asciiTheme="minorHAnsi" w:hAnsiTheme="minorHAnsi"/>
              <w:sz w:val="18"/>
              <w:szCs w:val="18"/>
            </w:rPr>
          </w:pPr>
          <w:r w:rsidRPr="00181DFB">
            <w:rPr>
              <w:rFonts w:asciiTheme="minorHAnsi" w:hAnsiTheme="minorHAnsi"/>
              <w:sz w:val="18"/>
              <w:szCs w:val="18"/>
            </w:rPr>
            <w:t>Poznámky Úč POD</w:t>
          </w:r>
          <w:r>
            <w:rPr>
              <w:rFonts w:asciiTheme="minorHAnsi" w:hAnsiTheme="minorHAnsi"/>
              <w:sz w:val="18"/>
              <w:szCs w:val="18"/>
            </w:rPr>
            <w:t>V 3 -</w:t>
          </w:r>
          <w:r w:rsidRPr="00181DFB">
            <w:rPr>
              <w:rFonts w:asciiTheme="minorHAnsi" w:hAnsiTheme="minorHAnsi"/>
              <w:sz w:val="18"/>
              <w:szCs w:val="18"/>
            </w:rPr>
            <w:t>01</w:t>
          </w:r>
        </w:p>
      </w:tc>
      <w:tc>
        <w:tcPr>
          <w:tcW w:w="4317" w:type="dxa"/>
          <w:tcBorders>
            <w:top w:val="nil"/>
            <w:left w:val="nil"/>
            <w:bottom w:val="nil"/>
            <w:right w:val="nil"/>
          </w:tcBorders>
          <w:vAlign w:val="center"/>
          <w:hideMark/>
        </w:tcPr>
        <w:p w:rsidR="00EB732E" w:rsidRPr="00181DFB" w:rsidRDefault="00EB732E" w:rsidP="00181DFB">
          <w:pPr>
            <w:pStyle w:val="Hlavika"/>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IČO</w:t>
          </w:r>
        </w:p>
      </w:tc>
      <w:tc>
        <w:tcPr>
          <w:tcW w:w="280" w:type="dxa"/>
          <w:tcBorders>
            <w:top w:val="nil"/>
            <w:left w:val="nil"/>
            <w:bottom w:val="nil"/>
            <w:right w:val="nil"/>
          </w:tcBorders>
          <w:vAlign w:val="center"/>
        </w:tcPr>
        <w:p w:rsidR="00EB732E" w:rsidRPr="00181DFB" w:rsidRDefault="00EB732E"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79" w:type="dxa"/>
          <w:tcBorders>
            <w:top w:val="nil"/>
            <w:left w:val="nil"/>
            <w:bottom w:val="nil"/>
            <w:right w:val="single" w:sz="4" w:space="0" w:color="auto"/>
          </w:tcBorders>
          <w:vAlign w:val="center"/>
        </w:tcPr>
        <w:p w:rsidR="00EB732E" w:rsidRPr="00181DFB" w:rsidRDefault="00EB732E"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EB732E" w:rsidRPr="00181DFB" w:rsidRDefault="00EB732E"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EB732E" w:rsidRPr="00181DFB" w:rsidRDefault="00EB732E"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EB732E" w:rsidRPr="00181DFB" w:rsidRDefault="00EB732E"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rsidR="00EB732E" w:rsidRPr="00181DFB" w:rsidRDefault="00EB732E"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EB732E" w:rsidRPr="00181DFB" w:rsidRDefault="00EB732E" w:rsidP="008576CA">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rsidR="00EB732E" w:rsidRPr="00181DFB" w:rsidRDefault="00EB732E"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rsidR="00EB732E" w:rsidRPr="00181DFB" w:rsidRDefault="00EB732E"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EB732E" w:rsidRPr="00181DFB" w:rsidRDefault="00EB732E" w:rsidP="00181DFB">
          <w:pPr>
            <w:pStyle w:val="Hlavika"/>
            <w:tabs>
              <w:tab w:val="clear" w:pos="4536"/>
              <w:tab w:val="center" w:pos="4253"/>
              <w:tab w:val="right" w:pos="9213"/>
            </w:tabs>
            <w:spacing w:line="276" w:lineRule="auto"/>
            <w:jc w:val="right"/>
            <w:rPr>
              <w:rFonts w:asciiTheme="minorHAnsi" w:hAnsiTheme="minorHAnsi"/>
              <w:sz w:val="18"/>
              <w:szCs w:val="18"/>
            </w:rPr>
          </w:pPr>
          <w:r>
            <w:rPr>
              <w:rFonts w:asciiTheme="minorHAnsi" w:hAnsiTheme="minorHAnsi"/>
              <w:sz w:val="18"/>
              <w:szCs w:val="18"/>
            </w:rPr>
            <w:t>6</w:t>
          </w:r>
        </w:p>
      </w:tc>
    </w:tr>
  </w:tbl>
  <w:p w:rsidR="00EB732E" w:rsidRPr="00181DFB" w:rsidRDefault="00EB732E" w:rsidP="00181DFB">
    <w:pPr>
      <w:pStyle w:val="Hlavika"/>
      <w:tabs>
        <w:tab w:val="center" w:pos="4962"/>
        <w:tab w:val="right" w:pos="9213"/>
      </w:tabs>
      <w:ind w:right="-1"/>
      <w:jc w:val="right"/>
      <w:rPr>
        <w:rFonts w:asciiTheme="minorHAnsi" w:hAnsiTheme="minorHAnsi"/>
        <w:sz w:val="18"/>
        <w:szCs w:val="18"/>
        <w:lang w:val="en-GB"/>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225"/>
      <w:gridCol w:w="279"/>
      <w:gridCol w:w="280"/>
      <w:gridCol w:w="279"/>
      <w:gridCol w:w="287"/>
      <w:gridCol w:w="279"/>
      <w:gridCol w:w="278"/>
      <w:gridCol w:w="279"/>
      <w:gridCol w:w="278"/>
      <w:gridCol w:w="279"/>
      <w:gridCol w:w="317"/>
    </w:tblGrid>
    <w:tr w:rsidR="00EB732E" w:rsidRPr="00181DFB" w:rsidTr="003C1AB4">
      <w:trPr>
        <w:trHeight w:val="127"/>
      </w:trPr>
      <w:tc>
        <w:tcPr>
          <w:tcW w:w="2012" w:type="dxa"/>
          <w:tcBorders>
            <w:top w:val="nil"/>
            <w:left w:val="nil"/>
            <w:bottom w:val="nil"/>
            <w:right w:val="nil"/>
          </w:tcBorders>
          <w:vAlign w:val="center"/>
          <w:hideMark/>
        </w:tcPr>
        <w:p w:rsidR="00EB732E" w:rsidRPr="00181DFB" w:rsidRDefault="00EB732E" w:rsidP="00181DFB">
          <w:pPr>
            <w:pStyle w:val="Hlavika"/>
            <w:tabs>
              <w:tab w:val="clear" w:pos="4536"/>
              <w:tab w:val="center" w:pos="4253"/>
              <w:tab w:val="right" w:pos="9213"/>
            </w:tabs>
            <w:spacing w:line="276" w:lineRule="auto"/>
            <w:ind w:left="-70"/>
            <w:rPr>
              <w:rFonts w:asciiTheme="minorHAnsi" w:hAnsiTheme="minorHAnsi"/>
              <w:b/>
              <w:sz w:val="18"/>
              <w:szCs w:val="18"/>
            </w:rPr>
          </w:pPr>
          <w:r>
            <w:rPr>
              <w:rFonts w:asciiTheme="minorHAnsi" w:hAnsiTheme="minorHAnsi"/>
              <w:b/>
              <w:sz w:val="18"/>
              <w:szCs w:val="18"/>
            </w:rPr>
            <w:t>CG Office, s.r.o.</w:t>
          </w:r>
        </w:p>
      </w:tc>
      <w:tc>
        <w:tcPr>
          <w:tcW w:w="4225" w:type="dxa"/>
          <w:tcBorders>
            <w:top w:val="nil"/>
            <w:left w:val="nil"/>
            <w:bottom w:val="nil"/>
            <w:right w:val="single" w:sz="4" w:space="0" w:color="auto"/>
          </w:tcBorders>
          <w:vAlign w:val="center"/>
          <w:hideMark/>
        </w:tcPr>
        <w:p w:rsidR="00EB732E" w:rsidRPr="00181DFB" w:rsidRDefault="00EB732E" w:rsidP="00181DFB">
          <w:pPr>
            <w:pStyle w:val="Hlavika"/>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w:t>
          </w:r>
          <w:r>
            <w:rPr>
              <w:rFonts w:asciiTheme="minorHAnsi" w:hAnsiTheme="minorHAnsi"/>
              <w:sz w:val="18"/>
              <w:szCs w:val="18"/>
            </w:rPr>
            <w:t xml:space="preserve">      </w:t>
          </w:r>
          <w:r w:rsidRPr="00181DFB">
            <w:rPr>
              <w:rFonts w:asciiTheme="minorHAnsi" w:hAnsiTheme="minorHAnsi"/>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EB732E" w:rsidRPr="00181DFB" w:rsidRDefault="00EB732E"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EB732E" w:rsidRPr="00181DFB" w:rsidRDefault="00EB732E"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EB732E" w:rsidRPr="00181DFB" w:rsidRDefault="00EB732E"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EB732E" w:rsidRPr="00181DFB" w:rsidRDefault="00EB732E"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EB732E" w:rsidRPr="00181DFB" w:rsidRDefault="00EB732E"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tcPr>
        <w:p w:rsidR="00EB732E" w:rsidRPr="00181DFB" w:rsidRDefault="00EB732E"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rsidR="00EB732E" w:rsidRPr="00181DFB" w:rsidRDefault="00EB732E"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rsidR="00EB732E" w:rsidRPr="00181DFB" w:rsidRDefault="00EB732E"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EB732E" w:rsidRPr="00181DFB" w:rsidRDefault="00EB732E"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1</w:t>
          </w:r>
        </w:p>
      </w:tc>
      <w:tc>
        <w:tcPr>
          <w:tcW w:w="317" w:type="dxa"/>
          <w:tcBorders>
            <w:top w:val="single" w:sz="4" w:space="0" w:color="auto"/>
            <w:left w:val="single" w:sz="4" w:space="0" w:color="auto"/>
            <w:bottom w:val="single" w:sz="4" w:space="0" w:color="auto"/>
            <w:right w:val="single" w:sz="4" w:space="0" w:color="auto"/>
          </w:tcBorders>
          <w:vAlign w:val="center"/>
        </w:tcPr>
        <w:p w:rsidR="00EB732E" w:rsidRPr="00181DFB" w:rsidRDefault="00EB732E"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1</w:t>
          </w:r>
        </w:p>
      </w:tc>
    </w:tr>
  </w:tbl>
  <w:p w:rsidR="00EB732E" w:rsidRPr="00181DFB" w:rsidRDefault="00EB732E" w:rsidP="001B57E5">
    <w:pPr>
      <w:pStyle w:val="Hlavika"/>
      <w:pBdr>
        <w:bottom w:val="thickThinSmallGap" w:sz="24" w:space="1" w:color="BFBFBF" w:themeColor="background1" w:themeShade="BF"/>
      </w:pBdr>
      <w:tabs>
        <w:tab w:val="clear" w:pos="4536"/>
        <w:tab w:val="clear" w:pos="9072"/>
        <w:tab w:val="center" w:pos="3969"/>
        <w:tab w:val="right" w:pos="9214"/>
      </w:tabs>
      <w:jc w:val="right"/>
      <w:rPr>
        <w:rFonts w:asciiTheme="minorHAnsi" w:hAnsiTheme="minorHAnsi"/>
      </w:rPr>
    </w:pPr>
  </w:p>
  <w:p w:rsidR="00EB732E" w:rsidRDefault="00EB732E">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7592C"/>
    <w:multiLevelType w:val="hybridMultilevel"/>
    <w:tmpl w:val="77380980"/>
    <w:lvl w:ilvl="0" w:tplc="041B0001">
      <w:start w:val="1"/>
      <w:numFmt w:val="bullet"/>
      <w:lvlText w:val=""/>
      <w:lvlJc w:val="left"/>
      <w:pPr>
        <w:ind w:left="765" w:hanging="360"/>
      </w:pPr>
      <w:rPr>
        <w:rFonts w:ascii="Symbol" w:hAnsi="Symbol"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
    <w:nsid w:val="09E961D3"/>
    <w:multiLevelType w:val="hybridMultilevel"/>
    <w:tmpl w:val="06567CB4"/>
    <w:lvl w:ilvl="0" w:tplc="86B42790">
      <w:start w:val="38"/>
      <w:numFmt w:val="bullet"/>
      <w:lvlText w:val="-"/>
      <w:lvlJc w:val="left"/>
      <w:pPr>
        <w:ind w:left="720" w:hanging="360"/>
      </w:pPr>
      <w:rPr>
        <w:rFonts w:ascii="Calibri" w:eastAsia="Times New Roman" w:hAnsi="Calibri"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BBD7E98"/>
    <w:multiLevelType w:val="hybridMultilevel"/>
    <w:tmpl w:val="5A5AAD58"/>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nsid w:val="13F24FE7"/>
    <w:multiLevelType w:val="hybridMultilevel"/>
    <w:tmpl w:val="652228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15046E42"/>
    <w:multiLevelType w:val="hybridMultilevel"/>
    <w:tmpl w:val="315026B8"/>
    <w:lvl w:ilvl="0" w:tplc="041B0003">
      <w:start w:val="1"/>
      <w:numFmt w:val="bullet"/>
      <w:lvlText w:val="o"/>
      <w:lvlJc w:val="left"/>
      <w:pPr>
        <w:tabs>
          <w:tab w:val="num" w:pos="720"/>
        </w:tabs>
        <w:ind w:left="720" w:hanging="360"/>
      </w:pPr>
      <w:rPr>
        <w:rFonts w:ascii="Courier New" w:hAnsi="Courier New"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15A9221F"/>
    <w:multiLevelType w:val="hybridMultilevel"/>
    <w:tmpl w:val="4AD676E8"/>
    <w:lvl w:ilvl="0" w:tplc="04050005">
      <w:start w:val="1"/>
      <w:numFmt w:val="bullet"/>
      <w:lvlText w:val=""/>
      <w:lvlJc w:val="left"/>
      <w:pPr>
        <w:tabs>
          <w:tab w:val="num" w:pos="720"/>
        </w:tabs>
        <w:ind w:left="720" w:hanging="360"/>
      </w:pPr>
      <w:rPr>
        <w:rFonts w:ascii="Wingdings" w:hAnsi="Wing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1AB42539"/>
    <w:multiLevelType w:val="hybridMultilevel"/>
    <w:tmpl w:val="4D66A28A"/>
    <w:lvl w:ilvl="0" w:tplc="041B0001">
      <w:start w:val="1"/>
      <w:numFmt w:val="bullet"/>
      <w:lvlText w:val=""/>
      <w:lvlJc w:val="left"/>
      <w:pPr>
        <w:ind w:left="1290" w:hanging="360"/>
      </w:pPr>
      <w:rPr>
        <w:rFonts w:ascii="Symbol" w:hAnsi="Symbol" w:hint="default"/>
      </w:rPr>
    </w:lvl>
    <w:lvl w:ilvl="1" w:tplc="041B0003" w:tentative="1">
      <w:start w:val="1"/>
      <w:numFmt w:val="bullet"/>
      <w:lvlText w:val="o"/>
      <w:lvlJc w:val="left"/>
      <w:pPr>
        <w:ind w:left="2010" w:hanging="360"/>
      </w:pPr>
      <w:rPr>
        <w:rFonts w:ascii="Courier New" w:hAnsi="Courier New" w:cs="Courier New" w:hint="default"/>
      </w:rPr>
    </w:lvl>
    <w:lvl w:ilvl="2" w:tplc="041B0005" w:tentative="1">
      <w:start w:val="1"/>
      <w:numFmt w:val="bullet"/>
      <w:lvlText w:val=""/>
      <w:lvlJc w:val="left"/>
      <w:pPr>
        <w:ind w:left="2730" w:hanging="360"/>
      </w:pPr>
      <w:rPr>
        <w:rFonts w:ascii="Wingdings" w:hAnsi="Wingdings" w:hint="default"/>
      </w:rPr>
    </w:lvl>
    <w:lvl w:ilvl="3" w:tplc="041B0001" w:tentative="1">
      <w:start w:val="1"/>
      <w:numFmt w:val="bullet"/>
      <w:lvlText w:val=""/>
      <w:lvlJc w:val="left"/>
      <w:pPr>
        <w:ind w:left="3450" w:hanging="360"/>
      </w:pPr>
      <w:rPr>
        <w:rFonts w:ascii="Symbol" w:hAnsi="Symbol" w:hint="default"/>
      </w:rPr>
    </w:lvl>
    <w:lvl w:ilvl="4" w:tplc="041B0003" w:tentative="1">
      <w:start w:val="1"/>
      <w:numFmt w:val="bullet"/>
      <w:lvlText w:val="o"/>
      <w:lvlJc w:val="left"/>
      <w:pPr>
        <w:ind w:left="4170" w:hanging="360"/>
      </w:pPr>
      <w:rPr>
        <w:rFonts w:ascii="Courier New" w:hAnsi="Courier New" w:cs="Courier New" w:hint="default"/>
      </w:rPr>
    </w:lvl>
    <w:lvl w:ilvl="5" w:tplc="041B0005" w:tentative="1">
      <w:start w:val="1"/>
      <w:numFmt w:val="bullet"/>
      <w:lvlText w:val=""/>
      <w:lvlJc w:val="left"/>
      <w:pPr>
        <w:ind w:left="4890" w:hanging="360"/>
      </w:pPr>
      <w:rPr>
        <w:rFonts w:ascii="Wingdings" w:hAnsi="Wingdings" w:hint="default"/>
      </w:rPr>
    </w:lvl>
    <w:lvl w:ilvl="6" w:tplc="041B0001" w:tentative="1">
      <w:start w:val="1"/>
      <w:numFmt w:val="bullet"/>
      <w:lvlText w:val=""/>
      <w:lvlJc w:val="left"/>
      <w:pPr>
        <w:ind w:left="5610" w:hanging="360"/>
      </w:pPr>
      <w:rPr>
        <w:rFonts w:ascii="Symbol" w:hAnsi="Symbol" w:hint="default"/>
      </w:rPr>
    </w:lvl>
    <w:lvl w:ilvl="7" w:tplc="041B0003" w:tentative="1">
      <w:start w:val="1"/>
      <w:numFmt w:val="bullet"/>
      <w:lvlText w:val="o"/>
      <w:lvlJc w:val="left"/>
      <w:pPr>
        <w:ind w:left="6330" w:hanging="360"/>
      </w:pPr>
      <w:rPr>
        <w:rFonts w:ascii="Courier New" w:hAnsi="Courier New" w:cs="Courier New" w:hint="default"/>
      </w:rPr>
    </w:lvl>
    <w:lvl w:ilvl="8" w:tplc="041B0005" w:tentative="1">
      <w:start w:val="1"/>
      <w:numFmt w:val="bullet"/>
      <w:lvlText w:val=""/>
      <w:lvlJc w:val="left"/>
      <w:pPr>
        <w:ind w:left="7050" w:hanging="360"/>
      </w:pPr>
      <w:rPr>
        <w:rFonts w:ascii="Wingdings" w:hAnsi="Wingdings" w:hint="default"/>
      </w:rPr>
    </w:lvl>
  </w:abstractNum>
  <w:abstractNum w:abstractNumId="7">
    <w:nsid w:val="26030CCE"/>
    <w:multiLevelType w:val="hybridMultilevel"/>
    <w:tmpl w:val="6F00F210"/>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26095DC5"/>
    <w:multiLevelType w:val="hybridMultilevel"/>
    <w:tmpl w:val="BE986D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4973968"/>
    <w:multiLevelType w:val="hybridMultilevel"/>
    <w:tmpl w:val="8A5A2F9E"/>
    <w:lvl w:ilvl="0" w:tplc="466E75EC">
      <w:start w:val="1"/>
      <w:numFmt w:val="lowerLetter"/>
      <w:lvlText w:val="%1)"/>
      <w:lvlJc w:val="left"/>
      <w:pPr>
        <w:ind w:left="928"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nsid w:val="3AB567E1"/>
    <w:multiLevelType w:val="hybridMultilevel"/>
    <w:tmpl w:val="C87AA2CC"/>
    <w:lvl w:ilvl="0" w:tplc="F762086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1">
    <w:nsid w:val="4EBC5B17"/>
    <w:multiLevelType w:val="hybridMultilevel"/>
    <w:tmpl w:val="18606500"/>
    <w:lvl w:ilvl="0" w:tplc="322057C6">
      <w:start w:val="14"/>
      <w:numFmt w:val="lowerLetter"/>
      <w:pStyle w:val="abc"/>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1D23D50"/>
    <w:multiLevelType w:val="hybridMultilevel"/>
    <w:tmpl w:val="35F8D4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4">
    <w:nsid w:val="53191D5F"/>
    <w:multiLevelType w:val="hybridMultilevel"/>
    <w:tmpl w:val="00CE16E2"/>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618150BA"/>
    <w:multiLevelType w:val="hybridMultilevel"/>
    <w:tmpl w:val="35820A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0680A27"/>
    <w:multiLevelType w:val="hybridMultilevel"/>
    <w:tmpl w:val="9346931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18">
    <w:nsid w:val="7D267054"/>
    <w:multiLevelType w:val="hybridMultilevel"/>
    <w:tmpl w:val="1FDCC038"/>
    <w:lvl w:ilvl="0" w:tplc="A7668454">
      <w:start w:val="1"/>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7EC934B1"/>
    <w:multiLevelType w:val="hybridMultilevel"/>
    <w:tmpl w:val="43F8091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19"/>
  </w:num>
  <w:num w:numId="2">
    <w:abstractNumId w:val="13"/>
  </w:num>
  <w:num w:numId="3">
    <w:abstractNumId w:val="4"/>
  </w:num>
  <w:num w:numId="4">
    <w:abstractNumId w:val="7"/>
  </w:num>
  <w:num w:numId="5">
    <w:abstractNumId w:val="2"/>
  </w:num>
  <w:num w:numId="6">
    <w:abstractNumId w:val="17"/>
  </w:num>
  <w:num w:numId="7">
    <w:abstractNumId w:val="5"/>
  </w:num>
  <w:num w:numId="8">
    <w:abstractNumId w:val="1"/>
  </w:num>
  <w:num w:numId="9">
    <w:abstractNumId w:val="12"/>
  </w:num>
  <w:num w:numId="10">
    <w:abstractNumId w:val="16"/>
  </w:num>
  <w:num w:numId="11">
    <w:abstractNumId w:val="15"/>
  </w:num>
  <w:num w:numId="12">
    <w:abstractNumId w:val="18"/>
  </w:num>
  <w:num w:numId="13">
    <w:abstractNumId w:val="14"/>
  </w:num>
  <w:num w:numId="14">
    <w:abstractNumId w:val="10"/>
  </w:num>
  <w:num w:numId="15">
    <w:abstractNumId w:val="11"/>
  </w:num>
  <w:num w:numId="16">
    <w:abstractNumId w:val="9"/>
  </w:num>
  <w:num w:numId="17">
    <w:abstractNumId w:val="8"/>
  </w:num>
  <w:num w:numId="18">
    <w:abstractNumId w:val="0"/>
  </w:num>
  <w:num w:numId="19">
    <w:abstractNumId w:val="6"/>
  </w:num>
  <w:num w:numId="2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hyphenationZone w:val="425"/>
  <w:drawingGridHorizontalSpacing w:val="110"/>
  <w:displayHorizontalDrawingGridEvery w:val="2"/>
  <w:characterSpacingControl w:val="doNotCompress"/>
  <w:doNotValidateAgainstSchema/>
  <w:doNotDemarcateInvalidXml/>
  <w:hdrShapeDefaults>
    <o:shapedefaults v:ext="edit" spidmax="19457"/>
  </w:hdrShapeDefaults>
  <w:footnotePr>
    <w:footnote w:id="-1"/>
    <w:footnote w:id="0"/>
  </w:footnotePr>
  <w:endnotePr>
    <w:endnote w:id="-1"/>
    <w:endnote w:id="0"/>
  </w:endnotePr>
  <w:compat/>
  <w:rsids>
    <w:rsidRoot w:val="006C1AC8"/>
    <w:rsid w:val="0000421F"/>
    <w:rsid w:val="00004693"/>
    <w:rsid w:val="00007216"/>
    <w:rsid w:val="000118E4"/>
    <w:rsid w:val="00012DBD"/>
    <w:rsid w:val="00014352"/>
    <w:rsid w:val="00016E12"/>
    <w:rsid w:val="000176F0"/>
    <w:rsid w:val="00020DD5"/>
    <w:rsid w:val="000220E1"/>
    <w:rsid w:val="00031ECE"/>
    <w:rsid w:val="000329C4"/>
    <w:rsid w:val="00034F11"/>
    <w:rsid w:val="00035405"/>
    <w:rsid w:val="000402B8"/>
    <w:rsid w:val="00040494"/>
    <w:rsid w:val="00043A0F"/>
    <w:rsid w:val="00047292"/>
    <w:rsid w:val="000500D2"/>
    <w:rsid w:val="00052F8B"/>
    <w:rsid w:val="000548D0"/>
    <w:rsid w:val="0005496C"/>
    <w:rsid w:val="00054C67"/>
    <w:rsid w:val="00056D07"/>
    <w:rsid w:val="00061B5A"/>
    <w:rsid w:val="00061CE4"/>
    <w:rsid w:val="00070F40"/>
    <w:rsid w:val="00074E75"/>
    <w:rsid w:val="0007505A"/>
    <w:rsid w:val="000755D8"/>
    <w:rsid w:val="00075AEB"/>
    <w:rsid w:val="00075B70"/>
    <w:rsid w:val="000769E4"/>
    <w:rsid w:val="0008041C"/>
    <w:rsid w:val="00080685"/>
    <w:rsid w:val="00082CD0"/>
    <w:rsid w:val="00084610"/>
    <w:rsid w:val="00085793"/>
    <w:rsid w:val="00085941"/>
    <w:rsid w:val="00091DC2"/>
    <w:rsid w:val="000923BC"/>
    <w:rsid w:val="0009429E"/>
    <w:rsid w:val="00096030"/>
    <w:rsid w:val="000A14E8"/>
    <w:rsid w:val="000A294C"/>
    <w:rsid w:val="000A55A3"/>
    <w:rsid w:val="000A5993"/>
    <w:rsid w:val="000A758F"/>
    <w:rsid w:val="000A7F45"/>
    <w:rsid w:val="000B227D"/>
    <w:rsid w:val="000B7B40"/>
    <w:rsid w:val="000C2B2A"/>
    <w:rsid w:val="000C38FE"/>
    <w:rsid w:val="000C3A01"/>
    <w:rsid w:val="000C4865"/>
    <w:rsid w:val="000C6413"/>
    <w:rsid w:val="000C7FB7"/>
    <w:rsid w:val="000D391F"/>
    <w:rsid w:val="000D7105"/>
    <w:rsid w:val="000E4091"/>
    <w:rsid w:val="000E4550"/>
    <w:rsid w:val="000E72CD"/>
    <w:rsid w:val="000F1B1C"/>
    <w:rsid w:val="000F1C5E"/>
    <w:rsid w:val="000F664A"/>
    <w:rsid w:val="000F6B63"/>
    <w:rsid w:val="00105C42"/>
    <w:rsid w:val="00106469"/>
    <w:rsid w:val="00112615"/>
    <w:rsid w:val="00113CBB"/>
    <w:rsid w:val="00115A19"/>
    <w:rsid w:val="00115DCE"/>
    <w:rsid w:val="00123CAC"/>
    <w:rsid w:val="00124E7A"/>
    <w:rsid w:val="0012742E"/>
    <w:rsid w:val="00131CD2"/>
    <w:rsid w:val="00131ED5"/>
    <w:rsid w:val="00132D87"/>
    <w:rsid w:val="001339A9"/>
    <w:rsid w:val="00136CB0"/>
    <w:rsid w:val="001412D4"/>
    <w:rsid w:val="00142781"/>
    <w:rsid w:val="0014565D"/>
    <w:rsid w:val="00146201"/>
    <w:rsid w:val="001501C5"/>
    <w:rsid w:val="00150B58"/>
    <w:rsid w:val="00150E7E"/>
    <w:rsid w:val="00151282"/>
    <w:rsid w:val="001564E7"/>
    <w:rsid w:val="001572E0"/>
    <w:rsid w:val="00163D6C"/>
    <w:rsid w:val="0017054C"/>
    <w:rsid w:val="00170A78"/>
    <w:rsid w:val="00175705"/>
    <w:rsid w:val="001764E5"/>
    <w:rsid w:val="00180861"/>
    <w:rsid w:val="00180C2B"/>
    <w:rsid w:val="0018141C"/>
    <w:rsid w:val="00181DFB"/>
    <w:rsid w:val="0018449A"/>
    <w:rsid w:val="0018550C"/>
    <w:rsid w:val="00186B91"/>
    <w:rsid w:val="00191DDA"/>
    <w:rsid w:val="001920AE"/>
    <w:rsid w:val="00195E21"/>
    <w:rsid w:val="00197137"/>
    <w:rsid w:val="001A076F"/>
    <w:rsid w:val="001A123E"/>
    <w:rsid w:val="001A1FD1"/>
    <w:rsid w:val="001A6E0C"/>
    <w:rsid w:val="001A6F05"/>
    <w:rsid w:val="001B13F4"/>
    <w:rsid w:val="001B3447"/>
    <w:rsid w:val="001B57E5"/>
    <w:rsid w:val="001B6A6E"/>
    <w:rsid w:val="001C082C"/>
    <w:rsid w:val="001C0FB7"/>
    <w:rsid w:val="001C11E9"/>
    <w:rsid w:val="001C7319"/>
    <w:rsid w:val="001D331E"/>
    <w:rsid w:val="001D3B33"/>
    <w:rsid w:val="001D4D18"/>
    <w:rsid w:val="001D5E85"/>
    <w:rsid w:val="001D65B1"/>
    <w:rsid w:val="001E1E49"/>
    <w:rsid w:val="001F079E"/>
    <w:rsid w:val="001F0BA0"/>
    <w:rsid w:val="001F3791"/>
    <w:rsid w:val="001F54B4"/>
    <w:rsid w:val="001F7DB7"/>
    <w:rsid w:val="00202548"/>
    <w:rsid w:val="002040B1"/>
    <w:rsid w:val="00204817"/>
    <w:rsid w:val="00204C09"/>
    <w:rsid w:val="00205F85"/>
    <w:rsid w:val="00206440"/>
    <w:rsid w:val="0020703C"/>
    <w:rsid w:val="002102C3"/>
    <w:rsid w:val="00212D3C"/>
    <w:rsid w:val="00222E41"/>
    <w:rsid w:val="00223E70"/>
    <w:rsid w:val="002240A3"/>
    <w:rsid w:val="00224AC0"/>
    <w:rsid w:val="002329BD"/>
    <w:rsid w:val="00233922"/>
    <w:rsid w:val="002362DC"/>
    <w:rsid w:val="00246E8D"/>
    <w:rsid w:val="00246FC3"/>
    <w:rsid w:val="002476EE"/>
    <w:rsid w:val="00247BEA"/>
    <w:rsid w:val="002507B0"/>
    <w:rsid w:val="00251356"/>
    <w:rsid w:val="002546F2"/>
    <w:rsid w:val="00254BD0"/>
    <w:rsid w:val="002558C7"/>
    <w:rsid w:val="00256348"/>
    <w:rsid w:val="00264458"/>
    <w:rsid w:val="002667CE"/>
    <w:rsid w:val="00266E31"/>
    <w:rsid w:val="00266F07"/>
    <w:rsid w:val="002701A2"/>
    <w:rsid w:val="00271A49"/>
    <w:rsid w:val="002738BD"/>
    <w:rsid w:val="0027392B"/>
    <w:rsid w:val="002741C0"/>
    <w:rsid w:val="00281EB5"/>
    <w:rsid w:val="0028309C"/>
    <w:rsid w:val="002842EE"/>
    <w:rsid w:val="002905A1"/>
    <w:rsid w:val="00290896"/>
    <w:rsid w:val="00294F14"/>
    <w:rsid w:val="002955D4"/>
    <w:rsid w:val="0029640B"/>
    <w:rsid w:val="00297350"/>
    <w:rsid w:val="002977E3"/>
    <w:rsid w:val="002978F0"/>
    <w:rsid w:val="002A46B5"/>
    <w:rsid w:val="002A4FF1"/>
    <w:rsid w:val="002A5796"/>
    <w:rsid w:val="002A7291"/>
    <w:rsid w:val="002A7432"/>
    <w:rsid w:val="002B03F2"/>
    <w:rsid w:val="002B2E75"/>
    <w:rsid w:val="002B72CF"/>
    <w:rsid w:val="002B76F3"/>
    <w:rsid w:val="002B7AE4"/>
    <w:rsid w:val="002C0B1E"/>
    <w:rsid w:val="002C1284"/>
    <w:rsid w:val="002C41CC"/>
    <w:rsid w:val="002C7A15"/>
    <w:rsid w:val="002D32A9"/>
    <w:rsid w:val="002D6145"/>
    <w:rsid w:val="002E325E"/>
    <w:rsid w:val="002E4BC3"/>
    <w:rsid w:val="002E7805"/>
    <w:rsid w:val="002F24E4"/>
    <w:rsid w:val="002F4594"/>
    <w:rsid w:val="002F6401"/>
    <w:rsid w:val="002F665C"/>
    <w:rsid w:val="002F7346"/>
    <w:rsid w:val="00300B0F"/>
    <w:rsid w:val="00302E77"/>
    <w:rsid w:val="00306C7D"/>
    <w:rsid w:val="00307EED"/>
    <w:rsid w:val="003132CA"/>
    <w:rsid w:val="003134CC"/>
    <w:rsid w:val="00313B9F"/>
    <w:rsid w:val="00315CAD"/>
    <w:rsid w:val="003216F2"/>
    <w:rsid w:val="00322BA8"/>
    <w:rsid w:val="00324C96"/>
    <w:rsid w:val="00330138"/>
    <w:rsid w:val="00330954"/>
    <w:rsid w:val="00337B82"/>
    <w:rsid w:val="00340F42"/>
    <w:rsid w:val="003424B5"/>
    <w:rsid w:val="00345278"/>
    <w:rsid w:val="00345463"/>
    <w:rsid w:val="00353006"/>
    <w:rsid w:val="00357089"/>
    <w:rsid w:val="00360B00"/>
    <w:rsid w:val="00363386"/>
    <w:rsid w:val="00366C8B"/>
    <w:rsid w:val="0036702E"/>
    <w:rsid w:val="00374CF4"/>
    <w:rsid w:val="00375BAD"/>
    <w:rsid w:val="00377535"/>
    <w:rsid w:val="0038099B"/>
    <w:rsid w:val="00384744"/>
    <w:rsid w:val="003920E7"/>
    <w:rsid w:val="00394B73"/>
    <w:rsid w:val="00394CFB"/>
    <w:rsid w:val="0039715E"/>
    <w:rsid w:val="00397A2E"/>
    <w:rsid w:val="003A17B5"/>
    <w:rsid w:val="003A2D1D"/>
    <w:rsid w:val="003A5CA2"/>
    <w:rsid w:val="003B1B28"/>
    <w:rsid w:val="003C1AB4"/>
    <w:rsid w:val="003C3250"/>
    <w:rsid w:val="003C619E"/>
    <w:rsid w:val="003C75DE"/>
    <w:rsid w:val="003D2159"/>
    <w:rsid w:val="003D334A"/>
    <w:rsid w:val="003D55DB"/>
    <w:rsid w:val="003D6F89"/>
    <w:rsid w:val="003D7D65"/>
    <w:rsid w:val="003D7EC7"/>
    <w:rsid w:val="003E49BD"/>
    <w:rsid w:val="003E7A06"/>
    <w:rsid w:val="003F0685"/>
    <w:rsid w:val="003F2619"/>
    <w:rsid w:val="003F4022"/>
    <w:rsid w:val="003F57C8"/>
    <w:rsid w:val="003F63A4"/>
    <w:rsid w:val="003F6FDD"/>
    <w:rsid w:val="003F7B5D"/>
    <w:rsid w:val="00400B6D"/>
    <w:rsid w:val="00401525"/>
    <w:rsid w:val="004019E7"/>
    <w:rsid w:val="00401B9D"/>
    <w:rsid w:val="0040263B"/>
    <w:rsid w:val="0040517D"/>
    <w:rsid w:val="004068AD"/>
    <w:rsid w:val="00406B4F"/>
    <w:rsid w:val="004113FD"/>
    <w:rsid w:val="00412CA0"/>
    <w:rsid w:val="004169D3"/>
    <w:rsid w:val="004173FF"/>
    <w:rsid w:val="00421987"/>
    <w:rsid w:val="00424A60"/>
    <w:rsid w:val="00425D36"/>
    <w:rsid w:val="00426E29"/>
    <w:rsid w:val="004358EA"/>
    <w:rsid w:val="00440D26"/>
    <w:rsid w:val="0044306F"/>
    <w:rsid w:val="00447448"/>
    <w:rsid w:val="00453B94"/>
    <w:rsid w:val="00454B93"/>
    <w:rsid w:val="00455407"/>
    <w:rsid w:val="004576AF"/>
    <w:rsid w:val="00457E40"/>
    <w:rsid w:val="00461B1C"/>
    <w:rsid w:val="00462BF0"/>
    <w:rsid w:val="004632BF"/>
    <w:rsid w:val="00463E97"/>
    <w:rsid w:val="00465B39"/>
    <w:rsid w:val="00466131"/>
    <w:rsid w:val="0046681D"/>
    <w:rsid w:val="00467FC1"/>
    <w:rsid w:val="0047045D"/>
    <w:rsid w:val="00476D13"/>
    <w:rsid w:val="00480433"/>
    <w:rsid w:val="00482742"/>
    <w:rsid w:val="00482980"/>
    <w:rsid w:val="00485BE7"/>
    <w:rsid w:val="00486F58"/>
    <w:rsid w:val="00492324"/>
    <w:rsid w:val="00494080"/>
    <w:rsid w:val="004943C2"/>
    <w:rsid w:val="00497F48"/>
    <w:rsid w:val="004A54B4"/>
    <w:rsid w:val="004A6E0D"/>
    <w:rsid w:val="004B07B1"/>
    <w:rsid w:val="004B3C1B"/>
    <w:rsid w:val="004C0EA9"/>
    <w:rsid w:val="004C10D5"/>
    <w:rsid w:val="004C2789"/>
    <w:rsid w:val="004C28ED"/>
    <w:rsid w:val="004C2FAB"/>
    <w:rsid w:val="004C46D2"/>
    <w:rsid w:val="004C6E98"/>
    <w:rsid w:val="004C7455"/>
    <w:rsid w:val="004C773F"/>
    <w:rsid w:val="004D4071"/>
    <w:rsid w:val="004D7021"/>
    <w:rsid w:val="004D787A"/>
    <w:rsid w:val="004E0E54"/>
    <w:rsid w:val="004E37C7"/>
    <w:rsid w:val="004E571D"/>
    <w:rsid w:val="004F3181"/>
    <w:rsid w:val="0050056D"/>
    <w:rsid w:val="005013CA"/>
    <w:rsid w:val="005024FB"/>
    <w:rsid w:val="0051251D"/>
    <w:rsid w:val="0051294A"/>
    <w:rsid w:val="00517A7A"/>
    <w:rsid w:val="00521EA0"/>
    <w:rsid w:val="00524073"/>
    <w:rsid w:val="00525836"/>
    <w:rsid w:val="00525A7B"/>
    <w:rsid w:val="00531F15"/>
    <w:rsid w:val="00532F7B"/>
    <w:rsid w:val="00536923"/>
    <w:rsid w:val="0054360D"/>
    <w:rsid w:val="0054381D"/>
    <w:rsid w:val="00543884"/>
    <w:rsid w:val="005440C4"/>
    <w:rsid w:val="00546689"/>
    <w:rsid w:val="005548CA"/>
    <w:rsid w:val="00565146"/>
    <w:rsid w:val="0056543A"/>
    <w:rsid w:val="00572215"/>
    <w:rsid w:val="00572B83"/>
    <w:rsid w:val="00573A9E"/>
    <w:rsid w:val="00575D93"/>
    <w:rsid w:val="00576DC5"/>
    <w:rsid w:val="00580682"/>
    <w:rsid w:val="00586763"/>
    <w:rsid w:val="00590F37"/>
    <w:rsid w:val="0059149E"/>
    <w:rsid w:val="005950F8"/>
    <w:rsid w:val="005975C7"/>
    <w:rsid w:val="005A0B0B"/>
    <w:rsid w:val="005A7585"/>
    <w:rsid w:val="005B19DF"/>
    <w:rsid w:val="005B1D7C"/>
    <w:rsid w:val="005B235A"/>
    <w:rsid w:val="005B42C3"/>
    <w:rsid w:val="005B651D"/>
    <w:rsid w:val="005B773F"/>
    <w:rsid w:val="005C53EB"/>
    <w:rsid w:val="005C5841"/>
    <w:rsid w:val="005C5C21"/>
    <w:rsid w:val="005D1DD6"/>
    <w:rsid w:val="005D43C0"/>
    <w:rsid w:val="005D4C79"/>
    <w:rsid w:val="005D4EC4"/>
    <w:rsid w:val="005E2C6C"/>
    <w:rsid w:val="005E396B"/>
    <w:rsid w:val="005E4D2C"/>
    <w:rsid w:val="005F3482"/>
    <w:rsid w:val="005F3646"/>
    <w:rsid w:val="005F4162"/>
    <w:rsid w:val="005F7836"/>
    <w:rsid w:val="00602B4C"/>
    <w:rsid w:val="006049F8"/>
    <w:rsid w:val="006068FF"/>
    <w:rsid w:val="00610246"/>
    <w:rsid w:val="00614C45"/>
    <w:rsid w:val="0062000F"/>
    <w:rsid w:val="0062053D"/>
    <w:rsid w:val="00622BEC"/>
    <w:rsid w:val="00623D5A"/>
    <w:rsid w:val="00631D9F"/>
    <w:rsid w:val="00634DAD"/>
    <w:rsid w:val="006407DB"/>
    <w:rsid w:val="00643E5B"/>
    <w:rsid w:val="00651FC4"/>
    <w:rsid w:val="00652B41"/>
    <w:rsid w:val="006555D7"/>
    <w:rsid w:val="00655718"/>
    <w:rsid w:val="006558C5"/>
    <w:rsid w:val="00660D2D"/>
    <w:rsid w:val="006633D7"/>
    <w:rsid w:val="00666CD5"/>
    <w:rsid w:val="00670EC7"/>
    <w:rsid w:val="00671843"/>
    <w:rsid w:val="00674FE6"/>
    <w:rsid w:val="0068079D"/>
    <w:rsid w:val="00681290"/>
    <w:rsid w:val="00681D22"/>
    <w:rsid w:val="00681E5E"/>
    <w:rsid w:val="006838A9"/>
    <w:rsid w:val="00683F68"/>
    <w:rsid w:val="0068754D"/>
    <w:rsid w:val="00694D1A"/>
    <w:rsid w:val="006962CC"/>
    <w:rsid w:val="00697615"/>
    <w:rsid w:val="006A0F7C"/>
    <w:rsid w:val="006B0CEE"/>
    <w:rsid w:val="006B4E13"/>
    <w:rsid w:val="006B6677"/>
    <w:rsid w:val="006B7481"/>
    <w:rsid w:val="006B7FD8"/>
    <w:rsid w:val="006C12B5"/>
    <w:rsid w:val="006C1598"/>
    <w:rsid w:val="006C1AC8"/>
    <w:rsid w:val="006C2BCB"/>
    <w:rsid w:val="006C3C26"/>
    <w:rsid w:val="006D0C21"/>
    <w:rsid w:val="006D3412"/>
    <w:rsid w:val="006D710F"/>
    <w:rsid w:val="006D742A"/>
    <w:rsid w:val="006F1E08"/>
    <w:rsid w:val="006F50F2"/>
    <w:rsid w:val="00704C67"/>
    <w:rsid w:val="0070502C"/>
    <w:rsid w:val="0070743D"/>
    <w:rsid w:val="007079C1"/>
    <w:rsid w:val="0071136F"/>
    <w:rsid w:val="007124C4"/>
    <w:rsid w:val="00712537"/>
    <w:rsid w:val="00714F37"/>
    <w:rsid w:val="00715747"/>
    <w:rsid w:val="007157B1"/>
    <w:rsid w:val="00715E94"/>
    <w:rsid w:val="0071668C"/>
    <w:rsid w:val="00716FDD"/>
    <w:rsid w:val="0072637E"/>
    <w:rsid w:val="0072748F"/>
    <w:rsid w:val="0073586D"/>
    <w:rsid w:val="00740AFE"/>
    <w:rsid w:val="007433F5"/>
    <w:rsid w:val="00743461"/>
    <w:rsid w:val="00747BAA"/>
    <w:rsid w:val="007552A2"/>
    <w:rsid w:val="00757C0F"/>
    <w:rsid w:val="00763604"/>
    <w:rsid w:val="0076480C"/>
    <w:rsid w:val="00764D76"/>
    <w:rsid w:val="00767AEB"/>
    <w:rsid w:val="00770199"/>
    <w:rsid w:val="00775627"/>
    <w:rsid w:val="00776F8B"/>
    <w:rsid w:val="00780CF9"/>
    <w:rsid w:val="007811F8"/>
    <w:rsid w:val="007816EB"/>
    <w:rsid w:val="0079635E"/>
    <w:rsid w:val="007A1018"/>
    <w:rsid w:val="007A4117"/>
    <w:rsid w:val="007A4E92"/>
    <w:rsid w:val="007B19C0"/>
    <w:rsid w:val="007B50E9"/>
    <w:rsid w:val="007C15FF"/>
    <w:rsid w:val="007C34E7"/>
    <w:rsid w:val="007C3558"/>
    <w:rsid w:val="007C3CD9"/>
    <w:rsid w:val="007C40F2"/>
    <w:rsid w:val="007C4630"/>
    <w:rsid w:val="007C7996"/>
    <w:rsid w:val="007D441C"/>
    <w:rsid w:val="007D5258"/>
    <w:rsid w:val="007D6E92"/>
    <w:rsid w:val="007E0684"/>
    <w:rsid w:val="007E087F"/>
    <w:rsid w:val="007E3D8B"/>
    <w:rsid w:val="007E5117"/>
    <w:rsid w:val="007E5C83"/>
    <w:rsid w:val="007E7B36"/>
    <w:rsid w:val="007F0379"/>
    <w:rsid w:val="007F1648"/>
    <w:rsid w:val="007F265A"/>
    <w:rsid w:val="007F2BF6"/>
    <w:rsid w:val="007F5006"/>
    <w:rsid w:val="008053B0"/>
    <w:rsid w:val="00805BF5"/>
    <w:rsid w:val="00810738"/>
    <w:rsid w:val="00812CDD"/>
    <w:rsid w:val="0082347C"/>
    <w:rsid w:val="00824049"/>
    <w:rsid w:val="0082671E"/>
    <w:rsid w:val="00830390"/>
    <w:rsid w:val="00831D0C"/>
    <w:rsid w:val="00836ECF"/>
    <w:rsid w:val="008402CF"/>
    <w:rsid w:val="008417B4"/>
    <w:rsid w:val="00843862"/>
    <w:rsid w:val="008439CA"/>
    <w:rsid w:val="0084517F"/>
    <w:rsid w:val="00847781"/>
    <w:rsid w:val="008554E1"/>
    <w:rsid w:val="008576CA"/>
    <w:rsid w:val="00857E56"/>
    <w:rsid w:val="008625FA"/>
    <w:rsid w:val="008626A4"/>
    <w:rsid w:val="00864033"/>
    <w:rsid w:val="008644D7"/>
    <w:rsid w:val="0086788D"/>
    <w:rsid w:val="00867974"/>
    <w:rsid w:val="008725EA"/>
    <w:rsid w:val="008764A5"/>
    <w:rsid w:val="00876D85"/>
    <w:rsid w:val="0088112C"/>
    <w:rsid w:val="0088315D"/>
    <w:rsid w:val="0089458B"/>
    <w:rsid w:val="00894D80"/>
    <w:rsid w:val="008A0025"/>
    <w:rsid w:val="008A3ABB"/>
    <w:rsid w:val="008A3CD4"/>
    <w:rsid w:val="008A499B"/>
    <w:rsid w:val="008A7BBA"/>
    <w:rsid w:val="008B26BE"/>
    <w:rsid w:val="008B3FA8"/>
    <w:rsid w:val="008B6D6A"/>
    <w:rsid w:val="008B6EBB"/>
    <w:rsid w:val="008B7961"/>
    <w:rsid w:val="008C47DE"/>
    <w:rsid w:val="008C74A6"/>
    <w:rsid w:val="008C7B5D"/>
    <w:rsid w:val="008D6E2D"/>
    <w:rsid w:val="008E11D8"/>
    <w:rsid w:val="008E37DD"/>
    <w:rsid w:val="008E42B0"/>
    <w:rsid w:val="008E78DE"/>
    <w:rsid w:val="008F0929"/>
    <w:rsid w:val="008F3B11"/>
    <w:rsid w:val="008F4E43"/>
    <w:rsid w:val="008F70FB"/>
    <w:rsid w:val="009006E7"/>
    <w:rsid w:val="0090082B"/>
    <w:rsid w:val="00900C76"/>
    <w:rsid w:val="00904B6B"/>
    <w:rsid w:val="0090677E"/>
    <w:rsid w:val="00906CB4"/>
    <w:rsid w:val="00907263"/>
    <w:rsid w:val="0091501A"/>
    <w:rsid w:val="009156B0"/>
    <w:rsid w:val="009254A8"/>
    <w:rsid w:val="00930D3F"/>
    <w:rsid w:val="009369B6"/>
    <w:rsid w:val="00937A48"/>
    <w:rsid w:val="009400A7"/>
    <w:rsid w:val="00941158"/>
    <w:rsid w:val="00942AF3"/>
    <w:rsid w:val="00942C17"/>
    <w:rsid w:val="009448C5"/>
    <w:rsid w:val="00946110"/>
    <w:rsid w:val="009469D0"/>
    <w:rsid w:val="00947050"/>
    <w:rsid w:val="00947929"/>
    <w:rsid w:val="00950578"/>
    <w:rsid w:val="0095109B"/>
    <w:rsid w:val="00954DB7"/>
    <w:rsid w:val="00961E0D"/>
    <w:rsid w:val="00962D49"/>
    <w:rsid w:val="00966E52"/>
    <w:rsid w:val="00967134"/>
    <w:rsid w:val="00967C90"/>
    <w:rsid w:val="00970983"/>
    <w:rsid w:val="009710F7"/>
    <w:rsid w:val="00973120"/>
    <w:rsid w:val="00973762"/>
    <w:rsid w:val="00973DB4"/>
    <w:rsid w:val="00986DFC"/>
    <w:rsid w:val="00990545"/>
    <w:rsid w:val="009915A8"/>
    <w:rsid w:val="00993384"/>
    <w:rsid w:val="00994C10"/>
    <w:rsid w:val="009A2701"/>
    <w:rsid w:val="009A2FCB"/>
    <w:rsid w:val="009A52B5"/>
    <w:rsid w:val="009A5A14"/>
    <w:rsid w:val="009B05F1"/>
    <w:rsid w:val="009B1601"/>
    <w:rsid w:val="009B7EAA"/>
    <w:rsid w:val="009B7F9A"/>
    <w:rsid w:val="009C2E3E"/>
    <w:rsid w:val="009C59E3"/>
    <w:rsid w:val="009C5B87"/>
    <w:rsid w:val="009C65EC"/>
    <w:rsid w:val="009C7191"/>
    <w:rsid w:val="009C73DE"/>
    <w:rsid w:val="009C7DE1"/>
    <w:rsid w:val="009D15A6"/>
    <w:rsid w:val="009E1128"/>
    <w:rsid w:val="009E30DA"/>
    <w:rsid w:val="009E52C7"/>
    <w:rsid w:val="009E5CF1"/>
    <w:rsid w:val="009E5E72"/>
    <w:rsid w:val="009E6C99"/>
    <w:rsid w:val="009E786D"/>
    <w:rsid w:val="009F2DF1"/>
    <w:rsid w:val="009F4690"/>
    <w:rsid w:val="009F5CE6"/>
    <w:rsid w:val="00A029F6"/>
    <w:rsid w:val="00A02E22"/>
    <w:rsid w:val="00A04C88"/>
    <w:rsid w:val="00A05797"/>
    <w:rsid w:val="00A06DA7"/>
    <w:rsid w:val="00A13DDF"/>
    <w:rsid w:val="00A13FCD"/>
    <w:rsid w:val="00A160E7"/>
    <w:rsid w:val="00A21089"/>
    <w:rsid w:val="00A212D4"/>
    <w:rsid w:val="00A22A59"/>
    <w:rsid w:val="00A22CAB"/>
    <w:rsid w:val="00A232A1"/>
    <w:rsid w:val="00A248C1"/>
    <w:rsid w:val="00A25E96"/>
    <w:rsid w:val="00A30662"/>
    <w:rsid w:val="00A3077D"/>
    <w:rsid w:val="00A312C7"/>
    <w:rsid w:val="00A37014"/>
    <w:rsid w:val="00A4011B"/>
    <w:rsid w:val="00A43492"/>
    <w:rsid w:val="00A47371"/>
    <w:rsid w:val="00A52CA7"/>
    <w:rsid w:val="00A536E3"/>
    <w:rsid w:val="00A54A65"/>
    <w:rsid w:val="00A55153"/>
    <w:rsid w:val="00A6037A"/>
    <w:rsid w:val="00A64A2C"/>
    <w:rsid w:val="00A670B8"/>
    <w:rsid w:val="00A73167"/>
    <w:rsid w:val="00A7450A"/>
    <w:rsid w:val="00A751B3"/>
    <w:rsid w:val="00A8290E"/>
    <w:rsid w:val="00A83C56"/>
    <w:rsid w:val="00A8540F"/>
    <w:rsid w:val="00A86C9D"/>
    <w:rsid w:val="00A92354"/>
    <w:rsid w:val="00A93E6B"/>
    <w:rsid w:val="00A95BB0"/>
    <w:rsid w:val="00A96741"/>
    <w:rsid w:val="00AA07B5"/>
    <w:rsid w:val="00AA1898"/>
    <w:rsid w:val="00AA41C9"/>
    <w:rsid w:val="00AA48E7"/>
    <w:rsid w:val="00AA67EF"/>
    <w:rsid w:val="00AB0B2C"/>
    <w:rsid w:val="00AC13D7"/>
    <w:rsid w:val="00AC213C"/>
    <w:rsid w:val="00AC3F1E"/>
    <w:rsid w:val="00AC599F"/>
    <w:rsid w:val="00AD02F5"/>
    <w:rsid w:val="00AD2D9A"/>
    <w:rsid w:val="00AD3F8C"/>
    <w:rsid w:val="00AD73A8"/>
    <w:rsid w:val="00AD7DD4"/>
    <w:rsid w:val="00AE1431"/>
    <w:rsid w:val="00AE2DCC"/>
    <w:rsid w:val="00AE35F3"/>
    <w:rsid w:val="00AE37D1"/>
    <w:rsid w:val="00AE6790"/>
    <w:rsid w:val="00AE6A6F"/>
    <w:rsid w:val="00AF1000"/>
    <w:rsid w:val="00AF719E"/>
    <w:rsid w:val="00AF7AA7"/>
    <w:rsid w:val="00B01EFC"/>
    <w:rsid w:val="00B04968"/>
    <w:rsid w:val="00B0501C"/>
    <w:rsid w:val="00B10775"/>
    <w:rsid w:val="00B10CC2"/>
    <w:rsid w:val="00B10DBC"/>
    <w:rsid w:val="00B1123F"/>
    <w:rsid w:val="00B13336"/>
    <w:rsid w:val="00B13B48"/>
    <w:rsid w:val="00B16727"/>
    <w:rsid w:val="00B17A56"/>
    <w:rsid w:val="00B220C7"/>
    <w:rsid w:val="00B22212"/>
    <w:rsid w:val="00B24AC0"/>
    <w:rsid w:val="00B32746"/>
    <w:rsid w:val="00B3424F"/>
    <w:rsid w:val="00B35FE4"/>
    <w:rsid w:val="00B36EAD"/>
    <w:rsid w:val="00B36EE7"/>
    <w:rsid w:val="00B424A8"/>
    <w:rsid w:val="00B453C7"/>
    <w:rsid w:val="00B475B6"/>
    <w:rsid w:val="00B50838"/>
    <w:rsid w:val="00B51558"/>
    <w:rsid w:val="00B5340B"/>
    <w:rsid w:val="00B5725C"/>
    <w:rsid w:val="00B61F66"/>
    <w:rsid w:val="00B831FF"/>
    <w:rsid w:val="00B8533C"/>
    <w:rsid w:val="00B85684"/>
    <w:rsid w:val="00B91254"/>
    <w:rsid w:val="00B91660"/>
    <w:rsid w:val="00B92A03"/>
    <w:rsid w:val="00B933C7"/>
    <w:rsid w:val="00B95136"/>
    <w:rsid w:val="00B958BA"/>
    <w:rsid w:val="00B97A90"/>
    <w:rsid w:val="00BA27B1"/>
    <w:rsid w:val="00BA2B2B"/>
    <w:rsid w:val="00BA3D3E"/>
    <w:rsid w:val="00BA486C"/>
    <w:rsid w:val="00BB0D36"/>
    <w:rsid w:val="00BB1081"/>
    <w:rsid w:val="00BB3F5F"/>
    <w:rsid w:val="00BB4706"/>
    <w:rsid w:val="00BB7B8E"/>
    <w:rsid w:val="00BC15BA"/>
    <w:rsid w:val="00BC2488"/>
    <w:rsid w:val="00BC4F85"/>
    <w:rsid w:val="00BC54FA"/>
    <w:rsid w:val="00BC74CC"/>
    <w:rsid w:val="00BC7EC5"/>
    <w:rsid w:val="00BD2A1D"/>
    <w:rsid w:val="00BD2BA5"/>
    <w:rsid w:val="00BD3AC9"/>
    <w:rsid w:val="00BD4D2D"/>
    <w:rsid w:val="00BD5A46"/>
    <w:rsid w:val="00BE0230"/>
    <w:rsid w:val="00BE4793"/>
    <w:rsid w:val="00BE48CB"/>
    <w:rsid w:val="00BE4FFF"/>
    <w:rsid w:val="00BE5AB4"/>
    <w:rsid w:val="00BE78E3"/>
    <w:rsid w:val="00BF2C43"/>
    <w:rsid w:val="00BF6244"/>
    <w:rsid w:val="00BF6EDB"/>
    <w:rsid w:val="00C00073"/>
    <w:rsid w:val="00C002B6"/>
    <w:rsid w:val="00C03A30"/>
    <w:rsid w:val="00C12330"/>
    <w:rsid w:val="00C13998"/>
    <w:rsid w:val="00C158D0"/>
    <w:rsid w:val="00C202C6"/>
    <w:rsid w:val="00C2255F"/>
    <w:rsid w:val="00C24E22"/>
    <w:rsid w:val="00C30921"/>
    <w:rsid w:val="00C30B11"/>
    <w:rsid w:val="00C3179D"/>
    <w:rsid w:val="00C355C1"/>
    <w:rsid w:val="00C36265"/>
    <w:rsid w:val="00C373EA"/>
    <w:rsid w:val="00C3790A"/>
    <w:rsid w:val="00C408DF"/>
    <w:rsid w:val="00C45D42"/>
    <w:rsid w:val="00C45F23"/>
    <w:rsid w:val="00C50F33"/>
    <w:rsid w:val="00C5295F"/>
    <w:rsid w:val="00C604B6"/>
    <w:rsid w:val="00C64005"/>
    <w:rsid w:val="00C6517C"/>
    <w:rsid w:val="00C66D57"/>
    <w:rsid w:val="00C7387F"/>
    <w:rsid w:val="00C73DA3"/>
    <w:rsid w:val="00C7638F"/>
    <w:rsid w:val="00C7752A"/>
    <w:rsid w:val="00C77C28"/>
    <w:rsid w:val="00C8131F"/>
    <w:rsid w:val="00C834AD"/>
    <w:rsid w:val="00C83611"/>
    <w:rsid w:val="00C84BE9"/>
    <w:rsid w:val="00C858E5"/>
    <w:rsid w:val="00C963E6"/>
    <w:rsid w:val="00CA037E"/>
    <w:rsid w:val="00CA0ED2"/>
    <w:rsid w:val="00CA71D2"/>
    <w:rsid w:val="00CB780F"/>
    <w:rsid w:val="00CC3783"/>
    <w:rsid w:val="00CC3A02"/>
    <w:rsid w:val="00CC57C1"/>
    <w:rsid w:val="00CC5D25"/>
    <w:rsid w:val="00CD0AF7"/>
    <w:rsid w:val="00CD0C87"/>
    <w:rsid w:val="00CD1793"/>
    <w:rsid w:val="00CD3B27"/>
    <w:rsid w:val="00CD3CA1"/>
    <w:rsid w:val="00CD7078"/>
    <w:rsid w:val="00CE0E61"/>
    <w:rsid w:val="00CE4CC1"/>
    <w:rsid w:val="00CE629D"/>
    <w:rsid w:val="00CF1DBA"/>
    <w:rsid w:val="00D00725"/>
    <w:rsid w:val="00D00B9E"/>
    <w:rsid w:val="00D01BCC"/>
    <w:rsid w:val="00D03D25"/>
    <w:rsid w:val="00D07AD3"/>
    <w:rsid w:val="00D13E55"/>
    <w:rsid w:val="00D14B81"/>
    <w:rsid w:val="00D14D89"/>
    <w:rsid w:val="00D2188F"/>
    <w:rsid w:val="00D234CA"/>
    <w:rsid w:val="00D2495E"/>
    <w:rsid w:val="00D32118"/>
    <w:rsid w:val="00D341CE"/>
    <w:rsid w:val="00D35D0C"/>
    <w:rsid w:val="00D36E0C"/>
    <w:rsid w:val="00D3730E"/>
    <w:rsid w:val="00D37643"/>
    <w:rsid w:val="00D407BC"/>
    <w:rsid w:val="00D43F67"/>
    <w:rsid w:val="00D47A0C"/>
    <w:rsid w:val="00D505BB"/>
    <w:rsid w:val="00D51BD9"/>
    <w:rsid w:val="00D52133"/>
    <w:rsid w:val="00D54622"/>
    <w:rsid w:val="00D54AE3"/>
    <w:rsid w:val="00D54FDA"/>
    <w:rsid w:val="00D55617"/>
    <w:rsid w:val="00D55FF2"/>
    <w:rsid w:val="00D56239"/>
    <w:rsid w:val="00D57DDE"/>
    <w:rsid w:val="00D62C1A"/>
    <w:rsid w:val="00D6507B"/>
    <w:rsid w:val="00D72173"/>
    <w:rsid w:val="00D828FB"/>
    <w:rsid w:val="00D84695"/>
    <w:rsid w:val="00D848DC"/>
    <w:rsid w:val="00D85658"/>
    <w:rsid w:val="00D911D9"/>
    <w:rsid w:val="00D92A3D"/>
    <w:rsid w:val="00D9335F"/>
    <w:rsid w:val="00D94126"/>
    <w:rsid w:val="00D97050"/>
    <w:rsid w:val="00DA2CCE"/>
    <w:rsid w:val="00DA3DF1"/>
    <w:rsid w:val="00DA3DFE"/>
    <w:rsid w:val="00DA4C73"/>
    <w:rsid w:val="00DA5673"/>
    <w:rsid w:val="00DA5FDE"/>
    <w:rsid w:val="00DA6AF3"/>
    <w:rsid w:val="00DB40AA"/>
    <w:rsid w:val="00DC42FA"/>
    <w:rsid w:val="00DC682B"/>
    <w:rsid w:val="00DC6DC2"/>
    <w:rsid w:val="00DD0784"/>
    <w:rsid w:val="00DD55D2"/>
    <w:rsid w:val="00DD5A24"/>
    <w:rsid w:val="00DD5F5C"/>
    <w:rsid w:val="00DE0124"/>
    <w:rsid w:val="00DE26DA"/>
    <w:rsid w:val="00DE373D"/>
    <w:rsid w:val="00DE3F6E"/>
    <w:rsid w:val="00DE678D"/>
    <w:rsid w:val="00DE6A97"/>
    <w:rsid w:val="00DE7389"/>
    <w:rsid w:val="00DF11DD"/>
    <w:rsid w:val="00DF1253"/>
    <w:rsid w:val="00DF6905"/>
    <w:rsid w:val="00E045AB"/>
    <w:rsid w:val="00E12DD0"/>
    <w:rsid w:val="00E16FD2"/>
    <w:rsid w:val="00E21EEF"/>
    <w:rsid w:val="00E240D6"/>
    <w:rsid w:val="00E310B2"/>
    <w:rsid w:val="00E31FDD"/>
    <w:rsid w:val="00E3222C"/>
    <w:rsid w:val="00E34840"/>
    <w:rsid w:val="00E36F78"/>
    <w:rsid w:val="00E3763F"/>
    <w:rsid w:val="00E46948"/>
    <w:rsid w:val="00E469D7"/>
    <w:rsid w:val="00E51BA8"/>
    <w:rsid w:val="00E520BA"/>
    <w:rsid w:val="00E5320F"/>
    <w:rsid w:val="00E56806"/>
    <w:rsid w:val="00E619F7"/>
    <w:rsid w:val="00E6200C"/>
    <w:rsid w:val="00E62593"/>
    <w:rsid w:val="00E62E31"/>
    <w:rsid w:val="00E66242"/>
    <w:rsid w:val="00E811FB"/>
    <w:rsid w:val="00E85710"/>
    <w:rsid w:val="00E901CA"/>
    <w:rsid w:val="00E9049B"/>
    <w:rsid w:val="00E90AFD"/>
    <w:rsid w:val="00E90C6F"/>
    <w:rsid w:val="00E96184"/>
    <w:rsid w:val="00E97441"/>
    <w:rsid w:val="00EA0B60"/>
    <w:rsid w:val="00EA1DBE"/>
    <w:rsid w:val="00EA2869"/>
    <w:rsid w:val="00EA3AAC"/>
    <w:rsid w:val="00EA3E59"/>
    <w:rsid w:val="00EB0103"/>
    <w:rsid w:val="00EB1AC4"/>
    <w:rsid w:val="00EB347E"/>
    <w:rsid w:val="00EB676B"/>
    <w:rsid w:val="00EB732E"/>
    <w:rsid w:val="00EC04B2"/>
    <w:rsid w:val="00EC12DB"/>
    <w:rsid w:val="00EC298C"/>
    <w:rsid w:val="00EC6676"/>
    <w:rsid w:val="00ED2E04"/>
    <w:rsid w:val="00ED449C"/>
    <w:rsid w:val="00ED47B8"/>
    <w:rsid w:val="00EE544A"/>
    <w:rsid w:val="00EF1FD5"/>
    <w:rsid w:val="00EF37F1"/>
    <w:rsid w:val="00EF3D95"/>
    <w:rsid w:val="00EF6A82"/>
    <w:rsid w:val="00F00569"/>
    <w:rsid w:val="00F01E4A"/>
    <w:rsid w:val="00F0516F"/>
    <w:rsid w:val="00F0620D"/>
    <w:rsid w:val="00F072EE"/>
    <w:rsid w:val="00F102C9"/>
    <w:rsid w:val="00F111B0"/>
    <w:rsid w:val="00F118DE"/>
    <w:rsid w:val="00F11A63"/>
    <w:rsid w:val="00F1551B"/>
    <w:rsid w:val="00F168D2"/>
    <w:rsid w:val="00F17558"/>
    <w:rsid w:val="00F2026D"/>
    <w:rsid w:val="00F32510"/>
    <w:rsid w:val="00F33440"/>
    <w:rsid w:val="00F3410E"/>
    <w:rsid w:val="00F3486D"/>
    <w:rsid w:val="00F34878"/>
    <w:rsid w:val="00F36C76"/>
    <w:rsid w:val="00F40147"/>
    <w:rsid w:val="00F410E8"/>
    <w:rsid w:val="00F41C36"/>
    <w:rsid w:val="00F423EA"/>
    <w:rsid w:val="00F45AE7"/>
    <w:rsid w:val="00F46FD7"/>
    <w:rsid w:val="00F51676"/>
    <w:rsid w:val="00F521EA"/>
    <w:rsid w:val="00F54BD9"/>
    <w:rsid w:val="00F55204"/>
    <w:rsid w:val="00F56C09"/>
    <w:rsid w:val="00F611FB"/>
    <w:rsid w:val="00F62FD6"/>
    <w:rsid w:val="00F63322"/>
    <w:rsid w:val="00F7001C"/>
    <w:rsid w:val="00F71A47"/>
    <w:rsid w:val="00F73724"/>
    <w:rsid w:val="00F76BCB"/>
    <w:rsid w:val="00F8136A"/>
    <w:rsid w:val="00F81B13"/>
    <w:rsid w:val="00F821F0"/>
    <w:rsid w:val="00F83DE5"/>
    <w:rsid w:val="00F84389"/>
    <w:rsid w:val="00F9084E"/>
    <w:rsid w:val="00F91380"/>
    <w:rsid w:val="00F927BF"/>
    <w:rsid w:val="00F92DD8"/>
    <w:rsid w:val="00F934F2"/>
    <w:rsid w:val="00F94F27"/>
    <w:rsid w:val="00FA0D28"/>
    <w:rsid w:val="00FA22E8"/>
    <w:rsid w:val="00FA28CE"/>
    <w:rsid w:val="00FA3FB8"/>
    <w:rsid w:val="00FA5C30"/>
    <w:rsid w:val="00FA7596"/>
    <w:rsid w:val="00FB33A6"/>
    <w:rsid w:val="00FB643B"/>
    <w:rsid w:val="00FB6EC9"/>
    <w:rsid w:val="00FC1AEF"/>
    <w:rsid w:val="00FC2FC2"/>
    <w:rsid w:val="00FC38B3"/>
    <w:rsid w:val="00FC7270"/>
    <w:rsid w:val="00FD00EA"/>
    <w:rsid w:val="00FD0E0E"/>
    <w:rsid w:val="00FD3140"/>
    <w:rsid w:val="00FD7650"/>
    <w:rsid w:val="00FD78EA"/>
    <w:rsid w:val="00FE12F9"/>
    <w:rsid w:val="00FE304F"/>
    <w:rsid w:val="00FE42BA"/>
    <w:rsid w:val="00FE54D7"/>
    <w:rsid w:val="00FE6708"/>
    <w:rsid w:val="00FF0AD8"/>
    <w:rsid w:val="00FF3810"/>
    <w:rsid w:val="00FF3970"/>
    <w:rsid w:val="00FF3C2B"/>
    <w:rsid w:val="00FF765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rPr>
  </w:style>
  <w:style w:type="character" w:styleId="Sil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Zarkazkladnhotextu">
    <w:name w:val="Body Text Indent"/>
    <w:basedOn w:val="Normlny"/>
    <w:semiHidden/>
    <w:unhideWhenUsed/>
    <w:rsid w:val="00482980"/>
    <w:pPr>
      <w:spacing w:after="120"/>
      <w:ind w:left="283"/>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ra">
    <w:name w:val="ra"/>
    <w:basedOn w:val="Predvolenpsmoodseku"/>
    <w:rsid w:val="00482980"/>
  </w:style>
  <w:style w:type="paragraph" w:customStyle="1" w:styleId="Normlny1">
    <w:name w:val="Normálny1"/>
    <w:uiPriority w:val="99"/>
    <w:rsid w:val="00482980"/>
    <w:pPr>
      <w:widowControl w:val="0"/>
    </w:pPr>
    <w:rPr>
      <w:rFonts w:ascii="Times New Roman" w:hAnsi="Times New Roman" w:cs="Times New Roman"/>
      <w:noProof/>
    </w:rPr>
  </w:style>
  <w:style w:type="paragraph" w:customStyle="1" w:styleId="Tabulka">
    <w:name w:val="Tabulka"/>
    <w:basedOn w:val="Normlny"/>
    <w:rsid w:val="00482980"/>
    <w:rPr>
      <w:rFonts w:ascii="Times New Roman" w:hAnsi="Times New Roman" w:cs="Times New Roman"/>
      <w:color w:val="000000"/>
      <w:sz w:val="18"/>
      <w:szCs w:val="20"/>
      <w:lang w:eastAsia="sk-SK"/>
    </w:rPr>
  </w:style>
  <w:style w:type="paragraph" w:customStyle="1" w:styleId="Pismenka">
    <w:name w:val="Pismenka"/>
    <w:basedOn w:val="Nadpis2"/>
    <w:rsid w:val="00482980"/>
    <w:pPr>
      <w:tabs>
        <w:tab w:val="num" w:pos="426"/>
      </w:tabs>
      <w:spacing w:before="0" w:after="0"/>
      <w:ind w:left="426" w:hanging="426"/>
    </w:pPr>
    <w:rPr>
      <w:rFonts w:ascii="Times New Roman" w:hAnsi="Times New Roman" w:cs="Times New Roman"/>
      <w:bCs w:val="0"/>
      <w:i w:val="0"/>
      <w:iCs w:val="0"/>
      <w:sz w:val="18"/>
      <w:szCs w:val="20"/>
      <w:lang w:eastAsia="sk-SK"/>
    </w:rPr>
  </w:style>
  <w:style w:type="paragraph" w:styleId="Odsekzoznamu">
    <w:name w:val="List Paragraph"/>
    <w:basedOn w:val="Normlny"/>
    <w:uiPriority w:val="34"/>
    <w:qFormat/>
    <w:rsid w:val="00FB33A6"/>
    <w:pPr>
      <w:ind w:left="720"/>
      <w:contextualSpacing/>
    </w:pPr>
  </w:style>
  <w:style w:type="paragraph" w:customStyle="1" w:styleId="odstavec">
    <w:name w:val="odstavec"/>
    <w:basedOn w:val="Normlny"/>
    <w:link w:val="odstavecChar"/>
    <w:autoRedefine/>
    <w:rsid w:val="006B7FD8"/>
    <w:pPr>
      <w:suppressAutoHyphens/>
      <w:ind w:right="-79"/>
      <w:jc w:val="both"/>
    </w:pPr>
    <w:rPr>
      <w:rFonts w:asciiTheme="minorHAnsi" w:hAnsiTheme="minorHAnsi" w:cs="Arial"/>
      <w:bCs/>
      <w:iCs/>
      <w:sz w:val="20"/>
      <w:szCs w:val="20"/>
      <w:lang w:eastAsia="sk-SK"/>
    </w:rPr>
  </w:style>
  <w:style w:type="paragraph" w:customStyle="1" w:styleId="abc">
    <w:name w:val="abc"/>
    <w:basedOn w:val="Normlny"/>
    <w:autoRedefine/>
    <w:rsid w:val="006B7FD8"/>
    <w:pPr>
      <w:numPr>
        <w:numId w:val="15"/>
      </w:numPr>
      <w:suppressAutoHyphens/>
      <w:spacing w:before="60" w:after="120"/>
      <w:jc w:val="both"/>
    </w:pPr>
    <w:rPr>
      <w:rFonts w:asciiTheme="minorHAnsi" w:hAnsiTheme="minorHAnsi" w:cs="Arial"/>
      <w:b/>
      <w:sz w:val="20"/>
      <w:szCs w:val="20"/>
      <w:lang w:eastAsia="sk-SK"/>
    </w:rPr>
  </w:style>
  <w:style w:type="character" w:customStyle="1" w:styleId="odstavecChar">
    <w:name w:val="odstavec Char"/>
    <w:basedOn w:val="Predvolenpsmoodseku"/>
    <w:link w:val="odstavec"/>
    <w:rsid w:val="006B7FD8"/>
    <w:rPr>
      <w:rFonts w:asciiTheme="minorHAnsi" w:hAnsiTheme="minorHAnsi" w:cs="Arial"/>
      <w:bCs/>
      <w:iCs/>
    </w:rPr>
  </w:style>
  <w:style w:type="paragraph" w:customStyle="1" w:styleId="Zkladntext1">
    <w:name w:val="Základný text1"/>
    <w:basedOn w:val="Normlny"/>
    <w:rsid w:val="006B7FD8"/>
    <w:pPr>
      <w:widowControl w:val="0"/>
      <w:ind w:left="426" w:firstLine="1"/>
      <w:jc w:val="both"/>
    </w:pPr>
    <w:rPr>
      <w:rFonts w:ascii="Times New Roman" w:hAnsi="Times New Roman" w:cs="Times New Roman"/>
      <w:noProof/>
      <w:sz w:val="18"/>
      <w:szCs w:val="20"/>
      <w:lang w:eastAsia="sk-SK"/>
    </w:rPr>
  </w:style>
  <w:style w:type="character" w:styleId="Hypertextovprepojenie">
    <w:name w:val="Hyperlink"/>
    <w:basedOn w:val="Predvolenpsmoodseku"/>
    <w:uiPriority w:val="99"/>
    <w:unhideWhenUsed/>
    <w:rsid w:val="00C66D57"/>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23021048">
      <w:bodyDiv w:val="1"/>
      <w:marLeft w:val="0"/>
      <w:marRight w:val="0"/>
      <w:marTop w:val="0"/>
      <w:marBottom w:val="0"/>
      <w:divBdr>
        <w:top w:val="none" w:sz="0" w:space="0" w:color="auto"/>
        <w:left w:val="none" w:sz="0" w:space="0" w:color="auto"/>
        <w:bottom w:val="none" w:sz="0" w:space="0" w:color="auto"/>
        <w:right w:val="none" w:sz="0" w:space="0" w:color="auto"/>
      </w:divBdr>
    </w:div>
    <w:div w:id="176579989">
      <w:bodyDiv w:val="1"/>
      <w:marLeft w:val="0"/>
      <w:marRight w:val="0"/>
      <w:marTop w:val="0"/>
      <w:marBottom w:val="0"/>
      <w:divBdr>
        <w:top w:val="none" w:sz="0" w:space="0" w:color="auto"/>
        <w:left w:val="none" w:sz="0" w:space="0" w:color="auto"/>
        <w:bottom w:val="none" w:sz="0" w:space="0" w:color="auto"/>
        <w:right w:val="none" w:sz="0" w:space="0" w:color="auto"/>
      </w:divBdr>
    </w:div>
    <w:div w:id="272790839">
      <w:bodyDiv w:val="1"/>
      <w:marLeft w:val="0"/>
      <w:marRight w:val="0"/>
      <w:marTop w:val="0"/>
      <w:marBottom w:val="0"/>
      <w:divBdr>
        <w:top w:val="none" w:sz="0" w:space="0" w:color="auto"/>
        <w:left w:val="none" w:sz="0" w:space="0" w:color="auto"/>
        <w:bottom w:val="none" w:sz="0" w:space="0" w:color="auto"/>
        <w:right w:val="none" w:sz="0" w:space="0" w:color="auto"/>
      </w:divBdr>
    </w:div>
    <w:div w:id="311251254">
      <w:bodyDiv w:val="1"/>
      <w:marLeft w:val="0"/>
      <w:marRight w:val="0"/>
      <w:marTop w:val="0"/>
      <w:marBottom w:val="0"/>
      <w:divBdr>
        <w:top w:val="none" w:sz="0" w:space="0" w:color="auto"/>
        <w:left w:val="none" w:sz="0" w:space="0" w:color="auto"/>
        <w:bottom w:val="none" w:sz="0" w:space="0" w:color="auto"/>
        <w:right w:val="none" w:sz="0" w:space="0" w:color="auto"/>
      </w:divBdr>
    </w:div>
    <w:div w:id="376320481">
      <w:bodyDiv w:val="1"/>
      <w:marLeft w:val="0"/>
      <w:marRight w:val="0"/>
      <w:marTop w:val="0"/>
      <w:marBottom w:val="0"/>
      <w:divBdr>
        <w:top w:val="none" w:sz="0" w:space="0" w:color="auto"/>
        <w:left w:val="none" w:sz="0" w:space="0" w:color="auto"/>
        <w:bottom w:val="none" w:sz="0" w:space="0" w:color="auto"/>
        <w:right w:val="none" w:sz="0" w:space="0" w:color="auto"/>
      </w:divBdr>
    </w:div>
    <w:div w:id="420681237">
      <w:bodyDiv w:val="1"/>
      <w:marLeft w:val="0"/>
      <w:marRight w:val="0"/>
      <w:marTop w:val="0"/>
      <w:marBottom w:val="0"/>
      <w:divBdr>
        <w:top w:val="none" w:sz="0" w:space="0" w:color="auto"/>
        <w:left w:val="none" w:sz="0" w:space="0" w:color="auto"/>
        <w:bottom w:val="none" w:sz="0" w:space="0" w:color="auto"/>
        <w:right w:val="none" w:sz="0" w:space="0" w:color="auto"/>
      </w:divBdr>
    </w:div>
    <w:div w:id="750468935">
      <w:bodyDiv w:val="1"/>
      <w:marLeft w:val="0"/>
      <w:marRight w:val="0"/>
      <w:marTop w:val="0"/>
      <w:marBottom w:val="0"/>
      <w:divBdr>
        <w:top w:val="none" w:sz="0" w:space="0" w:color="auto"/>
        <w:left w:val="none" w:sz="0" w:space="0" w:color="auto"/>
        <w:bottom w:val="none" w:sz="0" w:space="0" w:color="auto"/>
        <w:right w:val="none" w:sz="0" w:space="0" w:color="auto"/>
      </w:divBdr>
    </w:div>
    <w:div w:id="1158961761">
      <w:bodyDiv w:val="1"/>
      <w:marLeft w:val="0"/>
      <w:marRight w:val="0"/>
      <w:marTop w:val="0"/>
      <w:marBottom w:val="0"/>
      <w:divBdr>
        <w:top w:val="none" w:sz="0" w:space="0" w:color="auto"/>
        <w:left w:val="none" w:sz="0" w:space="0" w:color="auto"/>
        <w:bottom w:val="none" w:sz="0" w:space="0" w:color="auto"/>
        <w:right w:val="none" w:sz="0" w:space="0" w:color="auto"/>
      </w:divBdr>
    </w:div>
    <w:div w:id="1225607805">
      <w:bodyDiv w:val="1"/>
      <w:marLeft w:val="0"/>
      <w:marRight w:val="0"/>
      <w:marTop w:val="0"/>
      <w:marBottom w:val="0"/>
      <w:divBdr>
        <w:top w:val="none" w:sz="0" w:space="0" w:color="auto"/>
        <w:left w:val="none" w:sz="0" w:space="0" w:color="auto"/>
        <w:bottom w:val="none" w:sz="0" w:space="0" w:color="auto"/>
        <w:right w:val="none" w:sz="0" w:space="0" w:color="auto"/>
      </w:divBdr>
    </w:div>
    <w:div w:id="1347054533">
      <w:bodyDiv w:val="1"/>
      <w:marLeft w:val="0"/>
      <w:marRight w:val="0"/>
      <w:marTop w:val="0"/>
      <w:marBottom w:val="0"/>
      <w:divBdr>
        <w:top w:val="none" w:sz="0" w:space="0" w:color="auto"/>
        <w:left w:val="none" w:sz="0" w:space="0" w:color="auto"/>
        <w:bottom w:val="none" w:sz="0" w:space="0" w:color="auto"/>
        <w:right w:val="none" w:sz="0" w:space="0" w:color="auto"/>
      </w:divBdr>
    </w:div>
    <w:div w:id="1461728215">
      <w:bodyDiv w:val="1"/>
      <w:marLeft w:val="0"/>
      <w:marRight w:val="0"/>
      <w:marTop w:val="0"/>
      <w:marBottom w:val="0"/>
      <w:divBdr>
        <w:top w:val="none" w:sz="0" w:space="0" w:color="auto"/>
        <w:left w:val="none" w:sz="0" w:space="0" w:color="auto"/>
        <w:bottom w:val="none" w:sz="0" w:space="0" w:color="auto"/>
        <w:right w:val="none" w:sz="0" w:space="0" w:color="auto"/>
      </w:divBdr>
    </w:div>
    <w:div w:id="1485782111">
      <w:bodyDiv w:val="1"/>
      <w:marLeft w:val="0"/>
      <w:marRight w:val="0"/>
      <w:marTop w:val="0"/>
      <w:marBottom w:val="0"/>
      <w:divBdr>
        <w:top w:val="none" w:sz="0" w:space="0" w:color="auto"/>
        <w:left w:val="none" w:sz="0" w:space="0" w:color="auto"/>
        <w:bottom w:val="none" w:sz="0" w:space="0" w:color="auto"/>
        <w:right w:val="none" w:sz="0" w:space="0" w:color="auto"/>
      </w:divBdr>
    </w:div>
    <w:div w:id="1528758906">
      <w:marLeft w:val="0"/>
      <w:marRight w:val="0"/>
      <w:marTop w:val="0"/>
      <w:marBottom w:val="0"/>
      <w:divBdr>
        <w:top w:val="none" w:sz="0" w:space="0" w:color="auto"/>
        <w:left w:val="none" w:sz="0" w:space="0" w:color="auto"/>
        <w:bottom w:val="none" w:sz="0" w:space="0" w:color="auto"/>
        <w:right w:val="none" w:sz="0" w:space="0" w:color="auto"/>
      </w:divBdr>
    </w:div>
    <w:div w:id="1528758907">
      <w:marLeft w:val="0"/>
      <w:marRight w:val="0"/>
      <w:marTop w:val="0"/>
      <w:marBottom w:val="0"/>
      <w:divBdr>
        <w:top w:val="none" w:sz="0" w:space="0" w:color="auto"/>
        <w:left w:val="none" w:sz="0" w:space="0" w:color="auto"/>
        <w:bottom w:val="none" w:sz="0" w:space="0" w:color="auto"/>
        <w:right w:val="none" w:sz="0" w:space="0" w:color="auto"/>
      </w:divBdr>
    </w:div>
    <w:div w:id="1528758908">
      <w:marLeft w:val="0"/>
      <w:marRight w:val="0"/>
      <w:marTop w:val="0"/>
      <w:marBottom w:val="0"/>
      <w:divBdr>
        <w:top w:val="none" w:sz="0" w:space="0" w:color="auto"/>
        <w:left w:val="none" w:sz="0" w:space="0" w:color="auto"/>
        <w:bottom w:val="none" w:sz="0" w:space="0" w:color="auto"/>
        <w:right w:val="none" w:sz="0" w:space="0" w:color="auto"/>
      </w:divBdr>
    </w:div>
    <w:div w:id="1528758909">
      <w:marLeft w:val="0"/>
      <w:marRight w:val="0"/>
      <w:marTop w:val="0"/>
      <w:marBottom w:val="0"/>
      <w:divBdr>
        <w:top w:val="none" w:sz="0" w:space="0" w:color="auto"/>
        <w:left w:val="none" w:sz="0" w:space="0" w:color="auto"/>
        <w:bottom w:val="none" w:sz="0" w:space="0" w:color="auto"/>
        <w:right w:val="none" w:sz="0" w:space="0" w:color="auto"/>
      </w:divBdr>
    </w:div>
    <w:div w:id="1528758910">
      <w:marLeft w:val="0"/>
      <w:marRight w:val="0"/>
      <w:marTop w:val="0"/>
      <w:marBottom w:val="0"/>
      <w:divBdr>
        <w:top w:val="none" w:sz="0" w:space="0" w:color="auto"/>
        <w:left w:val="none" w:sz="0" w:space="0" w:color="auto"/>
        <w:bottom w:val="none" w:sz="0" w:space="0" w:color="auto"/>
        <w:right w:val="none" w:sz="0" w:space="0" w:color="auto"/>
      </w:divBdr>
    </w:div>
    <w:div w:id="1528758911">
      <w:marLeft w:val="0"/>
      <w:marRight w:val="0"/>
      <w:marTop w:val="0"/>
      <w:marBottom w:val="0"/>
      <w:divBdr>
        <w:top w:val="none" w:sz="0" w:space="0" w:color="auto"/>
        <w:left w:val="none" w:sz="0" w:space="0" w:color="auto"/>
        <w:bottom w:val="none" w:sz="0" w:space="0" w:color="auto"/>
        <w:right w:val="none" w:sz="0" w:space="0" w:color="auto"/>
      </w:divBdr>
    </w:div>
    <w:div w:id="1528758912">
      <w:marLeft w:val="0"/>
      <w:marRight w:val="0"/>
      <w:marTop w:val="0"/>
      <w:marBottom w:val="0"/>
      <w:divBdr>
        <w:top w:val="none" w:sz="0" w:space="0" w:color="auto"/>
        <w:left w:val="none" w:sz="0" w:space="0" w:color="auto"/>
        <w:bottom w:val="none" w:sz="0" w:space="0" w:color="auto"/>
        <w:right w:val="none" w:sz="0" w:space="0" w:color="auto"/>
      </w:divBdr>
    </w:div>
    <w:div w:id="1528758913">
      <w:marLeft w:val="0"/>
      <w:marRight w:val="0"/>
      <w:marTop w:val="0"/>
      <w:marBottom w:val="0"/>
      <w:divBdr>
        <w:top w:val="none" w:sz="0" w:space="0" w:color="auto"/>
        <w:left w:val="none" w:sz="0" w:space="0" w:color="auto"/>
        <w:bottom w:val="none" w:sz="0" w:space="0" w:color="auto"/>
        <w:right w:val="none" w:sz="0" w:space="0" w:color="auto"/>
      </w:divBdr>
    </w:div>
    <w:div w:id="1528758914">
      <w:marLeft w:val="0"/>
      <w:marRight w:val="0"/>
      <w:marTop w:val="0"/>
      <w:marBottom w:val="0"/>
      <w:divBdr>
        <w:top w:val="none" w:sz="0" w:space="0" w:color="auto"/>
        <w:left w:val="none" w:sz="0" w:space="0" w:color="auto"/>
        <w:bottom w:val="none" w:sz="0" w:space="0" w:color="auto"/>
        <w:right w:val="none" w:sz="0" w:space="0" w:color="auto"/>
      </w:divBdr>
    </w:div>
    <w:div w:id="1528758915">
      <w:marLeft w:val="0"/>
      <w:marRight w:val="0"/>
      <w:marTop w:val="0"/>
      <w:marBottom w:val="0"/>
      <w:divBdr>
        <w:top w:val="none" w:sz="0" w:space="0" w:color="auto"/>
        <w:left w:val="none" w:sz="0" w:space="0" w:color="auto"/>
        <w:bottom w:val="none" w:sz="0" w:space="0" w:color="auto"/>
        <w:right w:val="none" w:sz="0" w:space="0" w:color="auto"/>
      </w:divBdr>
    </w:div>
    <w:div w:id="1528758916">
      <w:marLeft w:val="0"/>
      <w:marRight w:val="0"/>
      <w:marTop w:val="0"/>
      <w:marBottom w:val="0"/>
      <w:divBdr>
        <w:top w:val="none" w:sz="0" w:space="0" w:color="auto"/>
        <w:left w:val="none" w:sz="0" w:space="0" w:color="auto"/>
        <w:bottom w:val="none" w:sz="0" w:space="0" w:color="auto"/>
        <w:right w:val="none" w:sz="0" w:space="0" w:color="auto"/>
      </w:divBdr>
    </w:div>
    <w:div w:id="1528758917">
      <w:marLeft w:val="0"/>
      <w:marRight w:val="0"/>
      <w:marTop w:val="0"/>
      <w:marBottom w:val="0"/>
      <w:divBdr>
        <w:top w:val="none" w:sz="0" w:space="0" w:color="auto"/>
        <w:left w:val="none" w:sz="0" w:space="0" w:color="auto"/>
        <w:bottom w:val="none" w:sz="0" w:space="0" w:color="auto"/>
        <w:right w:val="none" w:sz="0" w:space="0" w:color="auto"/>
      </w:divBdr>
    </w:div>
    <w:div w:id="1528758918">
      <w:marLeft w:val="0"/>
      <w:marRight w:val="0"/>
      <w:marTop w:val="0"/>
      <w:marBottom w:val="0"/>
      <w:divBdr>
        <w:top w:val="none" w:sz="0" w:space="0" w:color="auto"/>
        <w:left w:val="none" w:sz="0" w:space="0" w:color="auto"/>
        <w:bottom w:val="none" w:sz="0" w:space="0" w:color="auto"/>
        <w:right w:val="none" w:sz="0" w:space="0" w:color="auto"/>
      </w:divBdr>
    </w:div>
    <w:div w:id="1528758919">
      <w:marLeft w:val="0"/>
      <w:marRight w:val="0"/>
      <w:marTop w:val="0"/>
      <w:marBottom w:val="0"/>
      <w:divBdr>
        <w:top w:val="none" w:sz="0" w:space="0" w:color="auto"/>
        <w:left w:val="none" w:sz="0" w:space="0" w:color="auto"/>
        <w:bottom w:val="none" w:sz="0" w:space="0" w:color="auto"/>
        <w:right w:val="none" w:sz="0" w:space="0" w:color="auto"/>
      </w:divBdr>
    </w:div>
    <w:div w:id="1528758920">
      <w:marLeft w:val="0"/>
      <w:marRight w:val="0"/>
      <w:marTop w:val="0"/>
      <w:marBottom w:val="0"/>
      <w:divBdr>
        <w:top w:val="none" w:sz="0" w:space="0" w:color="auto"/>
        <w:left w:val="none" w:sz="0" w:space="0" w:color="auto"/>
        <w:bottom w:val="none" w:sz="0" w:space="0" w:color="auto"/>
        <w:right w:val="none" w:sz="0" w:space="0" w:color="auto"/>
      </w:divBdr>
    </w:div>
    <w:div w:id="1528758921">
      <w:marLeft w:val="0"/>
      <w:marRight w:val="0"/>
      <w:marTop w:val="0"/>
      <w:marBottom w:val="0"/>
      <w:divBdr>
        <w:top w:val="none" w:sz="0" w:space="0" w:color="auto"/>
        <w:left w:val="none" w:sz="0" w:space="0" w:color="auto"/>
        <w:bottom w:val="none" w:sz="0" w:space="0" w:color="auto"/>
        <w:right w:val="none" w:sz="0" w:space="0" w:color="auto"/>
      </w:divBdr>
    </w:div>
    <w:div w:id="1528758922">
      <w:marLeft w:val="0"/>
      <w:marRight w:val="0"/>
      <w:marTop w:val="0"/>
      <w:marBottom w:val="0"/>
      <w:divBdr>
        <w:top w:val="none" w:sz="0" w:space="0" w:color="auto"/>
        <w:left w:val="none" w:sz="0" w:space="0" w:color="auto"/>
        <w:bottom w:val="none" w:sz="0" w:space="0" w:color="auto"/>
        <w:right w:val="none" w:sz="0" w:space="0" w:color="auto"/>
      </w:divBdr>
    </w:div>
    <w:div w:id="1528758923">
      <w:marLeft w:val="0"/>
      <w:marRight w:val="0"/>
      <w:marTop w:val="0"/>
      <w:marBottom w:val="0"/>
      <w:divBdr>
        <w:top w:val="none" w:sz="0" w:space="0" w:color="auto"/>
        <w:left w:val="none" w:sz="0" w:space="0" w:color="auto"/>
        <w:bottom w:val="none" w:sz="0" w:space="0" w:color="auto"/>
        <w:right w:val="none" w:sz="0" w:space="0" w:color="auto"/>
      </w:divBdr>
    </w:div>
    <w:div w:id="1528758924">
      <w:marLeft w:val="0"/>
      <w:marRight w:val="0"/>
      <w:marTop w:val="0"/>
      <w:marBottom w:val="0"/>
      <w:divBdr>
        <w:top w:val="none" w:sz="0" w:space="0" w:color="auto"/>
        <w:left w:val="none" w:sz="0" w:space="0" w:color="auto"/>
        <w:bottom w:val="none" w:sz="0" w:space="0" w:color="auto"/>
        <w:right w:val="none" w:sz="0" w:space="0" w:color="auto"/>
      </w:divBdr>
    </w:div>
    <w:div w:id="1528758925">
      <w:marLeft w:val="0"/>
      <w:marRight w:val="0"/>
      <w:marTop w:val="0"/>
      <w:marBottom w:val="0"/>
      <w:divBdr>
        <w:top w:val="none" w:sz="0" w:space="0" w:color="auto"/>
        <w:left w:val="none" w:sz="0" w:space="0" w:color="auto"/>
        <w:bottom w:val="none" w:sz="0" w:space="0" w:color="auto"/>
        <w:right w:val="none" w:sz="0" w:space="0" w:color="auto"/>
      </w:divBdr>
    </w:div>
    <w:div w:id="1528758926">
      <w:marLeft w:val="0"/>
      <w:marRight w:val="0"/>
      <w:marTop w:val="0"/>
      <w:marBottom w:val="0"/>
      <w:divBdr>
        <w:top w:val="none" w:sz="0" w:space="0" w:color="auto"/>
        <w:left w:val="none" w:sz="0" w:space="0" w:color="auto"/>
        <w:bottom w:val="none" w:sz="0" w:space="0" w:color="auto"/>
        <w:right w:val="none" w:sz="0" w:space="0" w:color="auto"/>
      </w:divBdr>
    </w:div>
    <w:div w:id="1528758927">
      <w:marLeft w:val="0"/>
      <w:marRight w:val="0"/>
      <w:marTop w:val="0"/>
      <w:marBottom w:val="0"/>
      <w:divBdr>
        <w:top w:val="none" w:sz="0" w:space="0" w:color="auto"/>
        <w:left w:val="none" w:sz="0" w:space="0" w:color="auto"/>
        <w:bottom w:val="none" w:sz="0" w:space="0" w:color="auto"/>
        <w:right w:val="none" w:sz="0" w:space="0" w:color="auto"/>
      </w:divBdr>
    </w:div>
    <w:div w:id="1528758928">
      <w:marLeft w:val="0"/>
      <w:marRight w:val="0"/>
      <w:marTop w:val="0"/>
      <w:marBottom w:val="0"/>
      <w:divBdr>
        <w:top w:val="none" w:sz="0" w:space="0" w:color="auto"/>
        <w:left w:val="none" w:sz="0" w:space="0" w:color="auto"/>
        <w:bottom w:val="none" w:sz="0" w:space="0" w:color="auto"/>
        <w:right w:val="none" w:sz="0" w:space="0" w:color="auto"/>
      </w:divBdr>
    </w:div>
    <w:div w:id="1528758929">
      <w:marLeft w:val="0"/>
      <w:marRight w:val="0"/>
      <w:marTop w:val="0"/>
      <w:marBottom w:val="0"/>
      <w:divBdr>
        <w:top w:val="none" w:sz="0" w:space="0" w:color="auto"/>
        <w:left w:val="none" w:sz="0" w:space="0" w:color="auto"/>
        <w:bottom w:val="none" w:sz="0" w:space="0" w:color="auto"/>
        <w:right w:val="none" w:sz="0" w:space="0" w:color="auto"/>
      </w:divBdr>
    </w:div>
    <w:div w:id="1528758930">
      <w:marLeft w:val="0"/>
      <w:marRight w:val="0"/>
      <w:marTop w:val="0"/>
      <w:marBottom w:val="0"/>
      <w:divBdr>
        <w:top w:val="none" w:sz="0" w:space="0" w:color="auto"/>
        <w:left w:val="none" w:sz="0" w:space="0" w:color="auto"/>
        <w:bottom w:val="none" w:sz="0" w:space="0" w:color="auto"/>
        <w:right w:val="none" w:sz="0" w:space="0" w:color="auto"/>
      </w:divBdr>
    </w:div>
    <w:div w:id="1528758931">
      <w:marLeft w:val="0"/>
      <w:marRight w:val="0"/>
      <w:marTop w:val="0"/>
      <w:marBottom w:val="0"/>
      <w:divBdr>
        <w:top w:val="none" w:sz="0" w:space="0" w:color="auto"/>
        <w:left w:val="none" w:sz="0" w:space="0" w:color="auto"/>
        <w:bottom w:val="none" w:sz="0" w:space="0" w:color="auto"/>
        <w:right w:val="none" w:sz="0" w:space="0" w:color="auto"/>
      </w:divBdr>
    </w:div>
    <w:div w:id="1528758932">
      <w:marLeft w:val="0"/>
      <w:marRight w:val="0"/>
      <w:marTop w:val="0"/>
      <w:marBottom w:val="0"/>
      <w:divBdr>
        <w:top w:val="none" w:sz="0" w:space="0" w:color="auto"/>
        <w:left w:val="none" w:sz="0" w:space="0" w:color="auto"/>
        <w:bottom w:val="none" w:sz="0" w:space="0" w:color="auto"/>
        <w:right w:val="none" w:sz="0" w:space="0" w:color="auto"/>
      </w:divBdr>
    </w:div>
    <w:div w:id="1528758933">
      <w:marLeft w:val="0"/>
      <w:marRight w:val="0"/>
      <w:marTop w:val="0"/>
      <w:marBottom w:val="0"/>
      <w:divBdr>
        <w:top w:val="none" w:sz="0" w:space="0" w:color="auto"/>
        <w:left w:val="none" w:sz="0" w:space="0" w:color="auto"/>
        <w:bottom w:val="none" w:sz="0" w:space="0" w:color="auto"/>
        <w:right w:val="none" w:sz="0" w:space="0" w:color="auto"/>
      </w:divBdr>
    </w:div>
    <w:div w:id="1528758934">
      <w:marLeft w:val="0"/>
      <w:marRight w:val="0"/>
      <w:marTop w:val="0"/>
      <w:marBottom w:val="0"/>
      <w:divBdr>
        <w:top w:val="none" w:sz="0" w:space="0" w:color="auto"/>
        <w:left w:val="none" w:sz="0" w:space="0" w:color="auto"/>
        <w:bottom w:val="none" w:sz="0" w:space="0" w:color="auto"/>
        <w:right w:val="none" w:sz="0" w:space="0" w:color="auto"/>
      </w:divBdr>
    </w:div>
    <w:div w:id="1528758935">
      <w:marLeft w:val="0"/>
      <w:marRight w:val="0"/>
      <w:marTop w:val="0"/>
      <w:marBottom w:val="0"/>
      <w:divBdr>
        <w:top w:val="none" w:sz="0" w:space="0" w:color="auto"/>
        <w:left w:val="none" w:sz="0" w:space="0" w:color="auto"/>
        <w:bottom w:val="none" w:sz="0" w:space="0" w:color="auto"/>
        <w:right w:val="none" w:sz="0" w:space="0" w:color="auto"/>
      </w:divBdr>
    </w:div>
    <w:div w:id="1528758936">
      <w:marLeft w:val="0"/>
      <w:marRight w:val="0"/>
      <w:marTop w:val="0"/>
      <w:marBottom w:val="0"/>
      <w:divBdr>
        <w:top w:val="none" w:sz="0" w:space="0" w:color="auto"/>
        <w:left w:val="none" w:sz="0" w:space="0" w:color="auto"/>
        <w:bottom w:val="none" w:sz="0" w:space="0" w:color="auto"/>
        <w:right w:val="none" w:sz="0" w:space="0" w:color="auto"/>
      </w:divBdr>
    </w:div>
    <w:div w:id="1528758937">
      <w:marLeft w:val="0"/>
      <w:marRight w:val="0"/>
      <w:marTop w:val="0"/>
      <w:marBottom w:val="0"/>
      <w:divBdr>
        <w:top w:val="none" w:sz="0" w:space="0" w:color="auto"/>
        <w:left w:val="none" w:sz="0" w:space="0" w:color="auto"/>
        <w:bottom w:val="none" w:sz="0" w:space="0" w:color="auto"/>
        <w:right w:val="none" w:sz="0" w:space="0" w:color="auto"/>
      </w:divBdr>
    </w:div>
    <w:div w:id="1528758938">
      <w:marLeft w:val="0"/>
      <w:marRight w:val="0"/>
      <w:marTop w:val="0"/>
      <w:marBottom w:val="0"/>
      <w:divBdr>
        <w:top w:val="none" w:sz="0" w:space="0" w:color="auto"/>
        <w:left w:val="none" w:sz="0" w:space="0" w:color="auto"/>
        <w:bottom w:val="none" w:sz="0" w:space="0" w:color="auto"/>
        <w:right w:val="none" w:sz="0" w:space="0" w:color="auto"/>
      </w:divBdr>
    </w:div>
    <w:div w:id="1528758939">
      <w:marLeft w:val="0"/>
      <w:marRight w:val="0"/>
      <w:marTop w:val="0"/>
      <w:marBottom w:val="0"/>
      <w:divBdr>
        <w:top w:val="none" w:sz="0" w:space="0" w:color="auto"/>
        <w:left w:val="none" w:sz="0" w:space="0" w:color="auto"/>
        <w:bottom w:val="none" w:sz="0" w:space="0" w:color="auto"/>
        <w:right w:val="none" w:sz="0" w:space="0" w:color="auto"/>
      </w:divBdr>
    </w:div>
    <w:div w:id="1528758940">
      <w:marLeft w:val="0"/>
      <w:marRight w:val="0"/>
      <w:marTop w:val="0"/>
      <w:marBottom w:val="0"/>
      <w:divBdr>
        <w:top w:val="none" w:sz="0" w:space="0" w:color="auto"/>
        <w:left w:val="none" w:sz="0" w:space="0" w:color="auto"/>
        <w:bottom w:val="none" w:sz="0" w:space="0" w:color="auto"/>
        <w:right w:val="none" w:sz="0" w:space="0" w:color="auto"/>
      </w:divBdr>
    </w:div>
    <w:div w:id="1528758941">
      <w:marLeft w:val="0"/>
      <w:marRight w:val="0"/>
      <w:marTop w:val="0"/>
      <w:marBottom w:val="0"/>
      <w:divBdr>
        <w:top w:val="none" w:sz="0" w:space="0" w:color="auto"/>
        <w:left w:val="none" w:sz="0" w:space="0" w:color="auto"/>
        <w:bottom w:val="none" w:sz="0" w:space="0" w:color="auto"/>
        <w:right w:val="none" w:sz="0" w:space="0" w:color="auto"/>
      </w:divBdr>
    </w:div>
    <w:div w:id="1528758942">
      <w:marLeft w:val="0"/>
      <w:marRight w:val="0"/>
      <w:marTop w:val="0"/>
      <w:marBottom w:val="0"/>
      <w:divBdr>
        <w:top w:val="none" w:sz="0" w:space="0" w:color="auto"/>
        <w:left w:val="none" w:sz="0" w:space="0" w:color="auto"/>
        <w:bottom w:val="none" w:sz="0" w:space="0" w:color="auto"/>
        <w:right w:val="none" w:sz="0" w:space="0" w:color="auto"/>
      </w:divBdr>
    </w:div>
    <w:div w:id="1528758943">
      <w:marLeft w:val="0"/>
      <w:marRight w:val="0"/>
      <w:marTop w:val="0"/>
      <w:marBottom w:val="0"/>
      <w:divBdr>
        <w:top w:val="none" w:sz="0" w:space="0" w:color="auto"/>
        <w:left w:val="none" w:sz="0" w:space="0" w:color="auto"/>
        <w:bottom w:val="none" w:sz="0" w:space="0" w:color="auto"/>
        <w:right w:val="none" w:sz="0" w:space="0" w:color="auto"/>
      </w:divBdr>
    </w:div>
    <w:div w:id="1528758944">
      <w:marLeft w:val="0"/>
      <w:marRight w:val="0"/>
      <w:marTop w:val="0"/>
      <w:marBottom w:val="0"/>
      <w:divBdr>
        <w:top w:val="none" w:sz="0" w:space="0" w:color="auto"/>
        <w:left w:val="none" w:sz="0" w:space="0" w:color="auto"/>
        <w:bottom w:val="none" w:sz="0" w:space="0" w:color="auto"/>
        <w:right w:val="none" w:sz="0" w:space="0" w:color="auto"/>
      </w:divBdr>
    </w:div>
    <w:div w:id="1528758945">
      <w:marLeft w:val="0"/>
      <w:marRight w:val="0"/>
      <w:marTop w:val="0"/>
      <w:marBottom w:val="0"/>
      <w:divBdr>
        <w:top w:val="none" w:sz="0" w:space="0" w:color="auto"/>
        <w:left w:val="none" w:sz="0" w:space="0" w:color="auto"/>
        <w:bottom w:val="none" w:sz="0" w:space="0" w:color="auto"/>
        <w:right w:val="none" w:sz="0" w:space="0" w:color="auto"/>
      </w:divBdr>
    </w:div>
    <w:div w:id="1528758946">
      <w:marLeft w:val="0"/>
      <w:marRight w:val="0"/>
      <w:marTop w:val="0"/>
      <w:marBottom w:val="0"/>
      <w:divBdr>
        <w:top w:val="none" w:sz="0" w:space="0" w:color="auto"/>
        <w:left w:val="none" w:sz="0" w:space="0" w:color="auto"/>
        <w:bottom w:val="none" w:sz="0" w:space="0" w:color="auto"/>
        <w:right w:val="none" w:sz="0" w:space="0" w:color="auto"/>
      </w:divBdr>
    </w:div>
    <w:div w:id="1528758947">
      <w:marLeft w:val="0"/>
      <w:marRight w:val="0"/>
      <w:marTop w:val="0"/>
      <w:marBottom w:val="0"/>
      <w:divBdr>
        <w:top w:val="none" w:sz="0" w:space="0" w:color="auto"/>
        <w:left w:val="none" w:sz="0" w:space="0" w:color="auto"/>
        <w:bottom w:val="none" w:sz="0" w:space="0" w:color="auto"/>
        <w:right w:val="none" w:sz="0" w:space="0" w:color="auto"/>
      </w:divBdr>
    </w:div>
    <w:div w:id="1528758948">
      <w:marLeft w:val="0"/>
      <w:marRight w:val="0"/>
      <w:marTop w:val="0"/>
      <w:marBottom w:val="0"/>
      <w:divBdr>
        <w:top w:val="none" w:sz="0" w:space="0" w:color="auto"/>
        <w:left w:val="none" w:sz="0" w:space="0" w:color="auto"/>
        <w:bottom w:val="none" w:sz="0" w:space="0" w:color="auto"/>
        <w:right w:val="none" w:sz="0" w:space="0" w:color="auto"/>
      </w:divBdr>
    </w:div>
    <w:div w:id="1528758949">
      <w:marLeft w:val="0"/>
      <w:marRight w:val="0"/>
      <w:marTop w:val="0"/>
      <w:marBottom w:val="0"/>
      <w:divBdr>
        <w:top w:val="none" w:sz="0" w:space="0" w:color="auto"/>
        <w:left w:val="none" w:sz="0" w:space="0" w:color="auto"/>
        <w:bottom w:val="none" w:sz="0" w:space="0" w:color="auto"/>
        <w:right w:val="none" w:sz="0" w:space="0" w:color="auto"/>
      </w:divBdr>
    </w:div>
    <w:div w:id="1528758950">
      <w:marLeft w:val="0"/>
      <w:marRight w:val="0"/>
      <w:marTop w:val="0"/>
      <w:marBottom w:val="0"/>
      <w:divBdr>
        <w:top w:val="none" w:sz="0" w:space="0" w:color="auto"/>
        <w:left w:val="none" w:sz="0" w:space="0" w:color="auto"/>
        <w:bottom w:val="none" w:sz="0" w:space="0" w:color="auto"/>
        <w:right w:val="none" w:sz="0" w:space="0" w:color="auto"/>
      </w:divBdr>
    </w:div>
    <w:div w:id="1528758951">
      <w:marLeft w:val="0"/>
      <w:marRight w:val="0"/>
      <w:marTop w:val="0"/>
      <w:marBottom w:val="0"/>
      <w:divBdr>
        <w:top w:val="none" w:sz="0" w:space="0" w:color="auto"/>
        <w:left w:val="none" w:sz="0" w:space="0" w:color="auto"/>
        <w:bottom w:val="none" w:sz="0" w:space="0" w:color="auto"/>
        <w:right w:val="none" w:sz="0" w:space="0" w:color="auto"/>
      </w:divBdr>
    </w:div>
    <w:div w:id="1528758952">
      <w:marLeft w:val="0"/>
      <w:marRight w:val="0"/>
      <w:marTop w:val="0"/>
      <w:marBottom w:val="0"/>
      <w:divBdr>
        <w:top w:val="none" w:sz="0" w:space="0" w:color="auto"/>
        <w:left w:val="none" w:sz="0" w:space="0" w:color="auto"/>
        <w:bottom w:val="none" w:sz="0" w:space="0" w:color="auto"/>
        <w:right w:val="none" w:sz="0" w:space="0" w:color="auto"/>
      </w:divBdr>
    </w:div>
    <w:div w:id="1528758953">
      <w:marLeft w:val="0"/>
      <w:marRight w:val="0"/>
      <w:marTop w:val="0"/>
      <w:marBottom w:val="0"/>
      <w:divBdr>
        <w:top w:val="none" w:sz="0" w:space="0" w:color="auto"/>
        <w:left w:val="none" w:sz="0" w:space="0" w:color="auto"/>
        <w:bottom w:val="none" w:sz="0" w:space="0" w:color="auto"/>
        <w:right w:val="none" w:sz="0" w:space="0" w:color="auto"/>
      </w:divBdr>
    </w:div>
    <w:div w:id="1528758954">
      <w:marLeft w:val="0"/>
      <w:marRight w:val="0"/>
      <w:marTop w:val="0"/>
      <w:marBottom w:val="0"/>
      <w:divBdr>
        <w:top w:val="none" w:sz="0" w:space="0" w:color="auto"/>
        <w:left w:val="none" w:sz="0" w:space="0" w:color="auto"/>
        <w:bottom w:val="none" w:sz="0" w:space="0" w:color="auto"/>
        <w:right w:val="none" w:sz="0" w:space="0" w:color="auto"/>
      </w:divBdr>
    </w:div>
    <w:div w:id="1528758955">
      <w:marLeft w:val="0"/>
      <w:marRight w:val="0"/>
      <w:marTop w:val="0"/>
      <w:marBottom w:val="0"/>
      <w:divBdr>
        <w:top w:val="none" w:sz="0" w:space="0" w:color="auto"/>
        <w:left w:val="none" w:sz="0" w:space="0" w:color="auto"/>
        <w:bottom w:val="none" w:sz="0" w:space="0" w:color="auto"/>
        <w:right w:val="none" w:sz="0" w:space="0" w:color="auto"/>
      </w:divBdr>
    </w:div>
    <w:div w:id="1528758956">
      <w:marLeft w:val="0"/>
      <w:marRight w:val="0"/>
      <w:marTop w:val="0"/>
      <w:marBottom w:val="0"/>
      <w:divBdr>
        <w:top w:val="none" w:sz="0" w:space="0" w:color="auto"/>
        <w:left w:val="none" w:sz="0" w:space="0" w:color="auto"/>
        <w:bottom w:val="none" w:sz="0" w:space="0" w:color="auto"/>
        <w:right w:val="none" w:sz="0" w:space="0" w:color="auto"/>
      </w:divBdr>
    </w:div>
    <w:div w:id="1528758957">
      <w:marLeft w:val="0"/>
      <w:marRight w:val="0"/>
      <w:marTop w:val="0"/>
      <w:marBottom w:val="0"/>
      <w:divBdr>
        <w:top w:val="none" w:sz="0" w:space="0" w:color="auto"/>
        <w:left w:val="none" w:sz="0" w:space="0" w:color="auto"/>
        <w:bottom w:val="none" w:sz="0" w:space="0" w:color="auto"/>
        <w:right w:val="none" w:sz="0" w:space="0" w:color="auto"/>
      </w:divBdr>
    </w:div>
    <w:div w:id="1528758958">
      <w:marLeft w:val="0"/>
      <w:marRight w:val="0"/>
      <w:marTop w:val="0"/>
      <w:marBottom w:val="0"/>
      <w:divBdr>
        <w:top w:val="none" w:sz="0" w:space="0" w:color="auto"/>
        <w:left w:val="none" w:sz="0" w:space="0" w:color="auto"/>
        <w:bottom w:val="none" w:sz="0" w:space="0" w:color="auto"/>
        <w:right w:val="none" w:sz="0" w:space="0" w:color="auto"/>
      </w:divBdr>
    </w:div>
    <w:div w:id="1528758959">
      <w:marLeft w:val="0"/>
      <w:marRight w:val="0"/>
      <w:marTop w:val="0"/>
      <w:marBottom w:val="0"/>
      <w:divBdr>
        <w:top w:val="none" w:sz="0" w:space="0" w:color="auto"/>
        <w:left w:val="none" w:sz="0" w:space="0" w:color="auto"/>
        <w:bottom w:val="none" w:sz="0" w:space="0" w:color="auto"/>
        <w:right w:val="none" w:sz="0" w:space="0" w:color="auto"/>
      </w:divBdr>
    </w:div>
    <w:div w:id="1528758960">
      <w:marLeft w:val="0"/>
      <w:marRight w:val="0"/>
      <w:marTop w:val="0"/>
      <w:marBottom w:val="0"/>
      <w:divBdr>
        <w:top w:val="none" w:sz="0" w:space="0" w:color="auto"/>
        <w:left w:val="none" w:sz="0" w:space="0" w:color="auto"/>
        <w:bottom w:val="none" w:sz="0" w:space="0" w:color="auto"/>
        <w:right w:val="none" w:sz="0" w:space="0" w:color="auto"/>
      </w:divBdr>
    </w:div>
    <w:div w:id="1528758961">
      <w:marLeft w:val="0"/>
      <w:marRight w:val="0"/>
      <w:marTop w:val="0"/>
      <w:marBottom w:val="0"/>
      <w:divBdr>
        <w:top w:val="none" w:sz="0" w:space="0" w:color="auto"/>
        <w:left w:val="none" w:sz="0" w:space="0" w:color="auto"/>
        <w:bottom w:val="none" w:sz="0" w:space="0" w:color="auto"/>
        <w:right w:val="none" w:sz="0" w:space="0" w:color="auto"/>
      </w:divBdr>
    </w:div>
    <w:div w:id="1576162329">
      <w:bodyDiv w:val="1"/>
      <w:marLeft w:val="0"/>
      <w:marRight w:val="0"/>
      <w:marTop w:val="0"/>
      <w:marBottom w:val="0"/>
      <w:divBdr>
        <w:top w:val="none" w:sz="0" w:space="0" w:color="auto"/>
        <w:left w:val="none" w:sz="0" w:space="0" w:color="auto"/>
        <w:bottom w:val="none" w:sz="0" w:space="0" w:color="auto"/>
        <w:right w:val="none" w:sz="0" w:space="0" w:color="auto"/>
      </w:divBdr>
    </w:div>
    <w:div w:id="1595897396">
      <w:bodyDiv w:val="1"/>
      <w:marLeft w:val="0"/>
      <w:marRight w:val="0"/>
      <w:marTop w:val="0"/>
      <w:marBottom w:val="0"/>
      <w:divBdr>
        <w:top w:val="none" w:sz="0" w:space="0" w:color="auto"/>
        <w:left w:val="none" w:sz="0" w:space="0" w:color="auto"/>
        <w:bottom w:val="none" w:sz="0" w:space="0" w:color="auto"/>
        <w:right w:val="none" w:sz="0" w:space="0" w:color="auto"/>
      </w:divBdr>
    </w:div>
    <w:div w:id="1641155230">
      <w:bodyDiv w:val="1"/>
      <w:marLeft w:val="0"/>
      <w:marRight w:val="0"/>
      <w:marTop w:val="0"/>
      <w:marBottom w:val="0"/>
      <w:divBdr>
        <w:top w:val="none" w:sz="0" w:space="0" w:color="auto"/>
        <w:left w:val="none" w:sz="0" w:space="0" w:color="auto"/>
        <w:bottom w:val="none" w:sz="0" w:space="0" w:color="auto"/>
        <w:right w:val="none" w:sz="0" w:space="0" w:color="auto"/>
      </w:divBdr>
    </w:div>
    <w:div w:id="1886015856">
      <w:bodyDiv w:val="1"/>
      <w:marLeft w:val="0"/>
      <w:marRight w:val="0"/>
      <w:marTop w:val="0"/>
      <w:marBottom w:val="0"/>
      <w:divBdr>
        <w:top w:val="none" w:sz="0" w:space="0" w:color="auto"/>
        <w:left w:val="none" w:sz="0" w:space="0" w:color="auto"/>
        <w:bottom w:val="none" w:sz="0" w:space="0" w:color="auto"/>
        <w:right w:val="none" w:sz="0" w:space="0" w:color="auto"/>
      </w:divBdr>
    </w:div>
    <w:div w:id="1918439615">
      <w:bodyDiv w:val="1"/>
      <w:marLeft w:val="0"/>
      <w:marRight w:val="0"/>
      <w:marTop w:val="0"/>
      <w:marBottom w:val="0"/>
      <w:divBdr>
        <w:top w:val="none" w:sz="0" w:space="0" w:color="auto"/>
        <w:left w:val="none" w:sz="0" w:space="0" w:color="auto"/>
        <w:bottom w:val="none" w:sz="0" w:space="0" w:color="auto"/>
        <w:right w:val="none" w:sz="0" w:space="0" w:color="auto"/>
      </w:divBdr>
    </w:div>
    <w:div w:id="2076203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Pracovn__h_rok_programu_Microsoft_Office_Excel3.xlsx"/><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53B8EC-7F5F-4E17-AFD1-FDFEC78A54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2285</Words>
  <Characters>13942</Characters>
  <Application>Microsoft Office Word</Application>
  <DocSecurity>0</DocSecurity>
  <Lines>116</Lines>
  <Paragraphs>32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DIČ 2021898483</vt:lpstr>
      <vt:lpstr>Príloha  k opatreniu č</vt:lpstr>
    </vt:vector>
  </TitlesOfParts>
  <Company>IBL Software Engineering</Company>
  <LinksUpToDate>false</LinksUpToDate>
  <CharactersWithSpaces>16195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DIČ 2021898483</dc:title>
  <dc:creator>jm</dc:creator>
  <cp:lastModifiedBy>Miroslava Lyseková</cp:lastModifiedBy>
  <cp:revision>2</cp:revision>
  <cp:lastPrinted>2017-03-29T12:23:00Z</cp:lastPrinted>
  <dcterms:created xsi:type="dcterms:W3CDTF">2017-03-29T12:23:00Z</dcterms:created>
  <dcterms:modified xsi:type="dcterms:W3CDTF">2017-03-29T12:23:00Z</dcterms:modified>
</cp:coreProperties>
</file>