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 xml:space="preserve">Poznámky k 31.12.2016 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2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780"/>
        <w:gridCol w:w="5489"/>
      </w:tblGrid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Píla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č.68,  900 89 Píla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00305031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>
            <w:pPr>
              <w:pStyle w:val="Normal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Zákon č.369/1990 Zb. o obecnom zriadení</w:t>
            </w:r>
          </w:p>
          <w:p>
            <w:pPr>
              <w:pStyle w:val="Normal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republika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0" w:name="__Fieldmark__316_434343162"/>
            <w:bookmarkStart w:id="1" w:name="__Fieldmark__27_1079303676"/>
            <w:bookmarkStart w:id="2" w:name="__Fieldmark__86_410799141"/>
            <w:bookmarkStart w:id="3" w:name="__Fieldmark__316_434343162"/>
            <w:bookmarkStart w:id="4" w:name="__Fieldmark__316_434343162"/>
            <w:bookmarkEnd w:id="1"/>
            <w:bookmarkEnd w:id="2"/>
            <w:bookmarkEnd w:id="4"/>
            <w:r>
              <w:rPr/>
            </w:r>
            <w: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5" w:name="__Fieldmark__329_434343162"/>
            <w:bookmarkStart w:id="6" w:name="__Fieldmark__37_1079303676"/>
            <w:bookmarkStart w:id="7" w:name="__Fieldmark__87_410799141"/>
            <w:bookmarkStart w:id="8" w:name="__Fieldmark__329_434343162"/>
            <w:bookmarkStart w:id="9" w:name="__Fieldmark__329_434343162"/>
            <w:bookmarkEnd w:id="6"/>
            <w:bookmarkEnd w:id="7"/>
            <w:bookmarkEnd w:id="9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0" w:name="__Fieldmark__342_434343162"/>
            <w:bookmarkStart w:id="11" w:name="__Fieldmark__47_1079303676"/>
            <w:bookmarkStart w:id="12" w:name="__Fieldmark__88_410799141"/>
            <w:bookmarkStart w:id="13" w:name="__Fieldmark__342_434343162"/>
            <w:bookmarkStart w:id="14" w:name="__Fieldmark__342_434343162"/>
            <w:bookmarkEnd w:id="11"/>
            <w:bookmarkEnd w:id="12"/>
            <w:bookmarkEnd w:id="14"/>
            <w:r>
              <w:rPr/>
            </w:r>
            <w: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15" w:name="__Fieldmark__355_434343162"/>
            <w:bookmarkStart w:id="16" w:name="__Fieldmark__57_1079303676"/>
            <w:bookmarkStart w:id="17" w:name="__Fieldmark__89_410799141"/>
            <w:bookmarkStart w:id="18" w:name="__Fieldmark__355_434343162"/>
            <w:bookmarkStart w:id="19" w:name="__Fieldmark__355_434343162"/>
            <w:bookmarkEnd w:id="16"/>
            <w:bookmarkEnd w:id="17"/>
            <w:bookmarkEnd w:id="19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20" w:name="__Fieldmark__368_434343162"/>
            <w:bookmarkStart w:id="21" w:name="__Fieldmark__67_1079303676"/>
            <w:bookmarkStart w:id="22" w:name="__Fieldmark__90_410799141"/>
            <w:bookmarkStart w:id="23" w:name="__Fieldmark__368_434343162"/>
            <w:bookmarkStart w:id="24" w:name="__Fieldmark__368_434343162"/>
            <w:bookmarkEnd w:id="21"/>
            <w:bookmarkEnd w:id="22"/>
            <w:bookmarkEnd w:id="24"/>
            <w:r>
              <w:rPr/>
            </w:r>
            <w: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instrText> FORMCHECKBOX </w:instrText>
            </w:r>
            <w:r>
              <w:fldChar w:fldCharType="separate"/>
            </w:r>
            <w:bookmarkStart w:id="25" w:name="__Fieldmark__381_434343162"/>
            <w:bookmarkStart w:id="26" w:name="__Fieldmark__77_1079303676"/>
            <w:bookmarkStart w:id="27" w:name="__Fieldmark__91_410799141"/>
            <w:bookmarkStart w:id="28" w:name="__Fieldmark__381_434343162"/>
            <w:bookmarkStart w:id="29" w:name="__Fieldmark__381_434343162"/>
            <w:bookmarkEnd w:id="26"/>
            <w:bookmarkEnd w:id="27"/>
            <w:bookmarkEnd w:id="29"/>
            <w:r>
              <w:rPr/>
            </w:r>
            <w: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fldChar w:fldCharType="begin"/>
            </w:r>
            <w:r/>
            <w:r>
              <w:fldChar w:fldCharType="separate"/>
            </w:r>
            <w:bookmarkStart w:id="30" w:name="__Fieldmark__385_434343162"/>
            <w:r>
              <w:rPr/>
            </w:r>
            <w:r>
              <w:rPr/>
            </w:r>
            <w:r>
              <w:fldChar w:fldCharType="end"/>
            </w:r>
            <w:r>
              <w:fldChar w:fldCharType="begin"/>
            </w:r>
            <w:r/>
            <w:r>
              <w:fldChar w:fldCharType="separate"/>
            </w:r>
            <w:bookmarkStart w:id="31" w:name="__Fieldmark__81_1079303676"/>
            <w:bookmarkStart w:id="32" w:name="__Fieldmark__388_434343162"/>
            <w:bookmarkEnd w:id="30"/>
            <w:r>
              <w:rPr/>
            </w:r>
            <w:r>
              <w:rPr>
                <w:rFonts w:cs="Tahoma;Tahoma"/>
                <w:b/>
                <w:bCs/>
                <w:sz w:val="24"/>
                <w:szCs w:val="24"/>
                <w:lang w:bidi="zxx"/>
              </w:rPr>
              <w:t xml:space="preserve"> </w:t>
            </w:r>
            <w:bookmarkStart w:id="33" w:name="__Fieldmark__83_1079303676"/>
            <w:r>
              <w:rPr>
                <w:rFonts w:cs="Tahoma;Tahoma"/>
                <w:b/>
                <w:bCs/>
                <w:sz w:val="24"/>
                <w:szCs w:val="24"/>
                <w:lang w:bidi="zxx"/>
              </w:rPr>
              <w:t xml:space="preserve">   áno</w:t>
            </w:r>
            <w:bookmarkEnd w:id="31"/>
            <w:bookmarkEnd w:id="32"/>
            <w:bookmarkEnd w:id="33"/>
            <w:r>
              <w:rPr/>
            </w:r>
            <w:r>
              <w:fldChar w:fldCharType="end"/>
            </w:r>
          </w:p>
          <w:p>
            <w:pPr>
              <w:pStyle w:val="Normal"/>
              <w:rPr/>
            </w:pPr>
            <w:r>
              <w:fldChar w:fldCharType="begin"/>
            </w:r>
            <w:r/>
            <w:r>
              <w:fldChar w:fldCharType="separate"/>
            </w:r>
            <w:bookmarkStart w:id="34" w:name="__Fieldmark__396_434343162"/>
            <w:r>
              <w:rPr/>
            </w:r>
            <w:bookmarkEnd w:id="34"/>
            <w:r>
              <w:rPr/>
            </w:r>
            <w:r>
              <w:fldChar w:fldCharType="end"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780"/>
        <w:gridCol w:w="5489"/>
      </w:tblGrid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Podľa zákona č.369/1990 Zb. je základnou úlohou obce </w:t>
            </w:r>
            <w:r>
              <w:rPr>
                <w:color w:val="000000"/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780"/>
        <w:gridCol w:w="5489"/>
      </w:tblGrid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RNDr.Ing.Mgr.Radovan Mičunek,PhD.-starosta obce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Organizačná štruktúra účtovnej jednotky: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sz w:val="28"/>
                <w:szCs w:val="24"/>
              </w:rPr>
            </w:pPr>
            <w:r>
              <w:rPr>
                <w:b/>
                <w:sz w:val="28"/>
                <w:szCs w:val="24"/>
              </w:rPr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  <w:p>
            <w:pPr>
              <w:pStyle w:val="Normal"/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2"/>
              </w:numPr>
              <w:ind w:left="176" w:hanging="142"/>
              <w:rPr/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shd w:fill="FFFFFF" w:val="clear"/>
              </w:rPr>
              <w:t>nie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2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>
        <w:trPr/>
        <w:tc>
          <w:tcPr>
            <w:tcW w:w="4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sz w:val="28"/>
                <w:szCs w:val="24"/>
              </w:rPr>
            </w:pPr>
            <w:r>
              <w:rPr>
                <w:b/>
                <w:sz w:val="28"/>
                <w:szCs w:val="24"/>
              </w:rPr>
            </w:r>
          </w:p>
        </w:tc>
        <w:tc>
          <w:tcPr>
            <w:tcW w:w="5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Obsahtabuky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;Tahoma"/>
          <w:b/>
          <w:bCs/>
          <w:sz w:val="22"/>
          <w:szCs w:val="22"/>
          <w:lang w:bidi="zxx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5" w:name="__Fieldmark__526_434343162"/>
      <w:bookmarkStart w:id="36" w:name="__Fieldmark__213_1079303676"/>
      <w:bookmarkStart w:id="37" w:name="__Fieldmark__92_410799141"/>
      <w:bookmarkStart w:id="38" w:name="__Fieldmark__526_434343162"/>
      <w:bookmarkStart w:id="39" w:name="__Fieldmark__526_434343162"/>
      <w:bookmarkEnd w:id="36"/>
      <w:bookmarkEnd w:id="37"/>
      <w:bookmarkEnd w:id="39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0" w:name="__Fieldmark__537_434343162"/>
      <w:bookmarkStart w:id="41" w:name="__Fieldmark__221_1079303676"/>
      <w:bookmarkStart w:id="42" w:name="__Fieldmark__93_410799141"/>
      <w:bookmarkStart w:id="43" w:name="__Fieldmark__537_434343162"/>
      <w:bookmarkStart w:id="44" w:name="__Fieldmark__537_434343162"/>
      <w:bookmarkEnd w:id="41"/>
      <w:bookmarkEnd w:id="42"/>
      <w:bookmarkEnd w:id="4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spacing w:lineRule="auto" w:line="36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;Tahoma"/>
          <w:b/>
          <w:bCs/>
          <w:sz w:val="22"/>
          <w:szCs w:val="22"/>
          <w:lang w:bidi="zxx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5" w:name="__Fieldmark__552_434343162"/>
      <w:bookmarkStart w:id="46" w:name="__Fieldmark__233_1079303676"/>
      <w:bookmarkStart w:id="47" w:name="__Fieldmark__94_410799141"/>
      <w:bookmarkStart w:id="48" w:name="__Fieldmark__552_434343162"/>
      <w:bookmarkStart w:id="49" w:name="__Fieldmark__552_434343162"/>
      <w:bookmarkEnd w:id="46"/>
      <w:bookmarkEnd w:id="47"/>
      <w:bookmarkEnd w:id="49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0" w:name="__Fieldmark__563_434343162"/>
      <w:bookmarkStart w:id="51" w:name="__Fieldmark__241_1079303676"/>
      <w:bookmarkStart w:id="52" w:name="__Fieldmark__95_410799141"/>
      <w:bookmarkStart w:id="53" w:name="__Fieldmark__563_434343162"/>
      <w:bookmarkStart w:id="54" w:name="__Fieldmark__563_434343162"/>
      <w:bookmarkEnd w:id="51"/>
      <w:bookmarkEnd w:id="52"/>
      <w:bookmarkEnd w:id="5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  <w:r>
        <w:rPr>
          <w:rFonts w:cs="Tahoma;Tahoma"/>
          <w:b/>
          <w:bCs/>
          <w:sz w:val="24"/>
          <w:szCs w:val="24"/>
          <w:lang w:bidi="zxx"/>
        </w:rPr>
        <w:t xml:space="preserve"> 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>Spôsob ocenenia jednotlivých položiek</w:t>
      </w:r>
    </w:p>
    <w:tbl>
      <w:tblPr>
        <w:tblW w:w="10270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378"/>
        <w:gridCol w:w="3891"/>
      </w:tblGrid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rPr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/>
            </w:pPr>
            <w:r>
              <w:rPr>
                <w:sz w:val="24"/>
              </w:rPr>
              <w:t>zásoby vytvorené vlastnou činnosťou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/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/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/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/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0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>
      <w:pPr>
        <w:pStyle w:val="Normal"/>
        <w:ind w:left="284" w:hanging="0"/>
        <w:jc w:val="both"/>
        <w:rPr>
          <w:rFonts w:cs="Tahoma;Tahoma"/>
          <w:bCs/>
          <w:sz w:val="22"/>
          <w:szCs w:val="22"/>
          <w:lang w:bidi="zxx"/>
        </w:rPr>
      </w:pPr>
      <w:r>
        <w:rPr>
          <w:rFonts w:cs="Tahoma;Tahoma"/>
          <w:bCs/>
          <w:sz w:val="22"/>
          <w:szCs w:val="22"/>
          <w:lang w:bidi="zxx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rFonts w:cs="Tahoma;Tahoma"/>
          <w:bCs/>
          <w:sz w:val="22"/>
          <w:szCs w:val="22"/>
          <w:lang w:bidi="zxx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hanging="0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začína</w:t>
      </w:r>
      <w:r>
        <w:rPr>
          <w:rFonts w:cs="Tahoma;Tahoma"/>
          <w:b/>
          <w:bCs/>
          <w:color w:val="000000"/>
          <w:sz w:val="22"/>
          <w:szCs w:val="22"/>
          <w:lang w:bidi="zxx"/>
        </w:rPr>
        <w:t xml:space="preserve"> </w:t>
      </w:r>
      <w:r>
        <w:rPr>
          <w:rFonts w:cs="Tahoma;Tahoma"/>
          <w:bCs/>
          <w:color w:val="000000"/>
          <w:sz w:val="22"/>
          <w:szCs w:val="22"/>
          <w:lang w:bidi="zxx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</w:t>
      </w:r>
      <w:r>
        <w:rPr>
          <w:color w:val="00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962"/>
        <w:gridCol w:w="3071"/>
        <w:gridCol w:w="4183"/>
      </w:tblGrid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4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1/4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6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1/6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8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1/8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12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1/12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20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1/20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40</w:t>
            </w:r>
          </w:p>
        </w:tc>
        <w:tc>
          <w:tcPr>
            <w:tcW w:w="41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1/40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/>
      </w:pPr>
      <w:r>
        <w:rPr>
          <w:sz w:val="24"/>
        </w:rPr>
        <w:t xml:space="preserve">Drobný nehmotný majetok od  0 Eur do 700 Eur, ktorý podľa </w:t>
      </w:r>
      <w:r>
        <w:rPr>
          <w:color w:val="000000"/>
          <w:sz w:val="24"/>
        </w:rPr>
        <w:t xml:space="preserve">vnútorného predpisu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/>
      </w:pPr>
      <w:r>
        <w:rPr>
          <w:sz w:val="24"/>
        </w:rPr>
        <w:t xml:space="preserve">Drobný hmotný majetok od 0 Eur do 700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>
      <w:pPr>
        <w:pStyle w:val="Normal"/>
        <w:jc w:val="both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22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;Tahoma"/>
          <w:b/>
          <w:bCs/>
          <w:sz w:val="22"/>
          <w:szCs w:val="22"/>
          <w:lang w:bidi="zxx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5" w:name="__Fieldmark__781_434343162"/>
      <w:bookmarkStart w:id="56" w:name="__Fieldmark__493_1079303676"/>
      <w:bookmarkStart w:id="57" w:name="__Fieldmark__96_410799141"/>
      <w:bookmarkStart w:id="58" w:name="__Fieldmark__781_434343162"/>
      <w:bookmarkStart w:id="59" w:name="__Fieldmark__781_434343162"/>
      <w:bookmarkEnd w:id="56"/>
      <w:bookmarkEnd w:id="57"/>
      <w:bookmarkEnd w:id="59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0" w:name="__Fieldmark__792_434343162"/>
      <w:bookmarkStart w:id="61" w:name="__Fieldmark__501_1079303676"/>
      <w:bookmarkStart w:id="62" w:name="__Fieldmark__97_410799141"/>
      <w:bookmarkStart w:id="63" w:name="__Fieldmark__792_434343162"/>
      <w:bookmarkStart w:id="64" w:name="__Fieldmark__792_434343162"/>
      <w:bookmarkEnd w:id="61"/>
      <w:bookmarkEnd w:id="62"/>
      <w:bookmarkEnd w:id="6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;Tahoma"/>
          <w:b/>
          <w:bCs/>
          <w:sz w:val="22"/>
          <w:szCs w:val="22"/>
          <w:lang w:bidi="zxx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5" w:name="__Fieldmark__806_434343162"/>
      <w:bookmarkStart w:id="66" w:name="__Fieldmark__512_1079303676"/>
      <w:bookmarkStart w:id="67" w:name="__Fieldmark__98_410799141"/>
      <w:bookmarkStart w:id="68" w:name="__Fieldmark__806_434343162"/>
      <w:bookmarkStart w:id="69" w:name="__Fieldmark__806_434343162"/>
      <w:bookmarkEnd w:id="66"/>
      <w:bookmarkEnd w:id="67"/>
      <w:bookmarkEnd w:id="69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0" w:name="__Fieldmark__817_434343162"/>
      <w:bookmarkStart w:id="71" w:name="__Fieldmark__520_1079303676"/>
      <w:bookmarkStart w:id="72" w:name="__Fieldmark__99_410799141"/>
      <w:bookmarkStart w:id="73" w:name="__Fieldmark__817_434343162"/>
      <w:bookmarkStart w:id="74" w:name="__Fieldmark__817_434343162"/>
      <w:bookmarkEnd w:id="71"/>
      <w:bookmarkEnd w:id="72"/>
      <w:bookmarkEnd w:id="7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;Tahoma"/>
          <w:bCs/>
          <w:sz w:val="24"/>
          <w:szCs w:val="24"/>
          <w:lang w:bidi="zxx"/>
        </w:rPr>
        <w:t>nedokončeným investíciám</w:t>
      </w:r>
      <w:r>
        <w:rPr>
          <w:rFonts w:cs="Tahoma;Tahoma"/>
          <w:b/>
          <w:bCs/>
          <w:sz w:val="24"/>
          <w:szCs w:val="24"/>
          <w:lang w:bidi="zxx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5" w:name="__Fieldmark__836_434343162"/>
      <w:bookmarkStart w:id="76" w:name="__Fieldmark__536_1079303676"/>
      <w:bookmarkStart w:id="77" w:name="__Fieldmark__100_410799141"/>
      <w:bookmarkStart w:id="78" w:name="__Fieldmark__836_434343162"/>
      <w:bookmarkStart w:id="79" w:name="__Fieldmark__836_434343162"/>
      <w:bookmarkEnd w:id="76"/>
      <w:bookmarkEnd w:id="77"/>
      <w:bookmarkEnd w:id="79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80" w:name="__Fieldmark__847_434343162"/>
      <w:bookmarkStart w:id="81" w:name="__Fieldmark__544_1079303676"/>
      <w:bookmarkStart w:id="82" w:name="__Fieldmark__101_410799141"/>
      <w:bookmarkStart w:id="83" w:name="__Fieldmark__847_434343162"/>
      <w:bookmarkStart w:id="84" w:name="__Fieldmark__847_434343162"/>
      <w:bookmarkEnd w:id="81"/>
      <w:bookmarkEnd w:id="82"/>
      <w:bookmarkEnd w:id="8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;Tahoma"/>
          <w:bCs/>
          <w:sz w:val="24"/>
          <w:szCs w:val="24"/>
          <w:lang w:bidi="zxx"/>
        </w:rPr>
        <w:t xml:space="preserve">dlhodobému finančnému majetku   </w:t>
        <w:tab/>
      </w:r>
      <w:r>
        <w:rPr>
          <w:rFonts w:cs="Tahoma;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5" w:name="__Fieldmark__864_434343162"/>
      <w:bookmarkStart w:id="86" w:name="__Fieldmark__558_1079303676"/>
      <w:bookmarkStart w:id="87" w:name="__Fieldmark__102_410799141"/>
      <w:bookmarkStart w:id="88" w:name="__Fieldmark__864_434343162"/>
      <w:bookmarkStart w:id="89" w:name="__Fieldmark__864_434343162"/>
      <w:bookmarkEnd w:id="86"/>
      <w:bookmarkEnd w:id="87"/>
      <w:bookmarkEnd w:id="89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90" w:name="__Fieldmark__875_434343162"/>
      <w:bookmarkStart w:id="91" w:name="__Fieldmark__566_1079303676"/>
      <w:bookmarkStart w:id="92" w:name="__Fieldmark__103_410799141"/>
      <w:bookmarkStart w:id="93" w:name="__Fieldmark__875_434343162"/>
      <w:bookmarkStart w:id="94" w:name="__Fieldmark__875_434343162"/>
      <w:bookmarkEnd w:id="91"/>
      <w:bookmarkEnd w:id="92"/>
      <w:bookmarkEnd w:id="9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;Tahoma"/>
          <w:bCs/>
          <w:sz w:val="24"/>
          <w:szCs w:val="24"/>
          <w:lang w:bidi="zxx"/>
        </w:rPr>
        <w:t xml:space="preserve">zásobám                                     </w:t>
        <w:tab/>
      </w:r>
      <w:r>
        <w:rPr>
          <w:rFonts w:cs="Tahoma;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5" w:name="__Fieldmark__892_434343162"/>
      <w:bookmarkStart w:id="96" w:name="__Fieldmark__580_1079303676"/>
      <w:bookmarkStart w:id="97" w:name="__Fieldmark__104_410799141"/>
      <w:bookmarkStart w:id="98" w:name="__Fieldmark__892_434343162"/>
      <w:bookmarkStart w:id="99" w:name="__Fieldmark__892_434343162"/>
      <w:bookmarkEnd w:id="96"/>
      <w:bookmarkEnd w:id="97"/>
      <w:bookmarkEnd w:id="99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0" w:name="__Fieldmark__903_434343162"/>
      <w:bookmarkStart w:id="101" w:name="__Fieldmark__588_1079303676"/>
      <w:bookmarkStart w:id="102" w:name="__Fieldmark__105_410799141"/>
      <w:bookmarkStart w:id="103" w:name="__Fieldmark__903_434343162"/>
      <w:bookmarkStart w:id="104" w:name="__Fieldmark__903_434343162"/>
      <w:bookmarkEnd w:id="101"/>
      <w:bookmarkEnd w:id="102"/>
      <w:bookmarkEnd w:id="10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2"/>
        </w:numPr>
        <w:rPr/>
      </w:pPr>
      <w:r>
        <w:rPr>
          <w:rFonts w:cs="Tahoma;Tahoma"/>
          <w:bCs/>
          <w:sz w:val="24"/>
          <w:szCs w:val="24"/>
          <w:lang w:bidi="zxx"/>
        </w:rPr>
        <w:t xml:space="preserve">pohľadávkam                                     </w:t>
        <w:tab/>
      </w:r>
      <w:r>
        <w:rPr>
          <w:rFonts w:cs="Tahoma;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5" w:name="__Fieldmark__920_434343162"/>
      <w:bookmarkStart w:id="106" w:name="__Fieldmark__602_1079303676"/>
      <w:bookmarkStart w:id="107" w:name="__Fieldmark__106_410799141"/>
      <w:bookmarkStart w:id="108" w:name="__Fieldmark__920_434343162"/>
      <w:bookmarkStart w:id="109" w:name="__Fieldmark__920_434343162"/>
      <w:bookmarkEnd w:id="106"/>
      <w:bookmarkEnd w:id="107"/>
      <w:bookmarkEnd w:id="109"/>
      <w:r>
        <w:rPr>
          <w:rFonts w:cs="Tahoma;Tahoma"/>
          <w:b/>
          <w:bCs/>
          <w:sz w:val="24"/>
          <w:szCs w:val="24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0" w:name="__Fieldmark__931_434343162"/>
      <w:bookmarkStart w:id="111" w:name="__Fieldmark__610_1079303676"/>
      <w:bookmarkStart w:id="112" w:name="__Fieldmark__107_410799141"/>
      <w:bookmarkStart w:id="113" w:name="__Fieldmark__931_434343162"/>
      <w:bookmarkStart w:id="114" w:name="__Fieldmark__931_434343162"/>
      <w:bookmarkEnd w:id="111"/>
      <w:bookmarkEnd w:id="112"/>
      <w:bookmarkEnd w:id="114"/>
      <w:r>
        <w:rPr>
          <w:rFonts w:cs="Tahoma;Tahoma"/>
          <w:b/>
          <w:bCs/>
          <w:sz w:val="22"/>
          <w:szCs w:val="22"/>
          <w:lang w:bidi="zxx"/>
        </w:rPr>
      </w:r>
      <w:r>
        <w:fldChar w:fldCharType="end"/>
      </w:r>
      <w:r>
        <w:rPr>
          <w:rFonts w:cs="Tahoma;Tahoma"/>
          <w:b/>
          <w:bCs/>
          <w:sz w:val="22"/>
          <w:szCs w:val="22"/>
          <w:lang w:bidi="zxx"/>
        </w:rPr>
        <w:t xml:space="preserve">  nie</w:t>
      </w:r>
    </w:p>
    <w:p>
      <w:pPr>
        <w:pStyle w:val="Telotextu"/>
        <w:ind w:left="0" w:hanging="0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Telotextu"/>
        <w:ind w:left="0" w:hanging="0"/>
        <w:rPr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 5 rokov</w:t>
      </w:r>
    </w:p>
    <w:p>
      <w:pPr>
        <w:pStyle w:val="Normal"/>
        <w:jc w:val="both"/>
        <w:rPr>
          <w:rFonts w:cs="Tahoma;Tahoma"/>
          <w:bCs/>
          <w:color w:val="FF0000"/>
          <w:sz w:val="22"/>
          <w:szCs w:val="22"/>
          <w:lang w:bidi="zxx"/>
        </w:rPr>
      </w:pPr>
      <w:r>
        <w:rPr>
          <w:rFonts w:cs="Tahoma;Tahoma"/>
          <w:bCs/>
          <w:color w:val="FF0000"/>
          <w:sz w:val="22"/>
          <w:szCs w:val="22"/>
          <w:lang w:bidi="zxx"/>
        </w:rPr>
      </w:r>
    </w:p>
    <w:tbl>
      <w:tblPr>
        <w:tblW w:w="10246" w:type="dxa"/>
        <w:jc w:val="left"/>
        <w:tblInd w:w="6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476"/>
        <w:gridCol w:w="8769"/>
      </w:tblGrid>
      <w:tr>
        <w:trPr/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najviac do výšky :   100  % menovitej hodnoty pohľadávky bez príslušenstva</w:t>
            </w:r>
          </w:p>
        </w:tc>
      </w:tr>
      <w:tr>
        <w:trPr/>
        <w:tc>
          <w:tcPr>
            <w:tcW w:w="14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>
      <w:pPr>
        <w:pStyle w:val="Telotextu"/>
        <w:ind w:left="0" w:hanging="0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  <w:u w:val="single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2"/>
        </w:numPr>
        <w:jc w:val="both"/>
        <w:rPr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22"/>
        </w:numPr>
        <w:jc w:val="both"/>
        <w:rPr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2"/>
        </w:numPr>
        <w:jc w:val="both"/>
        <w:rPr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2"/>
        </w:numPr>
        <w:jc w:val="both"/>
        <w:rPr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/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1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23"/>
        </w:numPr>
        <w:ind w:left="284" w:hanging="284"/>
        <w:rPr/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ind w:left="0" w:hanging="0"/>
        <w:rPr/>
      </w:pPr>
      <w:r>
        <w:rPr>
          <w:b w:val="false"/>
          <w:sz w:val="24"/>
          <w:szCs w:val="24"/>
        </w:rPr>
        <w:t xml:space="preserve">Textová časť k tabuľke č.1 </w:t>
      </w:r>
      <w:r>
        <w:rPr>
          <w:b w:val="false"/>
          <w:color w:val="FF0000"/>
          <w:sz w:val="24"/>
          <w:szCs w:val="24"/>
        </w:rPr>
        <w:t xml:space="preserve">   </w:t>
      </w:r>
    </w:p>
    <w:p>
      <w:pPr>
        <w:pStyle w:val="Pismenka"/>
        <w:ind w:left="0" w:hanging="0"/>
        <w:rPr>
          <w:b w:val="false"/>
          <w:b w:val="false"/>
          <w:color w:val="000000"/>
          <w:sz w:val="24"/>
          <w:szCs w:val="24"/>
        </w:rPr>
      </w:pPr>
      <w:r>
        <w:rPr>
          <w:b w:val="false"/>
          <w:color w:val="000000"/>
          <w:sz w:val="24"/>
          <w:szCs w:val="24"/>
        </w:rPr>
        <w:t xml:space="preserve"> </w:t>
      </w:r>
      <w:r>
        <w:rPr>
          <w:b w:val="false"/>
          <w:color w:val="000000"/>
          <w:sz w:val="24"/>
          <w:szCs w:val="24"/>
        </w:rPr>
        <w:t xml:space="preserve">V tabuľke č.1 je vykázaný prírastok na účte 021 v sume  26.760,43 €, ktorý vznikol zaradením majetku -  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000000"/>
          <w:sz w:val="24"/>
          <w:szCs w:val="24"/>
        </w:rPr>
        <w:t xml:space="preserve">LÁVKA pre peších ktorá je súčasťou Náučného chodníka pod hradom Červený Kameň a zaradením ČOV </w:t>
      </w:r>
      <w:r>
        <w:rPr>
          <w:b w:val="false"/>
          <w:color w:val="FF0000"/>
          <w:sz w:val="24"/>
          <w:szCs w:val="24"/>
        </w:rPr>
        <w:t xml:space="preserve"> </w:t>
      </w:r>
      <w:r>
        <w:rPr>
          <w:b w:val="false"/>
          <w:color w:val="000000"/>
          <w:sz w:val="24"/>
          <w:szCs w:val="24"/>
        </w:rPr>
        <w:t>do užívania.</w:t>
      </w:r>
      <w:r>
        <w:rPr>
          <w:b w:val="false"/>
          <w:color w:val="FF0000"/>
          <w:sz w:val="24"/>
          <w:szCs w:val="24"/>
        </w:rPr>
        <w:t xml:space="preserve"> </w:t>
      </w:r>
      <w:r>
        <w:rPr>
          <w:b w:val="false"/>
          <w:color w:val="000000"/>
          <w:sz w:val="24"/>
          <w:szCs w:val="24"/>
        </w:rPr>
        <w:t>V roku 2016 na účte 023 – Dopravné prostriedky vykazuje účtovná jednotka prírastok v sume 1.000 €. Uvedený prírastok predstavuje  darovanie motorového vozidla na dovoz stravy pre MŠ Píla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spôsob a výška poistenia dlhodobého nehmotného majetku a dlhodobého hmotného majetku </w:t>
      </w:r>
    </w:p>
    <w:tbl>
      <w:tblPr>
        <w:tblW w:w="10075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394"/>
        <w:gridCol w:w="5680"/>
      </w:tblGrid>
      <w:tr>
        <w:trPr/>
        <w:tc>
          <w:tcPr>
            <w:tcW w:w="4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Pre prípad </w:t>
            </w:r>
            <w:r>
              <w:rPr>
                <w:b w:val="false"/>
                <w:bCs w:val="false"/>
                <w:sz w:val="22"/>
                <w:szCs w:val="22"/>
              </w:rPr>
              <w:t>požiaru</w:t>
            </w:r>
          </w:p>
        </w:tc>
        <w:tc>
          <w:tcPr>
            <w:tcW w:w="5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418262 Eur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sz w:val="22"/>
                <w:szCs w:val="22"/>
              </w:rPr>
              <w:t>voda</w:t>
            </w:r>
          </w:p>
        </w:tc>
        <w:tc>
          <w:tcPr>
            <w:tcW w:w="5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418262 Eur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víchrica</w:t>
            </w:r>
          </w:p>
        </w:tc>
        <w:tc>
          <w:tcPr>
            <w:tcW w:w="5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418262 Eur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vandalizmus</w:t>
            </w:r>
          </w:p>
        </w:tc>
        <w:tc>
          <w:tcPr>
            <w:tcW w:w="5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272000 Eur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6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23"/>
        </w:numPr>
        <w:ind w:left="284" w:hanging="284"/>
        <w:rPr/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  :  nemáme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220"/>
        <w:gridCol w:w="4995"/>
      </w:tblGrid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Pozemky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20005,73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885850,60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>Stroje, prístroje, zariadenia, inventár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5137,85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/>
              <w:t xml:space="preserve">Dopravné prostriedky 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2716,72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  <w:t>Softvér</w:t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1030,99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9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1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ind w:left="0" w:hanging="0"/>
        <w:rPr/>
      </w:pPr>
      <w:r>
        <w:rPr>
          <w:b w:val="false"/>
          <w:sz w:val="24"/>
          <w:szCs w:val="24"/>
        </w:rPr>
        <w:t xml:space="preserve">Textová časť k tabuľke č.1 </w:t>
      </w:r>
    </w:p>
    <w:p>
      <w:pPr>
        <w:pStyle w:val="Pismenka"/>
        <w:ind w:left="0" w:hanging="0"/>
        <w:rPr/>
      </w:pPr>
      <w:r>
        <w:rPr>
          <w:b w:val="false"/>
          <w:sz w:val="24"/>
          <w:szCs w:val="24"/>
        </w:rPr>
        <w:t>Obec vlastní cenné papiere BVS,a.s. Bratislava v celkovej hodnote : 91737,16 Eur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6"/>
        </w:numPr>
        <w:ind w:left="284" w:hanging="284"/>
        <w:rPr/>
      </w:pPr>
      <w:r>
        <w:rPr>
          <w:b w:val="false"/>
          <w:sz w:val="24"/>
          <w:szCs w:val="24"/>
        </w:rPr>
        <w:t>opis dôvodov zvýšenia, zníženia a zrušenia opravných položiek k dlhodobému finančnému</w:t>
      </w:r>
      <w:r>
        <w:rPr/>
        <w:t xml:space="preserve">  majetku </w:t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     </w:t>
      </w:r>
      <w:r>
        <w:rPr>
          <w:b/>
        </w:rPr>
        <w:t>- žiadne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spoločnostiach, v ktorých má účtovná jednotka majetkový podiel (riadky 025 až 026 súvahy): </w:t>
      </w:r>
      <w:r>
        <w:rPr>
          <w:b/>
          <w:bCs/>
          <w:sz w:val="24"/>
          <w:szCs w:val="24"/>
        </w:rPr>
        <w:t>žiadne</w:t>
      </w:r>
    </w:p>
    <w:p>
      <w:pPr>
        <w:pStyle w:val="Normal"/>
        <w:numPr>
          <w:ilvl w:val="0"/>
          <w:numId w:val="1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1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7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340"/>
        <w:gridCol w:w="901"/>
        <w:gridCol w:w="1079"/>
        <w:gridCol w:w="1260"/>
        <w:gridCol w:w="1081"/>
        <w:gridCol w:w="1799"/>
        <w:gridCol w:w="1809"/>
      </w:tblGrid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Názov emitenta</w:t>
            </w:r>
          </w:p>
          <w:p>
            <w:pPr>
              <w:pStyle w:val="Normal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9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jc w:val="center"/>
              <w:rPr/>
            </w:pPr>
            <w:r>
              <w:rPr/>
              <w:t>cenného papiera</w:t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Výnos v %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2016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2015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  <w:t>BVS,a.s. Bratislava</w:t>
            </w:r>
          </w:p>
        </w:tc>
        <w:tc>
          <w:tcPr>
            <w:tcW w:w="9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Euro</w:t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91737,16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91737,16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01</w:t>
            </w:r>
          </w:p>
        </w:tc>
        <w:tc>
          <w:tcPr>
            <w:tcW w:w="9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0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7"/>
        </w:numPr>
        <w:ind w:left="284" w:hanging="284"/>
        <w:rPr/>
      </w:pPr>
      <w:r>
        <w:rPr>
          <w:b w:val="false"/>
          <w:sz w:val="24"/>
          <w:szCs w:val="24"/>
        </w:rPr>
        <w:t>dlhodobé pôžičky (riadky 029 až 030 súvahy)</w:t>
      </w:r>
      <w:r>
        <w:rPr/>
        <w:t>:  nemáme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nemáme</w:t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>
      <w:pPr>
        <w:pStyle w:val="Normal"/>
        <w:numPr>
          <w:ilvl w:val="0"/>
          <w:numId w:val="14"/>
        </w:numPr>
        <w:ind w:left="284" w:hanging="284"/>
        <w:rPr/>
      </w:pPr>
      <w:r>
        <w:rPr>
          <w:b/>
          <w:sz w:val="24"/>
          <w:szCs w:val="24"/>
        </w:rPr>
        <w:t>Zásoby</w:t>
      </w:r>
      <w:r>
        <w:rPr>
          <w:b w:val="false"/>
          <w:sz w:val="24"/>
          <w:szCs w:val="24"/>
        </w:rPr>
        <w:t xml:space="preserve">  :  nemáme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14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  <w:t xml:space="preserve"> </w:t>
      </w:r>
    </w:p>
    <w:tbl>
      <w:tblPr>
        <w:tblW w:w="1027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692"/>
        <w:gridCol w:w="1559"/>
        <w:gridCol w:w="2269"/>
        <w:gridCol w:w="3749"/>
      </w:tblGrid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068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944,54</w:t>
            </w:r>
          </w:p>
        </w:tc>
        <w:tc>
          <w:tcPr>
            <w:tcW w:w="37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za komun.odpady, prenájom budov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069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204,20</w:t>
            </w:r>
          </w:p>
        </w:tc>
        <w:tc>
          <w:tcPr>
            <w:tcW w:w="37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 z nehnuteľnosti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Transfery a ost.zúčt.so sub.mimo VS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084</w:t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1000,00</w:t>
            </w:r>
          </w:p>
        </w:tc>
        <w:tc>
          <w:tcPr>
            <w:tcW w:w="37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Transfer poskytnutý OZ Priatelia Píly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37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Textová časť k tabuľke č.3  V roku 2013 obec tvorila opravné položky k pohľadávkam z daňových a nedaňových príjmov</w:t>
      </w:r>
    </w:p>
    <w:p>
      <w:pPr>
        <w:pStyle w:val="Pismenka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 </w:t>
      </w:r>
    </w:p>
    <w:p>
      <w:pPr>
        <w:pStyle w:val="Pismenka"/>
        <w:ind w:left="0" w:hanging="0"/>
        <w:rPr>
          <w:b w:val="false"/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tbl>
      <w:tblPr>
        <w:tblW w:w="10216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186"/>
        <w:gridCol w:w="2084"/>
        <w:gridCol w:w="4946"/>
      </w:tblGrid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93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Dôvod tvorby,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  <w:t>318 010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79,64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Z dôvodu rizika,že dlžník nezaplatí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  <w:t>319 001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39,78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Z dôvodu rizika ,že dlžník nezaplatí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  <w:t>319 010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39,78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Z dôvodu rizika ,že dlžník nezaplatí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>
                <w:b/>
                <w:b/>
              </w:rPr>
            </w:pPr>
            <w:r>
              <w:rPr>
                <w:b/>
              </w:rPr>
              <w:t>319 020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39,78</w:t>
            </w:r>
          </w:p>
        </w:tc>
        <w:tc>
          <w:tcPr>
            <w:tcW w:w="4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Z dôvodu rizika ,že dlžník nezaplatí</w:t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hanging="284"/>
        <w:rPr/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Textová časť k tabuľke č.4  :  Jedná sa o pohľadávky krátkodobé po lehote splatnosti vo výške :2148,74 Eur / poplatky za odpady, prenájom budov, dan z nehnuteľnosti/</w:t>
      </w:r>
    </w:p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numPr>
          <w:ilvl w:val="0"/>
          <w:numId w:val="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false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:  </w:t>
      </w:r>
      <w:r>
        <w:rPr>
          <w:sz w:val="20"/>
          <w:szCs w:val="20"/>
        </w:rPr>
        <w:t xml:space="preserve">nemáme  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hanging="284"/>
        <w:rPr/>
      </w:pPr>
      <w:r>
        <w:rPr>
          <w:b w:val="false"/>
          <w:sz w:val="24"/>
          <w:szCs w:val="24"/>
        </w:rPr>
        <w:t>pohľadávky, na ktoré sa zriadilo záložné právo a výška pohľadávok, pri ktorých má účtovná jednotka obmedzené právo s nimi nakladať</w:t>
      </w:r>
      <w:r>
        <w:rPr/>
        <w:t xml:space="preserve">  :  </w:t>
      </w:r>
      <w:r>
        <w:rPr>
          <w:sz w:val="20"/>
          <w:szCs w:val="20"/>
        </w:rPr>
        <w:t>nemáme</w:t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4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961"/>
        <w:gridCol w:w="5254"/>
      </w:tblGrid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Bankové účty  /221…/</w:t>
            </w:r>
          </w:p>
        </w:tc>
        <w:tc>
          <w:tcPr>
            <w:tcW w:w="5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26.345,20 Eur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  <w:t>Pokladnica /211 /</w:t>
            </w:r>
          </w:p>
        </w:tc>
        <w:tc>
          <w:tcPr>
            <w:tcW w:w="5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843,66  Eur</w:t>
            </w:r>
          </w:p>
        </w:tc>
      </w:tr>
      <w:tr>
        <w:trPr/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5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 : nemáme</w:t>
      </w:r>
    </w:p>
    <w:p>
      <w:pPr>
        <w:pStyle w:val="Normal"/>
        <w:ind w:left="36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4"/>
        </w:numPr>
        <w:ind w:left="284" w:hanging="284"/>
        <w:rPr/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  <w:r>
        <w:rPr>
          <w:b/>
          <w:sz w:val="24"/>
          <w:szCs w:val="24"/>
        </w:rPr>
        <w:t>žiadne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4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668"/>
        <w:gridCol w:w="2410"/>
        <w:gridCol w:w="2138"/>
      </w:tblGrid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color w:val="FF0000"/>
              </w:rPr>
            </w:pPr>
            <w:r>
              <w:rPr>
                <w:b/>
                <w:color w:val="FF0000"/>
              </w:rPr>
              <w:t>Zostatok k 31.12.2015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208,62</w:t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494,30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  <w:t xml:space="preserve">Náklady na údržbu softvéru KEO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208,62</w:t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216,30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  <w:t>Členský príspevok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278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A  Vlastné imanie - tabuľka č.5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542"/>
        <w:gridCol w:w="6673"/>
      </w:tblGrid>
      <w:tr>
        <w:trPr/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>
        <w:trPr/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Nevyspor. Výsledok hosp.z min.rokov</w:t>
            </w:r>
          </w:p>
        </w:tc>
        <w:tc>
          <w:tcPr>
            <w:tcW w:w="6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231736,23</w:t>
            </w:r>
          </w:p>
        </w:tc>
      </w:tr>
      <w:tr>
        <w:trPr/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za účt.obdobie</w:t>
            </w:r>
          </w:p>
        </w:tc>
        <w:tc>
          <w:tcPr>
            <w:tcW w:w="6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11330,39</w:t>
            </w:r>
          </w:p>
        </w:tc>
      </w:tr>
      <w:tr>
        <w:trPr/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6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6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3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6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1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Predpokladaný rok použitia rezerv a opis významných položiek rezerv : </w:t>
      </w:r>
    </w:p>
    <w:tbl>
      <w:tblPr>
        <w:tblW w:w="10216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229"/>
        <w:gridCol w:w="2986"/>
      </w:tblGrid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položky </w:t>
            </w:r>
            <w:r>
              <w:rPr>
                <w:b/>
                <w:color w:val="000000"/>
              </w:rPr>
              <w:t xml:space="preserve">/ Suma v €    </w:t>
            </w:r>
            <w:r>
              <w:rPr>
                <w:b/>
              </w:rPr>
              <w:t xml:space="preserve">       </w:t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</w:rPr>
              <w:t>Rezerva na overenie účtovníctva audítorom  - 650 Eur</w:t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2017</w:t>
            </w:r>
          </w:p>
        </w:tc>
      </w:tr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"/>
        </w:numPr>
        <w:ind w:left="284" w:hanging="284"/>
        <w:rPr/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: </w:t>
      </w:r>
    </w:p>
    <w:p>
      <w:pPr>
        <w:pStyle w:val="Pismenka"/>
        <w:ind w:left="0" w:hanging="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1"/>
          <w:szCs w:val="21"/>
        </w:rPr>
        <w:t>Záväzky obce tvoria : Dlhodobé záväzky zo soc.fondu /472/ vo výške 91,23 Eur,Krátkodobé záväzky : neuhradené FA k 31.12.2016 /321/ Dodávatelia vo výške 710,84 Eur, mzdy zamestnancov /331/ za mesiac 12/2016 vo výške :</w:t>
      </w:r>
      <w:r>
        <w:rPr>
          <w:b w:val="false"/>
          <w:sz w:val="22"/>
          <w:szCs w:val="22"/>
        </w:rPr>
        <w:t>3881,91Eur, odvody poistného na zdravotné a sociálne zabezpečenie /336/ za mesiac 12/2016 vo výške 2322,14 Eur</w:t>
      </w:r>
    </w:p>
    <w:p>
      <w:pPr>
        <w:pStyle w:val="Pismenka"/>
        <w:ind w:left="0" w:hanging="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>Odvod daní /342/ za mesiac 12/2016 vo výške 272,42 Eur a iné záväzky /379/ vo výške :344,24 Eur.</w:t>
      </w:r>
    </w:p>
    <w:p>
      <w:pPr>
        <w:pStyle w:val="Pismenka"/>
        <w:ind w:left="284" w:hanging="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 xml:space="preserve">  </w:t>
      </w:r>
    </w:p>
    <w:p>
      <w:pPr>
        <w:pStyle w:val="Pismenka"/>
        <w:numPr>
          <w:ilvl w:val="0"/>
          <w:numId w:val="0"/>
        </w:numPr>
        <w:ind w:left="426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 xml:space="preserve">Textová časť k tabuľke č.9 </w:t>
      </w:r>
      <w:r>
        <w:rPr>
          <w:b w:val="false"/>
          <w:color w:val="FF0000"/>
          <w:sz w:val="24"/>
          <w:szCs w:val="24"/>
        </w:rPr>
        <w:t xml:space="preserve"> </w:t>
      </w:r>
      <w:r>
        <w:rPr>
          <w:b w:val="false"/>
          <w:color w:val="000000"/>
          <w:sz w:val="24"/>
          <w:szCs w:val="24"/>
        </w:rPr>
        <w:t>V roku 2015 obec prijala bankový úver na stavbu : Náučný chodník</w:t>
      </w:r>
    </w:p>
    <w:p>
      <w:pPr>
        <w:pStyle w:val="Pismenka"/>
        <w:ind w:left="0" w:hanging="0"/>
        <w:jc w:val="left"/>
        <w:rPr/>
      </w:pPr>
      <w:r>
        <w:rPr>
          <w:b w:val="false"/>
          <w:color w:val="000000"/>
          <w:sz w:val="24"/>
          <w:szCs w:val="24"/>
        </w:rPr>
        <w:t xml:space="preserve"> </w:t>
      </w:r>
      <w:r>
        <w:rPr>
          <w:b w:val="false"/>
          <w:color w:val="000000"/>
          <w:sz w:val="24"/>
          <w:szCs w:val="24"/>
        </w:rPr>
        <w:t>pod hradom Červený Kameň  v sume  : 25.000 € s úrokovou sadzbou  1,70 % na základe uznesenia</w:t>
      </w:r>
      <w:r>
        <w:rPr>
          <w:b w:val="false"/>
          <w:color w:val="FF0000"/>
          <w:sz w:val="24"/>
          <w:szCs w:val="24"/>
        </w:rPr>
        <w:t xml:space="preserve">   </w:t>
      </w:r>
      <w:r>
        <w:rPr>
          <w:b w:val="false"/>
          <w:color w:val="000000"/>
          <w:sz w:val="24"/>
          <w:szCs w:val="24"/>
        </w:rPr>
        <w:t xml:space="preserve">Obecného </w:t>
      </w:r>
      <w:r>
        <w:rPr>
          <w:b w:val="false"/>
          <w:color w:val="000000"/>
          <w:sz w:val="24"/>
          <w:szCs w:val="24"/>
        </w:rPr>
        <w:t>zastupiteľstva č.</w:t>
      </w:r>
      <w:r>
        <w:rPr>
          <w:b w:val="false"/>
          <w:color w:val="000000"/>
          <w:sz w:val="24"/>
          <w:szCs w:val="24"/>
        </w:rPr>
        <w:t>12/2015</w:t>
      </w:r>
      <w:r>
        <w:rPr>
          <w:b w:val="false"/>
          <w:color w:val="000000"/>
          <w:sz w:val="24"/>
          <w:szCs w:val="24"/>
        </w:rPr>
        <w:t xml:space="preserve"> zo dňa  </w:t>
      </w:r>
      <w:r>
        <w:rPr>
          <w:b w:val="false"/>
          <w:color w:val="000000"/>
          <w:sz w:val="24"/>
          <w:szCs w:val="24"/>
        </w:rPr>
        <w:t>27.5.2015</w:t>
      </w:r>
    </w:p>
    <w:p>
      <w:pPr>
        <w:pStyle w:val="Pismenka"/>
        <w:ind w:left="425" w:hanging="425"/>
        <w:rPr>
          <w:b w:val="false"/>
          <w:b w:val="false"/>
          <w:color w:val="000000"/>
          <w:sz w:val="24"/>
          <w:szCs w:val="24"/>
        </w:rPr>
      </w:pPr>
      <w:r>
        <w:rPr>
          <w:b w:val="false"/>
          <w:color w:val="000000"/>
          <w:sz w:val="24"/>
          <w:szCs w:val="24"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500"/>
        <w:gridCol w:w="5857"/>
      </w:tblGrid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bankového úveru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widowControl/>
              <w:bidi w:val="0"/>
              <w:snapToGrid w:val="false"/>
              <w:ind w:left="0" w:right="0" w:hanging="0"/>
              <w:jc w:val="both"/>
              <w:rPr>
                <w:b/>
                <w:b/>
              </w:rPr>
            </w:pPr>
            <w:r>
              <w:rPr>
                <w:b/>
              </w:rPr>
              <w:t>Dlhodobý investičný úver</w:t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Blankozmenkou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5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hanging="284"/>
        <w:rPr/>
      </w:pPr>
      <w:r>
        <w:rPr>
          <w:sz w:val="24"/>
          <w:szCs w:val="24"/>
        </w:rPr>
        <w:t xml:space="preserve">prijaté dlhodobé návratné finančné výpomoci </w:t>
      </w:r>
      <w:r>
        <w:rPr/>
        <w:t>a krátkodobé návratné finančné výpomoci  : žiadne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popis významných položiek časového rozlíšenia výdavkov budúcich období a výnosov budúcich                období </w:t>
      </w:r>
    </w:p>
    <w:tbl>
      <w:tblPr>
        <w:tblW w:w="10358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529"/>
        <w:gridCol w:w="2409"/>
        <w:gridCol w:w="2420"/>
      </w:tblGrid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 k 31.12.2016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31.12.2015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Výnosy budúcich období spolu  z toho :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bCs/>
              </w:rPr>
            </w:pPr>
            <w:r>
              <w:rPr>
                <w:b/>
                <w:bCs/>
              </w:rPr>
              <w:t>525005,46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bCs/>
              </w:rPr>
            </w:pPr>
            <w:r>
              <w:rPr>
                <w:b/>
                <w:bCs/>
              </w:rPr>
              <w:t>548187,26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 hrobových miest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2620,29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1231,17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 w:val="false"/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Výnosy EÚ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372248,61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395501,65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Výnosy ŠR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129563,88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130337,68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Ostatné výnosy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20572,68</w:t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21116,76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1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prijatých kapitálových transferoch zaúčtovaných na účte 384 </w:t>
      </w:r>
    </w:p>
    <w:tbl>
      <w:tblPr>
        <w:tblW w:w="10357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5529"/>
        <w:gridCol w:w="2409"/>
        <w:gridCol w:w="2419"/>
      </w:tblGrid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31.12.2016</w:t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31.12.2015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BSK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8000</w:t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4000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Minist.pôdohosp.SR /EÚ/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221492,39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Minist.pôdohosp. SR /ŠR/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0</w:t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  <w:t>26057,94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4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/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73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096"/>
        <w:gridCol w:w="2268"/>
        <w:gridCol w:w="2009"/>
      </w:tblGrid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color w:val="FF0000"/>
              </w:rPr>
            </w:pPr>
            <w:r>
              <w:rPr>
                <w:b/>
                <w:color w:val="FF0000"/>
              </w:rPr>
              <w:t>Suma k 31.12.2016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  <w:color w:val="FF0000"/>
              </w:rPr>
            </w:pPr>
            <w:r>
              <w:rPr>
                <w:b/>
                <w:color w:val="FF0000"/>
              </w:rPr>
              <w:t>Suma k 31.12.2015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4276,07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2982,82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602 - Tržby z predaja služieb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za hrob.miesta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prenájom ...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ost.služby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4276,07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123,11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3959,00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193,96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2982,82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198,70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2734,12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624 - Aktivácia DHM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126955,70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114166,82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632 - Daňové výnosy samosprávy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podielové dane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daň z nehnuteľností 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daň za psa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daň za užívanie verej.priestr.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daň za predajné automaty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116115,85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109914,30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5810,29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320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71,26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103221,85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96882,75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5922,26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330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77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9,84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633 - Výnosy z poplatkov 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správne poplatky 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KO a DSO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Ost.popl.za služby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10839,85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433,50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8328,85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2077,50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10944,97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334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8310,97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2300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717,99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787,59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665 – Dividendy z CP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717,29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685,62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662 - Úroky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0,70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1,97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668 - Ostatné finančné výnosy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672 - Náhrady škôd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46129,27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42236,00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691 - Výnosy z bežných transferov z rozpočtu obce, VÚC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693 - Výnosy samosprávy z bežných transferov zo ŠR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bežný transfer na 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11758,35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8261,34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694 - Výnosy samosprávy z kapitálových transferov zo ŠR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33026,84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27811,26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695 - Výnosy samosprávy z bežných transferov od EÚ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403,92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696 - Výnosy samosprávy z kapitálových transferov od EÚ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697 - Výnosy samosprávy z bežných transferov od ostatných subjektov mimo verejnej správy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800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5300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698 - Výnosy samosprávy z kapitálových transferov od ostatných subjektov mimo verejnej správy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544,08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459,48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699 - Výnosy samosprávy  z odvodu rozpočtových príjmov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zinkasované príjmy RO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510,53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1230,00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641 – Tržby z predaja DHM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1130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300,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648 - Ostatné výnosy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210,53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5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650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650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653 - Zúčtovanie ostatných rezerv z prevádzkovej činnosti 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650</w:t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650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0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42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094"/>
        <w:gridCol w:w="2268"/>
        <w:gridCol w:w="2280"/>
      </w:tblGrid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color w:val="FF0000"/>
              </w:rPr>
              <w:t>Suma k 31.12.2016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color w:val="FF0000"/>
              </w:rPr>
              <w:t>Suma k 31.12.2015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15715,08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16749,36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9731,52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10585,67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502 - Spotreba energie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elektrická energia, plyn,voda</w:t>
            </w:r>
          </w:p>
          <w:p>
            <w:pPr>
              <w:pStyle w:val="Normal"/>
              <w:numPr>
                <w:ilvl w:val="0"/>
                <w:numId w:val="0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5983,56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6163,69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25723,74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22559,37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511 - Opravy a udržiavanie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512 - Cestovné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226,96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260,64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513 - Náklady na reprezentáciu 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695,44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911,97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518 - Ostatné služby 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24801,34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21386,76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81442,80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68374,15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58417,28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49504,75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20144,55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16651,51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2880,97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2217,89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56,83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127,83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538 - Ostatné dane a poplatky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56,83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127,83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41409,37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35566,00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551 - Odpisy  DNM a DHM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odpisy z vlastných zdrojov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40759,37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34916,00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553 - Tvorba ostatných rezerv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650,00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650,00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k daňovým pohľadávkam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1823,37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2026,38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562 - Úroky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181,33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153,14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568 - Ostatné finančné náklady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1642,04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1873,24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572 - Škody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1025,00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586 - Náklady na transfery z rozpočtu obce, VÚC subj.mimo VS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  <w:t>bežný transfer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1025,00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1025,00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100,00</w:t>
            </w:r>
          </w:p>
          <w:p>
            <w:pPr>
              <w:pStyle w:val="Normal"/>
              <w:snapToGrid w:val="false"/>
              <w:jc w:val="right"/>
              <w:rPr/>
            </w:pPr>
            <w:r>
              <w:rPr/>
              <w:t>100,00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>
                <w:b/>
                <w:b/>
              </w:rPr>
            </w:pPr>
            <w:r>
              <w:rPr>
                <w:b/>
              </w:rPr>
              <w:t>712,89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1358,64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314,14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546 - Odpis pohľadávky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548 - Ostatné náklady na prevádzkovú činnosť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712,89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1044,50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rPr/>
            </w:pPr>
            <w:r>
              <w:rPr/>
              <w:t>549 - Manká a škody</w:t>
            </w:r>
          </w:p>
          <w:p>
            <w:pPr>
              <w:pStyle w:val="Normal"/>
              <w:numPr>
                <w:ilvl w:val="0"/>
                <w:numId w:val="22"/>
              </w:numPr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numPr>
                <w:ilvl w:val="0"/>
                <w:numId w:val="8"/>
              </w:numPr>
              <w:ind w:left="185" w:hanging="185"/>
              <w:rPr/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rPr/>
            </w:pPr>
            <w:r>
              <w:rPr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ind w:left="284" w:hanging="284"/>
        <w:rPr>
          <w:b/>
          <w:b/>
          <w:strike/>
          <w:color w:val="FF0000"/>
          <w:sz w:val="24"/>
          <w:szCs w:val="24"/>
        </w:rPr>
      </w:pPr>
      <w:r>
        <w:rPr>
          <w:b/>
          <w:strike/>
          <w:color w:val="FF0000"/>
          <w:sz w:val="24"/>
          <w:szCs w:val="24"/>
        </w:rPr>
      </w:r>
    </w:p>
    <w:p>
      <w:pPr>
        <w:pStyle w:val="Normal"/>
        <w:numPr>
          <w:ilvl w:val="0"/>
          <w:numId w:val="0"/>
        </w:numPr>
        <w:ind w:left="284" w:hanging="284"/>
        <w:rPr/>
      </w:pPr>
      <w:r>
        <w:rPr>
          <w:b/>
          <w:bCs/>
          <w:sz w:val="24"/>
          <w:szCs w:val="24"/>
        </w:rPr>
        <w:t xml:space="preserve">3. </w:t>
      </w:r>
      <w:r>
        <w:rPr/>
        <w:t>Tržby a výrobné náklady príspevkových organizácií  : Obec nemá zriadenú príspevkovú organizáciu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Pismenka"/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/>
      </w:pPr>
      <w:r>
        <w:rPr>
          <w:b/>
          <w:sz w:val="24"/>
          <w:szCs w:val="24"/>
        </w:rPr>
        <w:t>Majetok a záväzky zabezpečené derivátmi  :  nemáme</w:t>
      </w:r>
    </w:p>
    <w:tbl>
      <w:tblPr>
        <w:tblW w:w="10090" w:type="dxa"/>
        <w:jc w:val="left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138"/>
        <w:gridCol w:w="3061"/>
        <w:gridCol w:w="2891"/>
      </w:tblGrid>
      <w:tr>
        <w:trPr/>
        <w:tc>
          <w:tcPr>
            <w:tcW w:w="4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F2F2F2" w:val="clear"/>
            <w:tcMar>
              <w:left w:w="55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Forma zabezpečenia</w:t>
            </w:r>
          </w:p>
        </w:tc>
      </w:tr>
      <w:tr>
        <w:trPr/>
        <w:tc>
          <w:tcPr>
            <w:tcW w:w="4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4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4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8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Pismenka"/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false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Pismenka"/>
        <w:ind w:left="0" w:hanging="0"/>
        <w:rPr/>
      </w:pPr>
      <w:r>
        <w:rPr>
          <w:b w:val="false"/>
          <w:color w:val="FF0000"/>
          <w:sz w:val="24"/>
          <w:szCs w:val="24"/>
        </w:rPr>
        <w:t xml:space="preserve">    </w:t>
      </w:r>
      <w:r>
        <w:rPr>
          <w:b w:val="false"/>
          <w:color w:val="000000"/>
          <w:sz w:val="24"/>
          <w:szCs w:val="24"/>
        </w:rPr>
        <w:t xml:space="preserve"> </w:t>
      </w:r>
      <w:r>
        <w:rPr>
          <w:b w:val="false"/>
          <w:color w:val="000000"/>
          <w:sz w:val="24"/>
          <w:szCs w:val="24"/>
        </w:rPr>
        <w:t>- nemáme</w:t>
      </w:r>
    </w:p>
    <w:p>
      <w:pPr>
        <w:pStyle w:val="Pismenka"/>
        <w:rPr/>
      </w:pPr>
      <w:r>
        <w:rPr>
          <w:b w:val="false"/>
          <w:sz w:val="24"/>
          <w:szCs w:val="24"/>
        </w:rPr>
        <w:t>.</w:t>
      </w:r>
    </w:p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false"/>
          <w:sz w:val="24"/>
          <w:szCs w:val="24"/>
        </w:rPr>
        <w:t xml:space="preserve"> v správe alebo vo vlastníctve účtovnej jednotky - tabuľka č.11</w:t>
      </w:r>
    </w:p>
    <w:p>
      <w:pPr>
        <w:pStyle w:val="Pismenka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č.11  :  nemáme </w:t>
      </w:r>
    </w:p>
    <w:p>
      <w:pPr>
        <w:pStyle w:val="Pismenka"/>
        <w:jc w:val="left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>
      <w:pPr>
        <w:pStyle w:val="Normal"/>
        <w:rPr/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>
      <w:pPr>
        <w:pStyle w:val="Pismenka"/>
        <w:ind w:left="0" w:hanging="0"/>
        <w:jc w:val="left"/>
        <w:rPr/>
      </w:pPr>
      <w:r>
        <w:rPr>
          <w:b w:val="false"/>
          <w:sz w:val="24"/>
          <w:szCs w:val="24"/>
        </w:rPr>
        <w:t>Textová časť k tabuľke č.10 : nemáme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numPr>
          <w:ilvl w:val="0"/>
          <w:numId w:val="6"/>
        </w:numPr>
        <w:ind w:left="284" w:hanging="284"/>
        <w:rPr/>
      </w:pPr>
      <w:r>
        <w:rPr>
          <w:b/>
          <w:sz w:val="24"/>
          <w:szCs w:val="24"/>
        </w:rPr>
        <w:t>Informácie o spriaznených osobách a o ekonomických vzťahoch účtovnej jednotky a spriaznených osôb : žiadne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color w:val="800000"/>
          <w:sz w:val="24"/>
          <w:szCs w:val="24"/>
        </w:rPr>
        <w:t xml:space="preserve"> </w:t>
      </w:r>
      <w:r>
        <w:rPr>
          <w:sz w:val="24"/>
          <w:szCs w:val="24"/>
        </w:rPr>
        <w:t>bol schválený</w:t>
      </w:r>
      <w:r>
        <w:rPr>
          <w:color w:val="000000"/>
          <w:sz w:val="24"/>
          <w:szCs w:val="24"/>
        </w:rPr>
        <w:t xml:space="preserve"> obecným</w:t>
      </w:r>
      <w:r>
        <w:rPr>
          <w:color w:val="80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31.3.2016  uznesením č. 1/2016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12"/>
        </w:numPr>
        <w:jc w:val="both"/>
        <w:rPr/>
      </w:pPr>
      <w:r>
        <w:rPr>
          <w:sz w:val="24"/>
          <w:szCs w:val="24"/>
        </w:rPr>
        <w:t>prvá  zmena  schválená dňa 28.4.2016  uznesením č. 2/2016</w:t>
      </w:r>
    </w:p>
    <w:p>
      <w:pPr>
        <w:pStyle w:val="Normal"/>
        <w:numPr>
          <w:ilvl w:val="0"/>
          <w:numId w:val="12"/>
        </w:numPr>
        <w:jc w:val="both"/>
        <w:rPr/>
      </w:pPr>
      <w:r>
        <w:rPr>
          <w:sz w:val="24"/>
          <w:szCs w:val="24"/>
        </w:rPr>
        <w:t>druhá zmena schválená dňa 28.10.2016 uznesením č. 7/2016</w:t>
      </w:r>
    </w:p>
    <w:p>
      <w:pPr>
        <w:pStyle w:val="Normal"/>
        <w:numPr>
          <w:ilvl w:val="0"/>
          <w:numId w:val="12"/>
        </w:numPr>
        <w:jc w:val="both"/>
        <w:rPr/>
      </w:pPr>
      <w:r>
        <w:rPr>
          <w:sz w:val="24"/>
          <w:szCs w:val="24"/>
        </w:rPr>
        <w:t>tretia zmena  schválená dňa 28.10.2016 uznesením č. 8/2016</w:t>
      </w:r>
    </w:p>
    <w:p>
      <w:pPr>
        <w:pStyle w:val="Normal"/>
        <w:numPr>
          <w:ilvl w:val="0"/>
          <w:numId w:val="12"/>
        </w:numPr>
        <w:jc w:val="both"/>
        <w:rPr/>
      </w:pPr>
      <w:r>
        <w:rPr>
          <w:sz w:val="24"/>
          <w:szCs w:val="24"/>
        </w:rPr>
        <w:t>štvrtá zmena  schválená dňa 16.12.2016 uznesením č. 9/2016</w:t>
      </w:r>
    </w:p>
    <w:p>
      <w:pPr>
        <w:pStyle w:val="Normal"/>
        <w:numPr>
          <w:ilvl w:val="0"/>
          <w:numId w:val="12"/>
        </w:numPr>
        <w:jc w:val="both"/>
        <w:rPr/>
      </w:pPr>
      <w:r>
        <w:rPr>
          <w:sz w:val="24"/>
          <w:szCs w:val="24"/>
        </w:rPr>
        <w:t>piata  zmena  schválená dňa 28.12.2016 rozpočtovým opatrením č.5/2016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206" w:type="dxa"/>
        <w:jc w:val="left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</w:tblPr>
      <w:tblGrid>
        <w:gridCol w:w="10206"/>
      </w:tblGrid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/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 xml:space="preserve">PLNENIE ROZPOČTU :        Schválený rozpočet               Upravený rozpočet                   Plnenie 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/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/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 xml:space="preserve"> </w:t>
            </w:r>
            <w:r>
              <w:rPr>
                <w:b w:val="false"/>
                <w:bCs w:val="false"/>
                <w:sz w:val="21"/>
                <w:szCs w:val="21"/>
              </w:rPr>
              <w:t>BEŽNÉ PRÍJMY                              142 327,00                                145 246,00                      145 243,93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 xml:space="preserve">KAPIT. PRÍJMY :                               61 000,00                                    8 000,00                         8 000,00       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FIN. OPERÁCIE:                               18 926,00                                  18 926,00                          1 100,00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 xml:space="preserve"> </w:t>
            </w:r>
            <w:r>
              <w:rPr>
                <w:b/>
                <w:bCs/>
                <w:sz w:val="21"/>
                <w:szCs w:val="21"/>
              </w:rPr>
              <w:t>SPOLU  :                                           222 253,00                                 172 172,00                      154 343,93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BEŽNÉ VÝDAVKY :                       137 670,00                                126 741,00                      126 743,59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KAPIT. VÝDAVKY :                          69 500,00                                   16 678,00                        16 677,53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FIN. OPERÁCIE :                                4 500,00                                     4 500,00                          4 500,00</w:t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</w:r>
          </w:p>
        </w:tc>
      </w:tr>
      <w:tr>
        <w:trPr/>
        <w:tc>
          <w:tcPr>
            <w:tcW w:w="1020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51" w:type="dxa"/>
            </w:tcMar>
          </w:tcPr>
          <w:p>
            <w:pPr>
              <w:pStyle w:val="Normal"/>
              <w:jc w:val="both"/>
              <w:rPr>
                <w:b/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SPOLU :                                            211 670,00                                 147 919,00                        147 921,12  </w:t>
            </w:r>
          </w:p>
        </w:tc>
      </w:tr>
    </w:tbl>
    <w:p>
      <w:pPr>
        <w:pStyle w:val="Normal"/>
        <w:jc w:val="both"/>
        <w:rPr>
          <w:b w:val="false"/>
          <w:b w:val="false"/>
          <w:bCs w:val="false"/>
          <w:sz w:val="21"/>
          <w:szCs w:val="21"/>
        </w:rPr>
      </w:pPr>
      <w:r>
        <w:rPr>
          <w:b w:val="false"/>
          <w:bCs w:val="false"/>
          <w:sz w:val="21"/>
          <w:szCs w:val="21"/>
        </w:rPr>
        <w:t xml:space="preserve">                         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/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>
      <w:pPr>
        <w:pStyle w:val="Normal"/>
        <w:jc w:val="both"/>
        <w:rPr/>
      </w:pPr>
      <w:r>
        <w:rPr>
          <w:sz w:val="24"/>
          <w:szCs w:val="24"/>
        </w:rPr>
        <w:t>- Obec si v roku 2015 zobrala úver vo výške 25.000 Eur, splatené k 31.12.2016: 16.952 Eur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Zostatok úveru k 1.1.2017 : 8.048 Eur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bCs/>
          <w:sz w:val="21"/>
          <w:szCs w:val="21"/>
        </w:rPr>
      </w:pPr>
      <w:r>
        <w:rPr>
          <w:b/>
          <w:bCs/>
          <w:sz w:val="21"/>
          <w:szCs w:val="21"/>
        </w:rPr>
      </w:r>
    </w:p>
    <w:p>
      <w:pPr>
        <w:pStyle w:val="Normal"/>
        <w:jc w:val="both"/>
        <w:rPr>
          <w:b/>
          <w:b/>
          <w:bCs/>
          <w:sz w:val="21"/>
          <w:szCs w:val="21"/>
        </w:rPr>
      </w:pPr>
      <w:r>
        <w:rPr>
          <w:b/>
          <w:bCs/>
          <w:sz w:val="21"/>
          <w:szCs w:val="21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>
          <w:sz w:val="24"/>
          <w:szCs w:val="24"/>
        </w:rPr>
        <w:t xml:space="preserve">V   Píle :    dňa  16.3.2017                </w:t>
      </w:r>
      <w:r>
        <w:rPr/>
        <w:t xml:space="preserve">                                           </w:t>
      </w:r>
      <w:r>
        <w:rPr>
          <w:sz w:val="24"/>
          <w:szCs w:val="24"/>
        </w:rPr>
        <w:t xml:space="preserve"> RNDr.Ing.Mgr.Radovan Mičunek, PhD.</w:t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</w:t>
      </w:r>
    </w:p>
    <w:p>
      <w:pPr>
        <w:pStyle w:val="Normal"/>
        <w:spacing w:lineRule="auto" w:line="360"/>
        <w:rPr/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  <w:r>
        <w:rPr>
          <w:sz w:val="24"/>
          <w:szCs w:val="24"/>
        </w:rPr>
        <w:t>Starosta obce</w:t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altName w:val="Symbol"/>
    <w:charset w:val="ee"/>
    <w:family w:val="roman"/>
    <w:pitch w:val="variable"/>
  </w:font>
  <w:font w:name="Symbol">
    <w:altName w:val="Times New Roman"/>
    <w:charset w:val="ee"/>
    <w:family w:val="roman"/>
    <w:pitch w:val="variable"/>
  </w:font>
  <w:font w:name="ms sans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altName w:val="Century Gothic"/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14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8905" cy="14795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8160" cy="147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60.75pt;margin-top:3.85pt;width:10.05pt;height:11.55pt;mso-position-horizont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708" w:leader="none"/>
        <w:tab w:val="center" w:pos="4536" w:leader="none"/>
        <w:tab w:val="right" w:pos="9072" w:leader="none"/>
      </w:tabs>
      <w:ind w:right="0" w:hanging="0"/>
      <w:jc w:val="center"/>
      <w:rPr>
        <w:b/>
        <w:b/>
        <w:bCs/>
        <w:i/>
        <w:i/>
        <w:sz w:val="24"/>
        <w:szCs w:val="24"/>
      </w:rPr>
    </w:pPr>
    <w:r>
      <w:rPr>
        <w:b/>
        <w:bCs/>
        <w:i/>
        <w:sz w:val="24"/>
        <w:szCs w:val="24"/>
      </w:rPr>
    </w:r>
  </w:p>
  <w:p>
    <w:pPr>
      <w:pStyle w:val="Hlavika"/>
      <w:tabs>
        <w:tab w:val="left" w:pos="708" w:leader="none"/>
        <w:tab w:val="center" w:pos="4536" w:leader="none"/>
        <w:tab w:val="right" w:pos="9072" w:leader="none"/>
      </w:tabs>
      <w:ind w:right="0" w:hanging="0"/>
      <w:jc w:val="center"/>
      <w:rPr>
        <w:b/>
        <w:b/>
        <w:bCs/>
        <w:i/>
        <w:i/>
        <w:sz w:val="24"/>
        <w:szCs w:val="24"/>
      </w:rPr>
    </w:pPr>
    <w:r>
      <w:rPr>
        <w:b/>
        <w:bCs/>
        <w:i/>
        <w:sz w:val="24"/>
        <w:szCs w:val="24"/>
      </w:rPr>
      <w:t>OBEC   PÍLA,  č.68, 900 89 Píla</w:t>
    </w:r>
  </w:p>
  <w:p>
    <w:pPr>
      <w:pStyle w:val="Hlavika"/>
      <w:pBdr>
        <w:bottom w:val="single" w:sz="4" w:space="1" w:color="000001"/>
      </w:pBdr>
      <w:jc w:val="center"/>
      <w:rPr>
        <w:color w:val="FF0000"/>
        <w:sz w:val="24"/>
        <w:szCs w:val="24"/>
        <w:lang w:val="sk-SK"/>
      </w:rPr>
    </w:pPr>
    <w:r>
      <w:rPr>
        <w:sz w:val="24"/>
        <w:szCs w:val="24"/>
      </w:rPr>
      <w:t>Poznámky individuálnej účtovnej závierky zostavenej k 31. decembru 2016</w:t>
    </w:r>
  </w:p>
  <w:p>
    <w:pPr>
      <w:pStyle w:val="Hlavika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  <w:p>
    <w:pPr>
      <w:pStyle w:val="Hlavika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  <w:bCs/>
        <w:rFonts w:cs="Tahoma;Tahoma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  <w:rFonts w:cs="Times New Roman;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ind w:left="720" w:hanging="360"/>
      </w:pPr>
      <w:rPr>
        <w:strike/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b/>
        <w:szCs w:val="22"/>
        <w:rFonts w:cs="Times New Roman;Times New Roman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</w:numbering>
</file>

<file path=word/settings.xml><?xml version="1.0" encoding="utf-8"?>
<w:settings xmlns:w="http://schemas.openxmlformats.org/wordprocessingml/2006/main">
  <w:zoom w:percent="13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;Times New Roman" w:hAnsi="Times New Roman;Times New Roman" w:eastAsia="Times New Roman;Times New Roman" w:cs="Times New Roman;Times New Roman"/>
      <w:color w:val="00000A"/>
      <w:sz w:val="20"/>
      <w:szCs w:val="20"/>
      <w:lang w:val="sk-SK" w:eastAsia="zh-CN" w:bidi="ar-SA"/>
    </w:rPr>
  </w:style>
  <w:style w:type="paragraph" w:styleId="Nadpis1">
    <w:name w:val="Nadpis 1"/>
    <w:basedOn w:val="Nadpis"/>
    <w:pPr>
      <w:spacing w:before="240" w:after="120"/>
      <w:outlineLvl w:val="0"/>
    </w:pPr>
    <w:rPr>
      <w:b/>
      <w:bCs/>
      <w:sz w:val="36"/>
      <w:szCs w:val="36"/>
    </w:rPr>
  </w:style>
  <w:style w:type="paragraph" w:styleId="Nadpis2">
    <w:name w:val="Nadpis 2"/>
    <w:basedOn w:val="Nadpis"/>
    <w:pPr>
      <w:spacing w:before="200" w:after="120"/>
      <w:outlineLvl w:val="1"/>
    </w:pPr>
    <w:rPr>
      <w:b/>
      <w:bCs/>
      <w:sz w:val="32"/>
      <w:szCs w:val="32"/>
    </w:rPr>
  </w:style>
  <w:style w:type="paragraph" w:styleId="Nadpis3">
    <w:name w:val="Nadpis 3"/>
    <w:basedOn w:val="Nadpis"/>
    <w:pPr>
      <w:spacing w:before="140" w:after="120"/>
      <w:outlineLvl w:val="2"/>
    </w:pPr>
    <w:rPr>
      <w:b/>
      <w:bCs/>
      <w:sz w:val="28"/>
      <w:szCs w:val="28"/>
    </w:rPr>
  </w:style>
  <w:style w:type="character" w:styleId="WW8Num1z0">
    <w:name w:val="WW8Num1z0"/>
    <w:qFormat/>
    <w:rPr>
      <w:b w:val="false"/>
      <w:sz w:val="24"/>
      <w:szCs w:val="24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b/>
      <w:sz w:val="24"/>
      <w:szCs w:val="24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  <w:sz w:val="24"/>
      <w:szCs w:val="24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b w:val="false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cs="Tahoma;Tahoma"/>
      <w:b/>
      <w:bCs/>
      <w:sz w:val="24"/>
      <w:szCs w:val="24"/>
      <w:lang w:bidi="zxx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b w:val="false"/>
      <w:sz w:val="24"/>
      <w:szCs w:val="24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b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b w:val="false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color w:val="00000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b/>
      <w:sz w:val="24"/>
      <w:szCs w:val="24"/>
    </w:rPr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>
      <w:b w:val="false"/>
      <w:sz w:val="24"/>
      <w:szCs w:val="24"/>
    </w:rPr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0">
    <w:name w:val="WW8Num14z0"/>
    <w:qFormat/>
    <w:rPr>
      <w:b/>
    </w:rPr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>
      <w:b/>
      <w:sz w:val="24"/>
      <w:szCs w:val="24"/>
    </w:rPr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>
      <w:b w:val="false"/>
      <w:sz w:val="24"/>
    </w:rPr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>
      <w:b w:val="false"/>
      <w:sz w:val="24"/>
      <w:szCs w:val="24"/>
    </w:rPr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>
      <w:rFonts w:ascii="Times New Roman;Times New Roman" w:hAnsi="Times New Roman;Times New Roman" w:eastAsia="Times New Roman;Times New Roman" w:cs="Times New Roman;Times New Roman"/>
      <w:sz w:val="24"/>
      <w:szCs w:val="24"/>
    </w:rPr>
  </w:style>
  <w:style w:type="character" w:styleId="WW8Num18z1">
    <w:name w:val="WW8Num18z1"/>
    <w:qFormat/>
    <w:rPr>
      <w:rFonts w:ascii="Courier New;Courier New" w:hAnsi="Courier New;Courier New" w:cs="Courier New;Courier New"/>
    </w:rPr>
  </w:style>
  <w:style w:type="character" w:styleId="WW8Num18z2">
    <w:name w:val="WW8Num18z2"/>
    <w:qFormat/>
    <w:rPr>
      <w:rFonts w:ascii="Wingdings;Symbol" w:hAnsi="Wingdings;Symbol" w:cs="Wingdings;Symbol"/>
    </w:rPr>
  </w:style>
  <w:style w:type="character" w:styleId="WW8Num18z3">
    <w:name w:val="WW8Num18z3"/>
    <w:qFormat/>
    <w:rPr>
      <w:rFonts w:ascii="Symbol;Times New Roman" w:hAnsi="Symbol;Times New Roman" w:cs="Symbol;Times New Roman"/>
    </w:rPr>
  </w:style>
  <w:style w:type="character" w:styleId="WW8Num19z0">
    <w:name w:val="WW8Num19z0"/>
    <w:qFormat/>
    <w:rPr>
      <w:b/>
      <w:sz w:val="24"/>
      <w:szCs w:val="24"/>
    </w:rPr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>
      <w:sz w:val="24"/>
      <w:szCs w:val="24"/>
    </w:rPr>
  </w:style>
  <w:style w:type="character" w:styleId="WW8Num20z1">
    <w:name w:val="WW8Num20z1"/>
    <w:qFormat/>
    <w:rPr/>
  </w:style>
  <w:style w:type="character" w:styleId="WW8Num20z2">
    <w:name w:val="WW8Num20z2"/>
    <w:qFormat/>
    <w:rPr/>
  </w:style>
  <w:style w:type="character" w:styleId="WW8Num20z3">
    <w:name w:val="WW8Num20z3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21z0">
    <w:name w:val="WW8Num21z0"/>
    <w:qFormat/>
    <w:rPr>
      <w:rFonts w:ascii="Times New Roman;Times New Roman" w:hAnsi="Times New Roman;Times New Roman" w:eastAsia="Times New Roman;Times New Roman" w:cs="Times New Roman;Times New Roman"/>
    </w:rPr>
  </w:style>
  <w:style w:type="character" w:styleId="WW8Num21z1">
    <w:name w:val="WW8Num21z1"/>
    <w:qFormat/>
    <w:rPr>
      <w:rFonts w:ascii="Courier New;Courier New" w:hAnsi="Courier New;Courier New" w:cs="Courier New;Courier New"/>
    </w:rPr>
  </w:style>
  <w:style w:type="character" w:styleId="WW8Num21z2">
    <w:name w:val="WW8Num21z2"/>
    <w:qFormat/>
    <w:rPr>
      <w:rFonts w:ascii="Wingdings;Symbol" w:hAnsi="Wingdings;Symbol" w:cs="Wingdings;Symbol"/>
    </w:rPr>
  </w:style>
  <w:style w:type="character" w:styleId="WW8Num21z3">
    <w:name w:val="WW8Num21z3"/>
    <w:qFormat/>
    <w:rPr>
      <w:rFonts w:ascii="Symbol;Times New Roman" w:hAnsi="Symbol;Times New Roman" w:cs="Symbol;Times New Roman"/>
    </w:rPr>
  </w:style>
  <w:style w:type="character" w:styleId="WW8Num22z0">
    <w:name w:val="WW8Num22z0"/>
    <w:qFormat/>
    <w:rPr>
      <w:b w:val="false"/>
      <w:sz w:val="24"/>
      <w:szCs w:val="24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>
      <w:b w:val="false"/>
      <w:sz w:val="24"/>
      <w:szCs w:val="24"/>
    </w:rPr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>
      <w:b w:val="false"/>
      <w:sz w:val="24"/>
      <w:szCs w:val="24"/>
    </w:rPr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>
      <w:rFonts w:ascii="ms sans serif;Times New Roman" w:hAnsi="ms sans serif;Times New Roman" w:cs="ms sans serif;Times New Roman"/>
      <w:color w:val="000000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0">
    <w:name w:val="WW8Num26z0"/>
    <w:qFormat/>
    <w:rPr>
      <w:b w:val="false"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>
      <w:b/>
      <w:sz w:val="24"/>
      <w:szCs w:val="24"/>
    </w:rPr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b/>
      <w:strike/>
      <w:sz w:val="24"/>
      <w:szCs w:val="24"/>
    </w:rPr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>
      <w:b/>
      <w:sz w:val="24"/>
      <w:szCs w:val="24"/>
    </w:rPr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0">
    <w:name w:val="WW8Num30z0"/>
    <w:qFormat/>
    <w:rPr>
      <w:rFonts w:ascii="Times New Roman;Times New Roman" w:hAnsi="Times New Roman;Times New Roman" w:eastAsia="Times New Roman;Times New Roman" w:cs="Times New Roman;Times New Roman"/>
      <w:sz w:val="22"/>
      <w:szCs w:val="22"/>
      <w:lang w:bidi="zxx"/>
    </w:rPr>
  </w:style>
  <w:style w:type="character" w:styleId="WW8Num30z1">
    <w:name w:val="WW8Num30z1"/>
    <w:qFormat/>
    <w:rPr>
      <w:rFonts w:ascii="Courier New;Courier New" w:hAnsi="Courier New;Courier New" w:cs="Courier New;Courier New"/>
    </w:rPr>
  </w:style>
  <w:style w:type="character" w:styleId="WW8Num30z2">
    <w:name w:val="WW8Num30z2"/>
    <w:qFormat/>
    <w:rPr>
      <w:rFonts w:ascii="Wingdings;Symbol" w:hAnsi="Wingdings;Symbol" w:cs="Wingdings;Symbol"/>
    </w:rPr>
  </w:style>
  <w:style w:type="character" w:styleId="WW8Num30z3">
    <w:name w:val="WW8Num30z3"/>
    <w:qFormat/>
    <w:rPr>
      <w:rFonts w:ascii="Symbol;Times New Roman" w:hAnsi="Symbol;Times New Roman" w:cs="Symbol;Times New Roman"/>
    </w:rPr>
  </w:style>
  <w:style w:type="character" w:styleId="WW8Num31z0">
    <w:name w:val="WW8Num31z0"/>
    <w:qFormat/>
    <w:rPr>
      <w:b w:val="false"/>
      <w:sz w:val="24"/>
      <w:szCs w:val="24"/>
    </w:rPr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2z0">
    <w:name w:val="WW8Num32z0"/>
    <w:qFormat/>
    <w:rPr>
      <w:b w:val="false"/>
      <w:sz w:val="24"/>
      <w:szCs w:val="24"/>
    </w:rPr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Predvolenpsmoodseku">
    <w:name w:val="Predvolené písmo odseku"/>
    <w:qFormat/>
    <w:rPr/>
  </w:style>
  <w:style w:type="character" w:styleId="Slostrany">
    <w:name w:val="Číslo strany"/>
    <w:basedOn w:val="Predvolenpsmoodseku"/>
    <w:rPr/>
  </w:style>
  <w:style w:type="character" w:styleId="ZkladntextChar">
    <w:name w:val="Základný text Char"/>
    <w:qFormat/>
    <w:rPr>
      <w:sz w:val="18"/>
    </w:rPr>
  </w:style>
  <w:style w:type="character" w:styleId="HlavikaChar">
    <w:name w:val="Hlavička Char"/>
    <w:basedOn w:val="Predvolenpsmoodseku"/>
    <w:qFormat/>
    <w:rPr/>
  </w:style>
  <w:style w:type="character" w:styleId="ListLabel1">
    <w:name w:val="ListLabel 1"/>
    <w:qFormat/>
    <w:rPr>
      <w:b w:val="false"/>
      <w:sz w:val="24"/>
      <w:szCs w:val="24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rFonts w:cs="Tahoma;Tahoma"/>
      <w:b/>
      <w:bCs/>
      <w:sz w:val="24"/>
      <w:szCs w:val="24"/>
      <w:lang w:bidi="zxx"/>
    </w:rPr>
  </w:style>
  <w:style w:type="character" w:styleId="ListLabel4">
    <w:name w:val="ListLabel 4"/>
    <w:qFormat/>
    <w:rPr>
      <w:b/>
    </w:rPr>
  </w:style>
  <w:style w:type="character" w:styleId="ListLabel5">
    <w:name w:val="ListLabel 5"/>
    <w:qFormat/>
    <w:rPr>
      <w:b/>
      <w:sz w:val="24"/>
    </w:rPr>
  </w:style>
  <w:style w:type="character" w:styleId="ListLabel6">
    <w:name w:val="ListLabel 6"/>
    <w:qFormat/>
    <w:rPr>
      <w:b w:val="false"/>
      <w:sz w:val="24"/>
    </w:rPr>
  </w:style>
  <w:style w:type="character" w:styleId="ListLabel7">
    <w:name w:val="ListLabel 7"/>
    <w:qFormat/>
    <w:rPr>
      <w:rFonts w:cs="Times New Roman;Times New Roman"/>
      <w:sz w:val="24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cs="ms sans serif;Times New Roman"/>
      <w:color w:val="000000"/>
    </w:rPr>
  </w:style>
  <w:style w:type="character" w:styleId="ListLabel10">
    <w:name w:val="ListLabel 10"/>
    <w:qFormat/>
    <w:rPr>
      <w:b/>
      <w:strike/>
      <w:sz w:val="24"/>
      <w:szCs w:val="24"/>
    </w:rPr>
  </w:style>
  <w:style w:type="character" w:styleId="ListLabel11">
    <w:name w:val="ListLabel 11"/>
    <w:qFormat/>
    <w:rPr>
      <w:rFonts w:cs="Times New Roman;Times New Roman"/>
      <w:b/>
      <w:sz w:val="24"/>
      <w:szCs w:val="22"/>
      <w:lang w:bidi="zxx"/>
    </w:rPr>
  </w:style>
  <w:style w:type="character" w:styleId="ListLabel12">
    <w:name w:val="ListLabel 12"/>
    <w:qFormat/>
    <w:rPr>
      <w:b w:val="false"/>
      <w:sz w:val="24"/>
      <w:szCs w:val="24"/>
    </w:rPr>
  </w:style>
  <w:style w:type="character" w:styleId="ListLabel13">
    <w:name w:val="ListLabel 13"/>
    <w:qFormat/>
    <w:rPr>
      <w:b/>
      <w:sz w:val="24"/>
      <w:szCs w:val="24"/>
    </w:rPr>
  </w:style>
  <w:style w:type="character" w:styleId="ListLabel14">
    <w:name w:val="ListLabel 14"/>
    <w:qFormat/>
    <w:rPr>
      <w:rFonts w:cs="Tahoma;Tahoma"/>
      <w:b/>
      <w:bCs/>
      <w:sz w:val="24"/>
      <w:szCs w:val="24"/>
      <w:lang w:bidi="zxx"/>
    </w:rPr>
  </w:style>
  <w:style w:type="character" w:styleId="ListLabel15">
    <w:name w:val="ListLabel 15"/>
    <w:qFormat/>
    <w:rPr>
      <w:b/>
    </w:rPr>
  </w:style>
  <w:style w:type="character" w:styleId="ListLabel16">
    <w:name w:val="ListLabel 16"/>
    <w:qFormat/>
    <w:rPr>
      <w:b w:val="false"/>
      <w:sz w:val="24"/>
    </w:rPr>
  </w:style>
  <w:style w:type="character" w:styleId="ListLabel17">
    <w:name w:val="ListLabel 17"/>
    <w:qFormat/>
    <w:rPr>
      <w:rFonts w:cs="Times New Roman;Times New Roman"/>
      <w:sz w:val="24"/>
      <w:szCs w:val="24"/>
    </w:rPr>
  </w:style>
  <w:style w:type="character" w:styleId="ListLabel18">
    <w:name w:val="ListLabel 18"/>
    <w:qFormat/>
    <w:rPr>
      <w:b/>
      <w:strike/>
      <w:sz w:val="24"/>
      <w:szCs w:val="24"/>
    </w:rPr>
  </w:style>
  <w:style w:type="character" w:styleId="ListLabel19">
    <w:name w:val="ListLabel 19"/>
    <w:qFormat/>
    <w:rPr>
      <w:rFonts w:cs="Times New Roman;Times New Roman"/>
      <w:b/>
      <w:sz w:val="24"/>
      <w:szCs w:val="22"/>
      <w:lang w:bidi="zxx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ind w:left="426" w:hanging="0"/>
      <w:jc w:val="both"/>
    </w:pPr>
    <w:rPr>
      <w:sz w:val="18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Textbubliny">
    <w:name w:val="Text bubliny"/>
    <w:basedOn w:val="Normal"/>
    <w:qFormat/>
    <w:pPr/>
    <w:rPr>
      <w:rFonts w:ascii="Tahoma;Tahoma" w:hAnsi="Tahoma;Tahoma" w:cs="Tahoma;Tahoma"/>
      <w:sz w:val="16"/>
      <w:szCs w:val="16"/>
    </w:rPr>
  </w:style>
  <w:style w:type="paragraph" w:styleId="Zkladntext1">
    <w:name w:val="Základní text1"/>
    <w:qFormat/>
    <w:pPr>
      <w:widowControl/>
      <w:bidi w:val="0"/>
      <w:spacing w:before="144" w:after="144"/>
      <w:ind w:firstLine="709"/>
      <w:jc w:val="both"/>
    </w:pPr>
    <w:rPr>
      <w:rFonts w:ascii="Times New Roman;Times New Roman" w:hAnsi="Times New Roman;Times New Roman" w:eastAsia="Times New Roman;Times New Roman" w:cs="Times New Roman;Times New Roman"/>
      <w:color w:val="000000"/>
      <w:sz w:val="24"/>
      <w:szCs w:val="24"/>
      <w:lang w:val="sk-SK" w:eastAsia="zh-CN" w:bidi="ar-SA"/>
    </w:rPr>
  </w:style>
  <w:style w:type="paragraph" w:styleId="Pismenka">
    <w:name w:val="Pismenka"/>
    <w:basedOn w:val="Telotextu"/>
    <w:qFormat/>
    <w:pPr>
      <w:tabs>
        <w:tab w:val="left" w:pos="426" w:leader="none"/>
      </w:tabs>
      <w:ind w:left="426" w:hanging="426"/>
    </w:pPr>
    <w:rPr>
      <w:b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TltlTextopatreniaArialNarrow11ptZa0pt">
    <w:name w:val="Štýl Štýl Text opatrenia + Arial Narrow 11 pt + Za:  0 pt"/>
    <w:basedOn w:val="Normal"/>
    <w:qFormat/>
    <w:pPr>
      <w:spacing w:before="240" w:after="0"/>
      <w:jc w:val="both"/>
    </w:pPr>
    <w:rPr>
      <w:rFonts w:ascii="Arial Narrow;Century Gothic" w:hAnsi="Arial Narrow;Century Gothic" w:cs="Arial Narrow;Century Gothic"/>
      <w:sz w:val="22"/>
      <w:szCs w:val="22"/>
    </w:rPr>
  </w:style>
  <w:style w:type="paragraph" w:styleId="Odstavec">
    <w:name w:val="odstavec"/>
    <w:basedOn w:val="Normal"/>
    <w:qFormat/>
    <w:pPr>
      <w:ind w:right="0" w:hanging="0"/>
      <w:jc w:val="both"/>
    </w:pPr>
    <w:rPr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Citcie">
    <w:name w:val="Citácie"/>
    <w:basedOn w:val="Normal"/>
    <w:qFormat/>
    <w:pPr>
      <w:spacing w:before="0" w:after="283"/>
      <w:ind w:left="567" w:right="567" w:hanging="0"/>
    </w:pPr>
    <w:rPr/>
  </w:style>
  <w:style w:type="paragraph" w:styleId="Nzov">
    <w:name w:val="Názov"/>
    <w:basedOn w:val="Nadpis"/>
    <w:pPr>
      <w:jc w:val="center"/>
    </w:pPr>
    <w:rPr>
      <w:b/>
      <w:bCs/>
      <w:sz w:val="56"/>
      <w:szCs w:val="56"/>
    </w:rPr>
  </w:style>
  <w:style w:type="paragraph" w:styleId="Podnzov">
    <w:name w:val="Podnázov"/>
    <w:basedOn w:val="Nadpis"/>
    <w:pPr>
      <w:spacing w:before="60" w:after="120"/>
      <w:jc w:val="center"/>
    </w:pPr>
    <w:rPr>
      <w:sz w:val="36"/>
      <w:szCs w:val="36"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  <w:style w:type="numbering" w:styleId="WW8Num4">
    <w:name w:val="WW8Num4"/>
  </w:style>
  <w:style w:type="numbering" w:styleId="WW8Num5">
    <w:name w:val="WW8Num5"/>
  </w:style>
  <w:style w:type="numbering" w:styleId="WW8Num6">
    <w:name w:val="WW8Num6"/>
  </w:style>
  <w:style w:type="numbering" w:styleId="WW8Num7">
    <w:name w:val="WW8Num7"/>
  </w:style>
  <w:style w:type="numbering" w:styleId="WW8Num8">
    <w:name w:val="WW8Num8"/>
  </w:style>
  <w:style w:type="numbering" w:styleId="WW8Num9">
    <w:name w:val="WW8Num9"/>
  </w:style>
  <w:style w:type="numbering" w:styleId="WW8Num10">
    <w:name w:val="WW8Num10"/>
  </w:style>
  <w:style w:type="numbering" w:styleId="WW8Num11">
    <w:name w:val="WW8Num11"/>
  </w:style>
  <w:style w:type="numbering" w:styleId="WW8Num12">
    <w:name w:val="WW8Num12"/>
  </w:style>
  <w:style w:type="numbering" w:styleId="WW8Num13">
    <w:name w:val="WW8Num13"/>
  </w:style>
  <w:style w:type="numbering" w:styleId="WW8Num14">
    <w:name w:val="WW8Num14"/>
  </w:style>
  <w:style w:type="numbering" w:styleId="WW8Num15">
    <w:name w:val="WW8Num15"/>
  </w:style>
  <w:style w:type="numbering" w:styleId="WW8Num16">
    <w:name w:val="WW8Num16"/>
  </w:style>
  <w:style w:type="numbering" w:styleId="WW8Num17">
    <w:name w:val="WW8Num17"/>
  </w:style>
  <w:style w:type="numbering" w:styleId="WW8Num18">
    <w:name w:val="WW8Num18"/>
  </w:style>
  <w:style w:type="numbering" w:styleId="WW8Num19">
    <w:name w:val="WW8Num19"/>
  </w:style>
  <w:style w:type="numbering" w:styleId="WW8Num20">
    <w:name w:val="WW8Num20"/>
  </w:style>
  <w:style w:type="numbering" w:styleId="WW8Num21">
    <w:name w:val="WW8Num21"/>
  </w:style>
  <w:style w:type="numbering" w:styleId="WW8Num22">
    <w:name w:val="WW8Num22"/>
  </w:style>
  <w:style w:type="numbering" w:styleId="WW8Num23">
    <w:name w:val="WW8Num23"/>
  </w:style>
  <w:style w:type="numbering" w:styleId="WW8Num24">
    <w:name w:val="WW8Num24"/>
  </w:style>
  <w:style w:type="numbering" w:styleId="WW8Num25">
    <w:name w:val="WW8Num25"/>
  </w:style>
  <w:style w:type="numbering" w:styleId="WW8Num26">
    <w:name w:val="WW8Num26"/>
  </w:style>
  <w:style w:type="numbering" w:styleId="WW8Num27">
    <w:name w:val="WW8Num27"/>
  </w:style>
  <w:style w:type="numbering" w:styleId="WW8Num28">
    <w:name w:val="WW8Num28"/>
  </w:style>
  <w:style w:type="numbering" w:styleId="WW8Num29">
    <w:name w:val="WW8Num29"/>
  </w:style>
  <w:style w:type="numbering" w:styleId="WW8Num30">
    <w:name w:val="WW8Num30"/>
  </w:style>
  <w:style w:type="numbering" w:styleId="WW8Num31">
    <w:name w:val="WW8Num31"/>
  </w:style>
  <w:style w:type="numbering" w:styleId="WW8Num32">
    <w:name w:val="WW8Num32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3102</TotalTime>
  <Application>LibreOffice/5.0.2.2$Windows_x86 LibreOffice_project/37b43f919e4de5eeaca9b9755ed688758a8251fe</Application>
  <Paragraphs>660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2008-09-28T09:21:00Z</dcterms:created>
  <dc:creator>admin</dc:creator>
  <dc:language>sk-SK</dc:language>
  <cp:lastPrinted>2015-01-04T10:45:00Z</cp:lastPrinted>
  <dcterms:modified xsi:type="dcterms:W3CDTF">2017-03-27T11:37:46Z</dcterms:modified>
  <cp:revision>1760</cp:revision>
  <dc:title>Poznámky k 31</dc:title>
</cp:coreProperties>
</file>