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2016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auto" w:line="240" w:before="0" w:after="0"/>
        <w:rPr>
          <w:rFonts w:cs="Times New Roman" w:ascii="Times New Roman" w:hAnsi="Times New Roman"/>
          <w:b/>
          <w:color w:val="5B9BD5"/>
        </w:rPr>
      </w:pPr>
      <w:r>
        <w:rPr>
          <w:rFonts w:cs="Times New Roman" w:ascii="Times New Roman" w:hAnsi="Times New Roman"/>
          <w:b/>
          <w:color w:val="5B9BD5"/>
        </w:rPr>
        <w:t>Čl. I </w:t>
        <w:tab/>
        <w:t>Všeobecné informácie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jc w:val="both"/>
        <w:rPr>
          <w:b/>
        </w:rPr>
      </w:pPr>
      <w:r>
        <w:rPr>
          <w:rFonts w:cs="Times New Roman" w:ascii="Times New Roman" w:hAnsi="Times New Roman"/>
          <w:b/>
        </w:rPr>
        <w:t>I.1</w:t>
      </w:r>
      <w:r>
        <w:rPr/>
        <w:t xml:space="preserve">  Zákl</w:t>
      </w:r>
      <w:r>
        <w:rPr>
          <w:b/>
        </w:rPr>
        <w:t>adné informácie o účtovnej jednotke:</w:t>
      </w:r>
    </w:p>
    <w:tbl>
      <w:tblPr>
        <w:jc w:val="left"/>
        <w:tblInd w:w="-25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510"/>
        <w:gridCol w:w="6653"/>
      </w:tblGrid>
      <w:tr>
        <w:trPr>
          <w:trHeight w:val="231" w:hRule="atLeast"/>
          <w:cantSplit w:val="false"/>
        </w:trPr>
        <w:tc>
          <w:tcPr>
            <w:tcW w:w="2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Obchodné meno: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RILINE, S.R.O.</w:t>
            </w:r>
          </w:p>
        </w:tc>
      </w:tr>
      <w:tr>
        <w:trPr>
          <w:trHeight w:val="249" w:hRule="atLeast"/>
          <w:cantSplit w:val="false"/>
        </w:trPr>
        <w:tc>
          <w:tcPr>
            <w:tcW w:w="2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Sídlo: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ŠTIAVNICKá 5140</w:t>
            </w:r>
          </w:p>
        </w:tc>
      </w:tr>
      <w:tr>
        <w:trPr>
          <w:trHeight w:val="125" w:hRule="atLeast"/>
          <w:cantSplit w:val="false"/>
        </w:trPr>
        <w:tc>
          <w:tcPr>
            <w:tcW w:w="2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Právna forma: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PRAVNICKá OSOBA</w:t>
            </w:r>
          </w:p>
        </w:tc>
      </w:tr>
      <w:tr>
        <w:trPr>
          <w:trHeight w:val="143" w:hRule="atLeast"/>
          <w:cantSplit w:val="false"/>
        </w:trPr>
        <w:tc>
          <w:tcPr>
            <w:tcW w:w="251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4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Dátum vzniku:</w:t>
            </w:r>
          </w:p>
        </w:tc>
        <w:tc>
          <w:tcPr>
            <w:tcW w:w="6653" w:type="dxa"/>
            <w:tcBorders>
              <w:top w:val="single" w:sz="4" w:space="0" w:color="00000A"/>
              <w:left w:val="nil"/>
              <w:bottom w:val="nil"/>
              <w:insideH w:val="nil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Zápis do obchodného registra: 2 8. 2.2007</w:t>
            </w:r>
          </w:p>
        </w:tc>
      </w:tr>
      <w:tr>
        <w:trPr>
          <w:trHeight w:val="175" w:hRule="atLeast"/>
          <w:cantSplit w:val="false"/>
        </w:trPr>
        <w:tc>
          <w:tcPr>
            <w:tcW w:w="251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rPr/>
            </w:pPr>
            <w:r>
              <w:rPr/>
              <w:t>Hlavný predmet podnikania: 43.99.00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  <w:tc>
          <w:tcPr>
            <w:tcW w:w="6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</w:tcPr>
          <w:p>
            <w:pPr>
              <w:pStyle w:val="Normal"/>
              <w:spacing w:before="0" w:after="160"/>
              <w:rPr/>
            </w:pPr>
            <w:r>
              <w:rPr/>
              <w:t>OSTATNé šPECIALIZOVANéSTAVEBNé PRáCE</w:t>
            </w:r>
          </w:p>
        </w:tc>
      </w:tr>
      <w:tr>
        <w:trPr>
          <w:trHeight w:val="194" w:hRule="atLeast"/>
          <w:cantSplit w:val="false"/>
        </w:trPr>
        <w:tc>
          <w:tcPr>
            <w:tcW w:w="2510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4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Účtovné obdobie:</w:t>
            </w:r>
          </w:p>
        </w:tc>
        <w:tc>
          <w:tcPr>
            <w:tcW w:w="665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Kalendárny rok 2016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rPr/>
        <w:t>preto zostavuje účtovnú závierku podľa metodiky pre túto veľkostnú skupinu (Opatrenie č.MF/23378/2014-74).</w:t>
      </w:r>
    </w:p>
    <w:tbl>
      <w:tblPr>
        <w:jc w:val="left"/>
        <w:tblInd w:w="13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2196"/>
        <w:gridCol w:w="3398"/>
        <w:gridCol w:w="3975"/>
      </w:tblGrid>
      <w:tr>
        <w:trPr>
          <w:cantSplit w:val="false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 xml:space="preserve">Aktíva celkom                     </w:t>
            </w:r>
          </w:p>
        </w:tc>
        <w:tc>
          <w:tcPr>
            <w:tcW w:w="3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 xml:space="preserve">1077881  </w:t>
            </w:r>
          </w:p>
        </w:tc>
        <w:tc>
          <w:tcPr>
            <w:tcW w:w="3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>1452380</w:t>
            </w:r>
          </w:p>
        </w:tc>
      </w:tr>
      <w:tr>
        <w:trPr>
          <w:cantSplit w:val="false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rPr>
                <w:bCs/>
              </w:rPr>
            </w:pPr>
            <w:r>
              <w:rPr>
                <w:bCs/>
              </w:rPr>
              <w:t xml:space="preserve">                      </w:t>
            </w:r>
            <w:r>
              <w:rPr>
                <w:bCs/>
              </w:rPr>
              <w:t>1978551</w:t>
            </w:r>
          </w:p>
        </w:tc>
        <w:tc>
          <w:tcPr>
            <w:tcW w:w="3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rPr>
                <w:bCs/>
              </w:rPr>
            </w:pPr>
            <w:r>
              <w:rPr>
                <w:bCs/>
              </w:rPr>
              <w:t xml:space="preserve">                              </w:t>
            </w:r>
            <w:r>
              <w:rPr>
                <w:bCs/>
              </w:rPr>
              <w:t>2595505</w:t>
            </w:r>
          </w:p>
        </w:tc>
      </w:tr>
      <w:tr>
        <w:trPr>
          <w:cantSplit w:val="false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jc w:val="both"/>
              <w:rPr>
                <w:rFonts w:cs="Arial Narrow" w:ascii="Arial Narrow" w:hAnsi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Priemerný prepočítaný počet zamestnancov</w:t>
            </w:r>
          </w:p>
        </w:tc>
        <w:tc>
          <w:tcPr>
            <w:tcW w:w="3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jc w:val="both"/>
              <w:rPr>
                <w:rFonts w:cs="Arial Narrow" w:ascii="Arial Narrow" w:hAnsi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 xml:space="preserve">    </w:t>
            </w:r>
            <w:r>
              <w:rPr>
                <w:rFonts w:cs="Arial Narrow" w:ascii="Arial Narrow" w:hAnsi="Arial Narrow"/>
                <w:bCs/>
              </w:rPr>
              <w:t>65</w:t>
            </w:r>
          </w:p>
        </w:tc>
        <w:tc>
          <w:tcPr>
            <w:tcW w:w="3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jc w:val="both"/>
              <w:rPr>
                <w:rFonts w:cs="Arial Narrow" w:ascii="Arial Narrow" w:hAnsi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 xml:space="preserve">                                         </w:t>
            </w:r>
            <w:r>
              <w:rPr>
                <w:rFonts w:cs="Arial Narrow" w:ascii="Arial Narrow" w:hAnsi="Arial Narrow"/>
                <w:bCs/>
              </w:rPr>
              <w:t>50</w:t>
            </w:r>
          </w:p>
        </w:tc>
      </w:tr>
    </w:tbl>
    <w:p>
      <w:pPr>
        <w:pStyle w:val="ListParagraph"/>
        <w:spacing w:lineRule="auto" w:line="240"/>
        <w:ind w:left="0" w:right="0" w:hanging="0"/>
        <w:jc w:val="both"/>
        <w:rPr>
          <w:rFonts w:cs="Times New Roman" w:ascii="Times New Roman" w:hAnsi="Times New Roman"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right="0" w:hanging="0"/>
        <w:jc w:val="both"/>
        <w:rPr>
          <w:rFonts w:cs="Times New Roman" w:ascii="Times New Roman" w:hAnsi="Times New Roman"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right="0" w:hanging="0"/>
        <w:jc w:val="both"/>
        <w:rPr>
          <w:rFonts w:cs="Times New Roman" w:ascii="Times New Roman" w:hAnsi="Times New Roman"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right="0" w:hanging="0"/>
        <w:jc w:val="both"/>
        <w:rPr>
          <w:rFonts w:cs="Times New Roman" w:ascii="Times New Roman" w:hAnsi="Times New Roman"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jc w:val="both"/>
        <w:rPr>
          <w:rFonts w:cs="Arial Narrow" w:ascii="Arial Narrow" w:hAnsi="Arial Narrow"/>
        </w:rPr>
      </w:pPr>
      <w:r>
        <w:rPr>
          <w:rFonts w:cs="Arial Narrow" w:ascii="Arial Narrow" w:hAnsi="Arial Narrow"/>
        </w:rPr>
        <w:t xml:space="preserve">              </w:t>
      </w:r>
      <w:r>
        <w:rPr>
          <w:rFonts w:cs="Arial Narrow" w:ascii="Arial Narrow" w:hAnsi="Arial Narrow"/>
        </w:rPr>
        <w:t>účtovná závierka k 31.12.2015 bola schválená dňa  30.3.2016</w:t>
      </w:r>
    </w:p>
    <w:p>
      <w:pPr>
        <w:pStyle w:val="ListParagraph"/>
        <w:spacing w:lineRule="auto" w:line="240"/>
        <w:jc w:val="both"/>
        <w:rPr>
          <w:rFonts w:cs="Times New Roman" w:ascii="Times New Roman" w:hAnsi="Times New Roman"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right="0" w:hanging="0"/>
        <w:jc w:val="both"/>
        <w:rPr>
          <w:rFonts w:cs="Times New Roman" w:ascii="Times New Roman" w:hAnsi="Times New Roman"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ind w:left="0" w:right="-468" w:hanging="0"/>
        <w:jc w:val="both"/>
        <w:rPr>
          <w:rFonts w:cs="Arial Narrow" w:ascii="Arial Narrow" w:hAnsi="Arial Narrow"/>
        </w:rPr>
      </w:pPr>
      <w:r>
        <w:rPr>
          <w:rFonts w:cs="Arial Narrow" w:ascii="Arial Narrow" w:hAnsi="Arial Narrow"/>
        </w:rPr>
        <w:t xml:space="preserve">                </w:t>
      </w:r>
      <w:r>
        <w:rPr>
          <w:rFonts w:cs="Arial Narrow" w:ascii="Arial Narrow" w:hAnsi="Arial Narrow"/>
        </w:rPr>
        <w:t xml:space="preserve">k 31.12.2016 je účtovná závierka zostavená ako riadna účtovná závierka za účtovné obdobie od 1.1.2016 do          </w:t>
      </w:r>
    </w:p>
    <w:p>
      <w:pPr>
        <w:pStyle w:val="Normal"/>
        <w:ind w:left="0" w:right="-468" w:hanging="0"/>
        <w:jc w:val="both"/>
        <w:rPr>
          <w:rFonts w:cs="Arial Narrow" w:ascii="Arial Narrow" w:hAnsi="Arial Narrow"/>
        </w:rPr>
      </w:pPr>
      <w:r>
        <w:rPr>
          <w:rFonts w:cs="Times New Roman" w:ascii="Times New Roman" w:hAnsi="Times New Roman"/>
          <w:b/>
        </w:rPr>
        <w:t xml:space="preserve">             </w:t>
      </w:r>
      <w:r>
        <w:rPr>
          <w:rFonts w:cs="Arial Narrow" w:ascii="Arial Narrow" w:hAnsi="Arial Narrow"/>
        </w:rPr>
        <w:t>31.12.2016.</w:t>
      </w:r>
    </w:p>
    <w:p>
      <w:pPr>
        <w:pStyle w:val="Normal"/>
        <w:ind w:left="0" w:right="-468" w:hanging="0"/>
        <w:jc w:val="both"/>
        <w:rPr>
          <w:rFonts w:cs="Times New Roman" w:ascii="Times New Roman" w:hAnsi="Times New Roman"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cs="Times New Roman" w:ascii="Times New Roman" w:hAnsi="Times New Roman"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spacing w:lineRule="auto" w:line="240"/>
        <w:rPr>
          <w:rFonts w:cs="Times New Roman" w:ascii="Times New Roman" w:hAnsi="Times New Roman"/>
        </w:rPr>
      </w:pPr>
      <w:r>
        <w:rPr>
          <w:rFonts w:cs="Times New Roman" w:ascii="Times New Roman" w:hAnsi="Times New Roman"/>
        </w:rPr>
        <w:t>spoločnosť nie je súčasťou žiadnej skupiny.</w:t>
      </w:r>
    </w:p>
    <w:p>
      <w:pPr>
        <w:pStyle w:val="Normal"/>
        <w:spacing w:lineRule="auto" w:line="240"/>
        <w:jc w:val="both"/>
        <w:rPr>
          <w:rFonts w:cs="Times New Roman" w:ascii="Times New Roman" w:hAnsi="Times New Roman"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cs="Times New Roman" w:ascii="Times New Roman" w:hAnsi="Times New Roman"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p>
      <w:pPr>
        <w:pStyle w:val="Normal"/>
        <w:spacing w:lineRule="auto" w:line="240"/>
        <w:ind w:left="1418" w:right="0" w:hanging="709"/>
        <w:jc w:val="both"/>
        <w:rPr>
          <w:rFonts w:cs="Times New Roman" w:ascii="Times New Roman" w:hAnsi="Times New Roman"/>
        </w:rPr>
      </w:pPr>
      <w:r>
        <w:rPr>
          <w:rFonts w:cs="Times New Roman" w:ascii="Times New Roman" w:hAnsi="Times New Roman"/>
        </w:rPr>
      </w:r>
      <w:r>
        <w:pict>
          <v:rect fillcolor="#FFFFFF" strokecolor="#000000" strokeweight="0pt" style="position:absolute;width:466.2pt;height:73pt;mso-wrap-distance-left:7.05pt;mso-wrap-distance-right:7.05pt;mso-wrap-distance-top:0pt;mso-wrap-distance-bottom:0pt;margin-top:2.05pt;margin-left:-7.75pt">
            <v:textbox inset="0in,0in,0in,0in">
              <w:txbxContent>
                <w:tbl>
                  <w:tblPr>
                    <w:jc w:val="left"/>
                    <w:tblInd w:w="20" w:type="dxa"/>
                    <w:tblBorders>
                      <w:top w:val="single" w:sz="18" w:space="0" w:color="00000A"/>
                      <w:left w:val="single" w:sz="18" w:space="0" w:color="00000A"/>
                      <w:bottom w:val="single" w:sz="18" w:space="0" w:color="00000A"/>
                      <w:insideH w:val="single" w:sz="18" w:space="0" w:color="00000A"/>
                      <w:right w:val="single" w:sz="12" w:space="0" w:color="00000A"/>
                      <w:insideV w:val="single" w:sz="12" w:space="0" w:color="00000A"/>
                    </w:tblBorders>
                    <w:tblCellMar>
                      <w:top w:w="0" w:type="dxa"/>
                      <w:left w:w="-6" w:type="dxa"/>
                      <w:bottom w:w="0" w:type="dxa"/>
                      <w:right w:w="108" w:type="dxa"/>
                    </w:tblCellMar>
                  </w:tblPr>
                  <w:tblGrid>
                    <w:gridCol w:w="4123"/>
                    <w:gridCol w:w="2406"/>
                    <w:gridCol w:w="2795"/>
                  </w:tblGrid>
                  <w:tr>
                    <w:trPr>
                      <w:cantSplit w:val="false"/>
                    </w:trPr>
                    <w:tc>
                      <w:tcPr>
                        <w:tcW w:w="4123" w:type="dxa"/>
                        <w:tcBorders>
                          <w:top w:val="single" w:sz="18" w:space="0" w:color="00000A"/>
                          <w:left w:val="single" w:sz="18" w:space="0" w:color="00000A"/>
                          <w:bottom w:val="single" w:sz="18" w:space="0" w:color="00000A"/>
                          <w:insideH w:val="single" w:sz="18" w:space="0" w:color="00000A"/>
                          <w:right w:val="single" w:sz="12" w:space="0" w:color="00000A"/>
                          <w:insideV w:val="single" w:sz="12" w:space="0" w:color="00000A"/>
                        </w:tcBorders>
                        <w:shd w:fill="FFFFFF" w:val="clear"/>
                        <w:tcMar>
                          <w:left w:w="-6" w:type="dxa"/>
                        </w:tcMar>
                        <w:vAlign w:val="center"/>
                      </w:tcPr>
                      <w:p>
                        <w:pPr>
                          <w:pStyle w:val="Normal"/>
                          <w:spacing w:before="0" w:after="0"/>
                          <w:jc w:val="center"/>
                          <w:rPr>
                            <w:rFonts w:cs="Times New Roman" w:ascii="Times New Roman" w:hAnsi="Times New Roman"/>
                            <w:b/>
                          </w:rPr>
                        </w:pPr>
                        <w:r>
                          <w:rPr>
                            <w:rFonts w:cs="Times New Roman" w:ascii="Times New Roman" w:hAnsi="Times New Roman"/>
                            <w:b/>
                          </w:rPr>
                          <w:t>Názov položky</w:t>
                        </w:r>
                      </w:p>
                    </w:tc>
                    <w:tc>
                      <w:tcPr>
                        <w:tcW w:w="2406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insideH w:val="single" w:sz="18" w:space="0" w:color="00000A"/>
                          <w:right w:val="single" w:sz="12" w:space="0" w:color="00000A"/>
                          <w:insideV w:val="single" w:sz="12" w:space="0" w:color="00000A"/>
                        </w:tcBorders>
                        <w:shd w:fill="FFFFFF" w:val="clear"/>
                        <w:tcMar>
                          <w:left w:w="18" w:type="dxa"/>
                        </w:tcMar>
                        <w:vAlign w:val="center"/>
                      </w:tcPr>
                      <w:p>
                        <w:pPr>
                          <w:pStyle w:val="Normal"/>
                          <w:spacing w:before="0" w:after="0"/>
                          <w:jc w:val="center"/>
                          <w:rPr>
                            <w:rFonts w:cs="Times New Roman" w:ascii="Times New Roman" w:hAnsi="Times New Roman"/>
                            <w:b/>
                          </w:rPr>
                        </w:pPr>
                        <w:r>
                          <w:rPr>
                            <w:rFonts w:cs="Times New Roman" w:ascii="Times New Roman" w:hAnsi="Times New Roman"/>
                            <w:b/>
                          </w:rPr>
                          <w:t>Bežné účtovné obdobie</w:t>
                        </w:r>
                      </w:p>
                    </w:tc>
                    <w:tc>
                      <w:tcPr>
                        <w:tcW w:w="2795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insideH w:val="single" w:sz="18" w:space="0" w:color="00000A"/>
                          <w:right w:val="single" w:sz="18" w:space="0" w:color="00000A"/>
                          <w:insideV w:val="single" w:sz="18" w:space="0" w:color="00000A"/>
                        </w:tcBorders>
                        <w:shd w:fill="FFFFFF" w:val="clear"/>
                        <w:tcMar>
                          <w:left w:w="18" w:type="dxa"/>
                        </w:tcMar>
                      </w:tcPr>
                      <w:p>
                        <w:pPr>
                          <w:pStyle w:val="Normal"/>
                          <w:spacing w:before="0" w:after="0"/>
                          <w:jc w:val="center"/>
                          <w:rPr>
                            <w:rFonts w:cs="Times New Roman" w:ascii="Times New Roman" w:hAnsi="Times New Roman"/>
                            <w:b/>
                          </w:rPr>
                        </w:pPr>
                        <w:r>
                          <w:rPr>
                            <w:rFonts w:cs="Times New Roman" w:ascii="Times New Roman" w:hAnsi="Times New Roman"/>
                            <w:b/>
                          </w:rPr>
                          <w:t>Bezprostredne predchádzajúce účtovné obdobie</w:t>
                        </w:r>
                      </w:p>
                    </w:tc>
                  </w:tr>
                  <w:tr>
                    <w:trPr>
                      <w:trHeight w:val="454" w:hRule="atLeast"/>
                      <w:cantSplit w:val="false"/>
                    </w:trPr>
                    <w:tc>
                      <w:tcPr>
                        <w:tcW w:w="4123" w:type="dxa"/>
                        <w:tcBorders>
                          <w:top w:val="single" w:sz="18" w:space="0" w:color="00000A"/>
                          <w:left w:val="single" w:sz="18" w:space="0" w:color="00000A"/>
                          <w:bottom w:val="single" w:sz="18" w:space="0" w:color="00000A"/>
                          <w:insideH w:val="single" w:sz="18" w:space="0" w:color="00000A"/>
                          <w:right w:val="single" w:sz="12" w:space="0" w:color="00000A"/>
                          <w:insideV w:val="single" w:sz="12" w:space="0" w:color="00000A"/>
                        </w:tcBorders>
                        <w:shd w:fill="FFFFFF" w:val="clear"/>
                        <w:tcMar>
                          <w:left w:w="-6" w:type="dxa"/>
                        </w:tcMar>
                      </w:tcPr>
                      <w:p>
                        <w:pPr>
                          <w:pStyle w:val="Normal"/>
                          <w:spacing w:before="0" w:after="0"/>
                          <w:rPr>
                            <w:rFonts w:cs="Times New Roman" w:ascii="Times New Roman" w:hAnsi="Times New Roman"/>
                          </w:rPr>
                        </w:pPr>
                        <w:r>
                          <w:rPr>
                            <w:rFonts w:cs="Times New Roman" w:ascii="Times New Roman" w:hAnsi="Times New Roman"/>
                          </w:rPr>
                          <w:t>Priemerný prepočítaný počet zamestnancov počas účtovného obdobia</w:t>
                        </w:r>
                      </w:p>
                    </w:tc>
                    <w:tc>
                      <w:tcPr>
                        <w:tcW w:w="2406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insideH w:val="single" w:sz="18" w:space="0" w:color="00000A"/>
                          <w:right w:val="single" w:sz="12" w:space="0" w:color="00000A"/>
                          <w:insideV w:val="single" w:sz="12" w:space="0" w:color="00000A"/>
                        </w:tcBorders>
                        <w:shd w:fill="FFFFFF" w:val="clear"/>
                        <w:tcMar>
                          <w:left w:w="18" w:type="dxa"/>
                        </w:tcMar>
                      </w:tcPr>
                      <w:p>
                        <w:pPr>
                          <w:pStyle w:val="Normal"/>
                          <w:spacing w:before="0" w:after="0"/>
                          <w:jc w:val="center"/>
                          <w:rPr>
                            <w:rFonts w:cs="Times New Roman" w:ascii="Times New Roman" w:hAnsi="Times New Roman"/>
                          </w:rPr>
                        </w:pPr>
                        <w:r>
                          <w:rPr>
                            <w:rFonts w:cs="Times New Roman" w:ascii="Times New Roman" w:hAnsi="Times New Roman"/>
                          </w:rPr>
                          <w:t>65</w:t>
                        </w:r>
                      </w:p>
                    </w:tc>
                    <w:tc>
                      <w:tcPr>
                        <w:tcW w:w="2795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insideH w:val="single" w:sz="18" w:space="0" w:color="00000A"/>
                          <w:right w:val="single" w:sz="18" w:space="0" w:color="00000A"/>
                          <w:insideV w:val="single" w:sz="18" w:space="0" w:color="00000A"/>
                        </w:tcBorders>
                        <w:shd w:fill="FFFFFF" w:val="clear"/>
                        <w:tcMar>
                          <w:left w:w="18" w:type="dxa"/>
                        </w:tcMar>
                      </w:tcPr>
                      <w:p>
                        <w:pPr>
                          <w:pStyle w:val="Normal"/>
                          <w:spacing w:before="0" w:after="0"/>
                          <w:jc w:val="center"/>
                          <w:rPr>
                            <w:rFonts w:cs="Times New Roman" w:ascii="Times New Roman" w:hAnsi="Times New Roman"/>
                          </w:rPr>
                        </w:pPr>
                        <w:r>
                          <w:rPr>
                            <w:rFonts w:cs="Times New Roman" w:ascii="Times New Roman" w:hAnsi="Times New Roman"/>
                          </w:rPr>
                          <w:t>50</w:t>
                        </w:r>
                      </w:p>
                    </w:tc>
                  </w:tr>
                </w:tbl>
                <w:p>
                  <w:pPr>
                    <w:pStyle w:val="Obsahrmca"/>
                    <w:spacing w:before="0" w:after="160"/>
                    <w:rPr/>
                  </w:pPr>
                  <w:r>
                    <w:rPr/>
                  </w:r>
                </w:p>
              </w:txbxContent>
            </v:textbox>
            <w10:wrap type="square"/>
          </v:rect>
        </w:pict>
      </w:r>
    </w:p>
    <w:p>
      <w:pPr>
        <w:pStyle w:val="Normal"/>
        <w:spacing w:lineRule="auto" w:line="240"/>
        <w:rPr>
          <w:rFonts w:cs="Times New Roman" w:ascii="Times New Roman" w:hAnsi="Times New Roman"/>
          <w:b/>
          <w:color w:val="5B9BD5"/>
        </w:rPr>
      </w:pPr>
      <w:r>
        <w:rPr>
          <w:rFonts w:cs="Times New Roman" w:ascii="Times New Roman" w:hAnsi="Times New Roman"/>
          <w:b/>
          <w:color w:val="5B9BD5"/>
        </w:rPr>
        <w:t>Čl. II</w:t>
        <w:tab/>
        <w:t>Informácie o orgánoch spoločnosti</w:t>
      </w:r>
    </w:p>
    <w:p>
      <w:pPr>
        <w:pStyle w:val="Normal"/>
        <w:spacing w:before="0" w:after="120"/>
        <w:jc w:val="both"/>
        <w:rPr>
          <w:rFonts w:cs="Times New Roman" w:ascii="Times New Roman" w:hAnsi="Times New Roman"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120"/>
        <w:jc w:val="both"/>
        <w:rPr>
          <w:rFonts w:cs="Times New Roman" w:ascii="Times New Roman" w:hAnsi="Times New Roman"/>
          <w:bCs/>
        </w:rPr>
      </w:pPr>
      <w:r>
        <w:rPr>
          <w:rFonts w:cs="Times New Roman" w:ascii="Times New Roman" w:hAnsi="Times New Roman"/>
          <w:b/>
        </w:rPr>
        <w:t>II.1</w:t>
        <w:tab/>
        <w:t>Informácie o orgánoch účtovnej jednotky</w:t>
      </w:r>
      <w:r>
        <w:rPr>
          <w:rFonts w:cs="Arial Narrow" w:ascii="Arial Narrow" w:hAnsi="Arial Narrow"/>
          <w:bCs/>
        </w:rPr>
        <w:t xml:space="preserve">– </w:t>
      </w:r>
      <w:r>
        <w:rPr>
          <w:rFonts w:cs="Times New Roman" w:ascii="Times New Roman" w:hAnsi="Times New Roman"/>
          <w:bCs/>
        </w:rPr>
        <w:t>pre členov štatutárneho orgánu neboli poskytnuté    . -          žiadne záruky, žiadne zabezpečenia, pôžičky.</w:t>
      </w:r>
    </w:p>
    <w:p>
      <w:pPr>
        <w:pStyle w:val="Normal"/>
        <w:spacing w:before="0" w:after="120"/>
        <w:jc w:val="both"/>
        <w:rPr>
          <w:rFonts w:cs="Times New Roman" w:ascii="Times New Roman" w:hAnsi="Times New Roman"/>
          <w:bCs/>
        </w:rPr>
      </w:pPr>
      <w:r>
        <w:rPr>
          <w:rFonts w:cs="Times New Roman" w:ascii="Times New Roman" w:hAnsi="Times New Roman"/>
          <w:bCs/>
        </w:rPr>
      </w:r>
    </w:p>
    <w:p>
      <w:pPr>
        <w:pStyle w:val="Normal"/>
        <w:spacing w:lineRule="auto" w:line="240"/>
        <w:rPr>
          <w:rFonts w:cs="Times New Roman" w:ascii="Times New Roman" w:hAnsi="Times New Roman"/>
          <w:b/>
          <w:color w:val="5B9BD5"/>
        </w:rPr>
      </w:pPr>
      <w:r>
        <w:rPr>
          <w:rFonts w:cs="Times New Roman" w:ascii="Times New Roman" w:hAnsi="Times New Roman"/>
          <w:b/>
          <w:color w:val="5B9BD5"/>
        </w:rPr>
        <w:t>Čl. III</w:t>
        <w:tab/>
        <w:t>Informácie o prijatých postupoch</w:t>
      </w:r>
    </w:p>
    <w:p>
      <w:pPr>
        <w:pStyle w:val="Normal"/>
        <w:rPr>
          <w:rFonts w:cs="Times New Roman" w:ascii="Times New Roman" w:hAnsi="Times New Roman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cs="Times New Roman" w:ascii="Times New Roman" w:hAnsi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>
      <w:pPr>
        <w:pStyle w:val="Normal"/>
        <w:spacing w:lineRule="auto" w:line="240"/>
        <w:jc w:val="both"/>
        <w:rPr>
          <w:rFonts w:ascii="Arial Narrow" w:hAnsi="Arial Narrow"/>
        </w:rPr>
      </w:pPr>
      <w:r>
        <w:rPr>
          <w:rFonts w:cs="Times New Roman" w:ascii="Times New Roman" w:hAnsi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>
      <w:pPr>
        <w:pStyle w:val="Normal"/>
        <w:spacing w:lineRule="auto" w:line="240" w:before="0" w:after="0"/>
        <w:jc w:val="both"/>
        <w:rPr>
          <w:rFonts w:cs="Times New Roman" w:ascii="Times New Roman" w:hAnsi="Times New Roman"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 w:before="0" w:after="0"/>
        <w:jc w:val="both"/>
        <w:rPr>
          <w:rFonts w:cs="Times New Roman" w:ascii="Times New Roman" w:hAnsi="Times New Roman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  <w:r>
        <w:rPr>
          <w:rFonts w:cs="Times New Roman" w:ascii="Times New Roman" w:hAnsi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>
      <w:pPr>
        <w:pStyle w:val="Normal"/>
        <w:ind w:left="0" w:right="-141" w:hanging="0"/>
        <w:jc w:val="both"/>
        <w:rPr>
          <w:rFonts w:cs="Arial Narrow" w:ascii="Arial Narrow" w:hAnsi="Arial Narrow"/>
        </w:rPr>
      </w:pPr>
      <w:r>
        <w:rPr>
          <w:rFonts w:cs="Arial Narrow" w:ascii="Arial Narrow" w:hAnsi="Arial Narrow"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  <w:t>III. 3</w:t>
        <w:tab/>
        <w:t xml:space="preserve">Informácie o charaktere a účele transakcií, ktoré sa neuvádzajú v súvahe: </w:t>
      </w:r>
      <w:r>
        <w:rPr>
          <w:rFonts w:eastAsia="MS Gothic" w:cs="Times New Roman" w:ascii="Times New Roman" w:hAnsi="Times New Roman"/>
          <w:szCs w:val="24"/>
        </w:rPr>
        <w:t>nie je náplň</w:t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  <w:t>III. 4 a)   Spôsob oceňovania jednotlivých zložiek majetku a záväzkov: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jc w:val="left"/>
        <w:tblInd w:w="-25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705"/>
        <w:gridCol w:w="5296"/>
        <w:gridCol w:w="3607"/>
      </w:tblGrid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jc w:val="both"/>
              <w:rPr>
                <w:rFonts w:cs="Arial" w:ascii="Arial Narrow" w:hAnsi="Arial Narrow"/>
              </w:rPr>
            </w:pPr>
            <w:r>
              <w:rPr>
                <w:rFonts w:cs="Arial" w:ascii="Arial Narrow" w:hAnsi="Arial Narrow"/>
              </w:rPr>
              <w:t xml:space="preserve">Dlhodobý hmotný majetok externe kúpený: 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jc w:val="both"/>
              <w:rPr>
                <w:rFonts w:cs="Arial" w:ascii="Arial Narrow" w:hAnsi="Arial Narrow"/>
              </w:rPr>
            </w:pPr>
            <w:r>
              <w:rPr>
                <w:rFonts w:cs="Arial" w:ascii="Arial Narrow" w:hAnsi="Arial Narrow"/>
              </w:rPr>
              <w:t xml:space="preserve">Dlhodobý finančný majetok: 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jc w:val="both"/>
              <w:rPr>
                <w:rFonts w:cs="Arial" w:ascii="Arial Narrow" w:hAnsi="Arial Narrow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Časové rozlíšenie na strane pasív súvahy: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jc w:val="both"/>
              <w:rPr>
                <w:rFonts w:cs="Arial" w:ascii="Arial Narrow" w:hAnsi="Arial Narrow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 xml:space="preserve">Majetok a záväzky zabezpečené derivátmi: 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>
          <w:cantSplit w:val="false"/>
        </w:trPr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2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60"/>
              <w:jc w:val="both"/>
              <w:rPr>
                <w:rFonts w:cs="Arial" w:ascii="Arial Narrow" w:hAnsi="Arial Narrow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Splatná daň z príjmov a odložená daň z príjmov:</w:t>
            </w:r>
          </w:p>
        </w:tc>
        <w:tc>
          <w:tcPr>
            <w:tcW w:w="3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cs="Arial" w:ascii="Arial Narrow" w:hAnsi="Arial Narrow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>
          <w:rFonts w:cs="Times New Roman" w:ascii="Times New Roman" w:hAnsi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  <w:t>III. 4 b)   Odhad zníženia hodnoty majetku a tvorba OP k majetku</w:t>
      </w:r>
    </w:p>
    <w:p>
      <w:pPr>
        <w:pStyle w:val="NoSpacing"/>
        <w:rPr/>
      </w:pPr>
      <w:r>
        <w:rPr/>
        <w:t xml:space="preserve">Spoločnosť tvorila opravné položky k pohľadávkam, u ktorých je opodstatnené predpokladať, že ju </w:t>
      </w:r>
    </w:p>
    <w:p>
      <w:pPr>
        <w:pStyle w:val="NoSpacing"/>
        <w:rPr/>
      </w:pPr>
      <w:r>
        <w:rPr/>
        <w:t>dlžník úplne alebo čiastočne nezaplatí a k spornej pohľadávke voči dlžníkovi, s ktorým sa vedie spor o jej uznanie. Celková hodnota opravných položiek k pohľadávkam k 31.12.2016 predstavuje  17850,93          €.</w:t>
      </w:r>
    </w:p>
    <w:p>
      <w:pPr>
        <w:pStyle w:val="NoSpacing"/>
        <w:rPr/>
      </w:pPr>
      <w:r>
        <w:rPr/>
        <w:t>Neuhradené pohľadávky z obchodného styku ku koncu roku sú v celkovej výške  230514,68        €.</w:t>
      </w:r>
    </w:p>
    <w:p>
      <w:pPr>
        <w:pStyle w:val="NoSpacing"/>
        <w:rPr/>
      </w:pPr>
      <w:r>
        <w:rPr/>
        <w:t xml:space="preserve"> </w:t>
      </w:r>
    </w:p>
    <w:tbl>
      <w:tblPr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insideH w:val="single" w:sz="18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</w:tblPr>
      <w:tblGrid>
        <w:gridCol w:w="5875"/>
        <w:gridCol w:w="3687"/>
      </w:tblGrid>
      <w:tr>
        <w:trPr>
          <w:trHeight w:val="735" w:hRule="atLeast"/>
          <w:cantSplit w:val="false"/>
        </w:trPr>
        <w:tc>
          <w:tcPr>
            <w:tcW w:w="587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Pohľadávka  Cestné stavby žilina</w:t>
            </w:r>
          </w:p>
        </w:tc>
        <w:tc>
          <w:tcPr>
            <w:tcW w:w="368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 xml:space="preserve">                     </w:t>
            </w: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870,40</w:t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Pohľadávka  FEKO, s.r.o Dúbrava</w:t>
            </w:r>
          </w:p>
        </w:tc>
        <w:tc>
          <w:tcPr>
            <w:tcW w:w="36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7440,00</w:t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 Bakala </w:t>
            </w:r>
          </w:p>
        </w:tc>
        <w:tc>
          <w:tcPr>
            <w:tcW w:w="36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73,26</w:t>
            </w:r>
          </w:p>
          <w:p>
            <w:pPr>
              <w:pStyle w:val="Normal"/>
              <w:spacing w:lineRule="auto" w:line="240" w:before="0" w:after="0"/>
              <w:ind w:left="0" w:right="0" w:hanging="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/>
            </w:pPr>
            <w:r>
              <w:rPr/>
              <w:t>Pohľadávka ing.Mäsiar</w:t>
            </w:r>
          </w:p>
        </w:tc>
        <w:tc>
          <w:tcPr>
            <w:tcW w:w="36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436,62</w:t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/>
            </w:pPr>
            <w:r>
              <w:rPr/>
              <w:t>Pohľadávka Profiulding, s.r.o.</w:t>
            </w:r>
          </w:p>
        </w:tc>
        <w:tc>
          <w:tcPr>
            <w:tcW w:w="36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492,84</w:t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/>
            </w:pPr>
            <w:r>
              <w:rPr/>
              <w:t>Pohľadávka Váhostav</w:t>
            </w:r>
          </w:p>
        </w:tc>
        <w:tc>
          <w:tcPr>
            <w:tcW w:w="36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6975,68</w:t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/>
            </w:pPr>
            <w:r>
              <w:rPr/>
              <w:t>Pohľadávka vINEX</w:t>
            </w:r>
          </w:p>
        </w:tc>
        <w:tc>
          <w:tcPr>
            <w:tcW w:w="36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50,88</w:t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/>
            </w:pPr>
            <w:r>
              <w:rPr/>
              <w:t>POHľADáVKA  Lumarktech s.r.o.</w:t>
            </w:r>
          </w:p>
        </w:tc>
        <w:tc>
          <w:tcPr>
            <w:tcW w:w="36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569,20</w:t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/>
            </w:pPr>
            <w:r>
              <w:rPr/>
              <w:t>Pohľadávka Kamhal MIROSLAV</w:t>
            </w:r>
          </w:p>
        </w:tc>
        <w:tc>
          <w:tcPr>
            <w:tcW w:w="36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240,65</w:t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/>
            </w:pPr>
            <w:r>
              <w:rPr/>
              <w:t>POHľADáVKA Best sr.o.</w:t>
            </w:r>
          </w:p>
        </w:tc>
        <w:tc>
          <w:tcPr>
            <w:tcW w:w="36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701,40</w:t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/>
            </w:pPr>
            <w:r>
              <w:rPr/>
              <w:t xml:space="preserve">                                                                           </w:t>
            </w:r>
            <w:r>
              <w:rPr/>
              <w:t>spolu</w:t>
            </w:r>
          </w:p>
        </w:tc>
        <w:tc>
          <w:tcPr>
            <w:tcW w:w="36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17 850,93</w:t>
            </w:r>
          </w:p>
        </w:tc>
      </w:tr>
      <w:tr>
        <w:trPr>
          <w:trHeight w:val="390" w:hRule="atLeast"/>
          <w:cantSplit w:val="false"/>
        </w:trPr>
        <w:tc>
          <w:tcPr>
            <w:tcW w:w="5875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220"/>
              <w:rPr/>
            </w:pPr>
            <w:r>
              <w:rPr/>
            </w:r>
          </w:p>
        </w:tc>
        <w:tc>
          <w:tcPr>
            <w:tcW w:w="368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left="0" w:right="0" w:firstLine="66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cs="Times New Roman"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  <w:t>III. 4 c)   Ocenenie záväzkov a stanovenie odhadu ocenenia rezerv</w:t>
      </w:r>
    </w:p>
    <w:p>
      <w:pPr>
        <w:pStyle w:val="NoSpacing"/>
        <w:rPr/>
      </w:pPr>
      <w:r>
        <w:rPr/>
        <w:t>Spoločnosť tvorila krátkodobé rezervy, kde predpokladaná doba plnenia príslušného záväzku je najviac</w:t>
      </w:r>
    </w:p>
    <w:p>
      <w:pPr>
        <w:pStyle w:val="NoSpacing"/>
        <w:rPr/>
      </w:pPr>
      <w:r>
        <w:rPr/>
        <w:t xml:space="preserve">jeden rok. </w:t>
      </w:r>
    </w:p>
    <w:p>
      <w:pPr>
        <w:pStyle w:val="NoSpacing"/>
        <w:rPr/>
      </w:pPr>
      <w:r>
        <w:rPr/>
      </w:r>
    </w:p>
    <w:tbl>
      <w:tblPr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insideH w:val="single" w:sz="18" w:space="0" w:color="00000A"/>
          <w:right w:val="single" w:sz="18" w:space="0" w:color="00000A"/>
          <w:insideV w:val="single" w:sz="18" w:space="0" w:color="00000A"/>
        </w:tblBorders>
        <w:tblCellMar>
          <w:top w:w="0" w:type="dxa"/>
          <w:left w:w="-21" w:type="dxa"/>
          <w:bottom w:w="0" w:type="dxa"/>
          <w:right w:w="70" w:type="dxa"/>
        </w:tblCellMar>
      </w:tblPr>
      <w:tblGrid>
        <w:gridCol w:w="5877"/>
        <w:gridCol w:w="3458"/>
      </w:tblGrid>
      <w:tr>
        <w:trPr>
          <w:trHeight w:val="390" w:hRule="atLeast"/>
          <w:cantSplit w:val="false"/>
        </w:trPr>
        <w:tc>
          <w:tcPr>
            <w:tcW w:w="587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  <w:cantSplit w:val="false"/>
        </w:trPr>
        <w:tc>
          <w:tcPr>
            <w:tcW w:w="5877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800,00</w:t>
            </w:r>
          </w:p>
        </w:tc>
      </w:tr>
      <w:tr>
        <w:trPr>
          <w:trHeight w:val="390" w:hRule="atLeast"/>
          <w:cantSplit w:val="false"/>
        </w:trPr>
        <w:tc>
          <w:tcPr>
            <w:tcW w:w="587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16829,21</w:t>
            </w:r>
          </w:p>
        </w:tc>
      </w:tr>
      <w:tr>
        <w:trPr>
          <w:trHeight w:val="390" w:hRule="atLeast"/>
          <w:cantSplit w:val="false"/>
        </w:trPr>
        <w:tc>
          <w:tcPr>
            <w:tcW w:w="587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21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</w:t>
            </w:r>
          </w:p>
        </w:tc>
      </w:tr>
    </w:tbl>
    <w:p>
      <w:pPr>
        <w:pStyle w:val="Normal"/>
        <w:spacing w:lineRule="auto" w:line="240"/>
        <w:jc w:val="both"/>
        <w:rPr>
          <w:rFonts w:cs="Times New Roman"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  <w:t>III. 4 d)  Ocenenie krátkodobého finančného majetku reálnou hodnotou ku dňu zostavenia účtovnej závierky:</w:t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</w:r>
    </w:p>
    <w:tbl>
      <w:tblPr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insideH w:val="single" w:sz="18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</w:tblPr>
      <w:tblGrid>
        <w:gridCol w:w="3324"/>
        <w:gridCol w:w="2123"/>
        <w:gridCol w:w="1556"/>
        <w:gridCol w:w="2275"/>
      </w:tblGrid>
      <w:tr>
        <w:trPr>
          <w:trHeight w:val="1870" w:hRule="atLeast"/>
          <w:cantSplit w:val="false"/>
        </w:trPr>
        <w:tc>
          <w:tcPr>
            <w:tcW w:w="332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7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  <w:cantSplit w:val="false"/>
        </w:trPr>
        <w:tc>
          <w:tcPr>
            <w:tcW w:w="3324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Arial" w:ascii="Arial" w:hAnsi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3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Arial" w:ascii="Arial" w:hAnsi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Arial" w:ascii="Arial" w:hAnsi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227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Arial" w:ascii="Arial" w:hAnsi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cs="Times New Roman"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>
      <w:pPr>
        <w:pStyle w:val="NoSpacing"/>
        <w:rPr>
          <w:b/>
        </w:rPr>
      </w:pPr>
      <w:r>
        <w:rPr>
          <w:b/>
        </w:rPr>
        <w:t xml:space="preserve">             </w:t>
      </w:r>
      <w:r>
        <w:rPr>
          <w:b/>
        </w:rPr>
        <w:t>finančnému</w:t>
      </w:r>
      <w:r>
        <w:rPr/>
        <w:t xml:space="preserve"> </w:t>
      </w:r>
      <w:r>
        <w:rPr>
          <w:b/>
        </w:rPr>
        <w:t xml:space="preserve">: </w:t>
      </w:r>
    </w:p>
    <w:p>
      <w:pPr>
        <w:pStyle w:val="Normal"/>
        <w:spacing w:lineRule="auto" w:line="240"/>
        <w:jc w:val="both"/>
        <w:rPr>
          <w:rFonts w:cs="Times New Roman"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  <w:t>III. 4 f)     Spôsob zostavenia odpisového plánu dlhodobého majetku</w:t>
      </w:r>
    </w:p>
    <w:p>
      <w:pPr>
        <w:pStyle w:val="Normal"/>
        <w:spacing w:lineRule="auto" w:line="240"/>
        <w:jc w:val="both"/>
        <w:rPr>
          <w:rFonts w:cs="Times New Roman" w:ascii="Times New Roman" w:hAnsi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p>
      <w:pPr>
        <w:pStyle w:val="Normal"/>
        <w:spacing w:lineRule="auto" w:line="240"/>
        <w:jc w:val="both"/>
        <w:rPr>
          <w:rFonts w:cs="Times New Roman" w:ascii="Times New Roman" w:hAnsi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jc w:val="left"/>
        <w:tblInd w:w="-125" w:type="dxa"/>
        <w:tblBorders>
          <w:top w:val="single" w:sz="18" w:space="0" w:color="00000A"/>
          <w:left w:val="single" w:sz="18" w:space="0" w:color="00000A"/>
          <w:bottom w:val="single" w:sz="18" w:space="0" w:color="00000A"/>
          <w:insideH w:val="single" w:sz="18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108" w:type="dxa"/>
        </w:tblCellMar>
      </w:tblPr>
      <w:tblGrid>
        <w:gridCol w:w="2833"/>
        <w:gridCol w:w="2952"/>
        <w:gridCol w:w="3552"/>
      </w:tblGrid>
      <w:tr>
        <w:trPr>
          <w:cantSplit w:val="false"/>
        </w:trPr>
        <w:tc>
          <w:tcPr>
            <w:tcW w:w="283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9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35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</w:tr>
      <w:tr>
        <w:trPr>
          <w:trHeight w:val="340" w:hRule="atLeast"/>
          <w:cantSplit w:val="false"/>
        </w:trPr>
        <w:tc>
          <w:tcPr>
            <w:tcW w:w="2833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before="0" w:after="0"/>
              <w:jc w:val="both"/>
              <w:rPr>
                <w:rFonts w:cs="Arial" w:ascii="Arial Narrow" w:hAnsi="Arial Narrow"/>
              </w:rPr>
            </w:pPr>
            <w:r>
              <w:rPr>
                <w:rFonts w:cs="Arial" w:ascii="Arial Narrow" w:hAnsi="Arial Narrow"/>
              </w:rPr>
              <w:t>Software</w:t>
            </w:r>
          </w:p>
        </w:tc>
        <w:tc>
          <w:tcPr>
            <w:tcW w:w="2952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52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  <w:cantSplit w:val="false"/>
        </w:trPr>
        <w:tc>
          <w:tcPr>
            <w:tcW w:w="2833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before="0" w:after="0"/>
              <w:jc w:val="both"/>
              <w:rPr>
                <w:rFonts w:cs="Arial" w:ascii="Arial Narrow" w:hAnsi="Arial Narrow"/>
              </w:rPr>
            </w:pPr>
            <w:r>
              <w:rPr>
                <w:rFonts w:cs="Arial" w:ascii="Arial Narrow" w:hAnsi="Arial Narrow"/>
              </w:rPr>
              <w:t>Budovy a stavby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35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>
          <w:trHeight w:val="340" w:hRule="atLeast"/>
          <w:cantSplit w:val="false"/>
        </w:trPr>
        <w:tc>
          <w:tcPr>
            <w:tcW w:w="2833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before="0" w:after="0"/>
              <w:jc w:val="both"/>
              <w:rPr>
                <w:rFonts w:cs="Arial" w:ascii="Arial Narrow" w:hAnsi="Arial Narrow"/>
              </w:rPr>
            </w:pPr>
            <w:r>
              <w:rPr>
                <w:rFonts w:cs="Arial" w:ascii="Arial Narrow" w:hAnsi="Arial Narrow"/>
              </w:rPr>
              <w:t>Drobné stavby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5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</w:tr>
      <w:tr>
        <w:trPr>
          <w:trHeight w:val="340" w:hRule="atLeast"/>
          <w:cantSplit w:val="false"/>
        </w:trPr>
        <w:tc>
          <w:tcPr>
            <w:tcW w:w="2833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before="0" w:after="0"/>
              <w:jc w:val="both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5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</w:t>
            </w:r>
          </w:p>
        </w:tc>
      </w:tr>
      <w:tr>
        <w:trPr>
          <w:trHeight w:val="340" w:hRule="atLeast"/>
          <w:cantSplit w:val="false"/>
        </w:trPr>
        <w:tc>
          <w:tcPr>
            <w:tcW w:w="2833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5" w:type="dxa"/>
            </w:tcMar>
          </w:tcPr>
          <w:p>
            <w:pPr>
              <w:pStyle w:val="Normal"/>
              <w:spacing w:before="0" w:after="0"/>
              <w:jc w:val="both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Prístroje a zariadenia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52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32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Times New Roman"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 w:before="0" w:after="120"/>
        <w:jc w:val="both"/>
        <w:rPr>
          <w:rFonts w:cs="Arial Narrow" w:ascii="Arial Narrow" w:hAnsi="Arial Narrow"/>
        </w:rPr>
      </w:pPr>
      <w:r>
        <w:rPr>
          <w:rFonts w:cs="Arial Narrow" w:ascii="Arial Narrow" w:hAnsi="Arial Narrow"/>
        </w:rPr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right="0" w:hanging="360"/>
        <w:jc w:val="both"/>
        <w:rPr>
          <w:rFonts w:cs="Times New Roman" w:ascii="Times New Roman" w:hAnsi="Times New Roman"/>
        </w:rPr>
      </w:pPr>
      <w:r>
        <w:rPr>
          <w:rFonts w:cs="Times New Roman" w:ascii="Times New Roman" w:hAnsi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right="0" w:hanging="360"/>
        <w:jc w:val="both"/>
        <w:rPr>
          <w:rFonts w:cs="Times New Roman" w:ascii="Times New Roman" w:hAnsi="Times New Roman"/>
        </w:rPr>
      </w:pPr>
      <w:r>
        <w:rPr>
          <w:rFonts w:cs="Times New Roman" w:ascii="Times New Roman" w:hAnsi="Times New Roman"/>
        </w:rPr>
        <w:t>ÚJ používa rovnomerné odpisovanie dlhodobého hmotného majetku a dlhodobého nehmotného majetku. Podrobný účtovný odpisový plán po položkách sa vedie v podsystéme DHM s podporou softvéru .Oberon (taktiež daňové odpisy podľa zákona o dani z príjmov).</w:t>
      </w:r>
    </w:p>
    <w:p>
      <w:pPr>
        <w:pStyle w:val="Normal"/>
        <w:spacing w:lineRule="auto" w:line="240" w:before="240" w:after="160"/>
        <w:ind w:left="992" w:right="0" w:hanging="992"/>
        <w:jc w:val="both"/>
        <w:rPr>
          <w:rFonts w:eastAsia="MS Gothic" w:cs="Times New Roman" w:ascii="Times New Roman" w:hAnsi="Times New Roman"/>
        </w:rPr>
      </w:pPr>
      <w:r>
        <w:rPr>
          <w:rFonts w:eastAsia="MS Gothic" w:cs="Times New Roman" w:ascii="Times New Roman" w:hAnsi="Times New Roman"/>
          <w:b/>
        </w:rPr>
        <w:t>III. 4 g)</w:t>
        <w:tab/>
        <w:t xml:space="preserve">Dotácie poskytnuté na obstaranie majetku: </w:t>
      </w:r>
      <w:r>
        <w:rPr>
          <w:rFonts w:eastAsia="MS Gothic" w:cs="Times New Roman" w:ascii="Times New Roman" w:hAnsi="Times New Roman"/>
        </w:rPr>
        <w:t>v sledovanom období nebola poskytnutá.žiadne</w:t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</w:rPr>
      </w:pPr>
      <w:r>
        <w:rPr>
          <w:rFonts w:eastAsia="MS Gothic" w:cs="Times New Roman" w:ascii="Times New Roman" w:hAnsi="Times New Roman"/>
          <w:b/>
        </w:rPr>
        <w:t xml:space="preserve">III. 5 </w:t>
        <w:tab/>
        <w:t xml:space="preserve">Oprava významných a nevýznamných chýb minulých účtovných období vykonaných v bežnom účtovnom období: </w:t>
      </w:r>
      <w:r>
        <w:rPr>
          <w:rFonts w:eastAsia="MS Gothic" w:cs="Times New Roman" w:ascii="Times New Roman" w:hAnsi="Times New Roman"/>
        </w:rPr>
        <w:t>v sledovanom období nebolo účtované o chybách minulých účtovných období.</w:t>
      </w:r>
    </w:p>
    <w:p>
      <w:pPr>
        <w:pStyle w:val="Normal"/>
        <w:spacing w:lineRule="auto" w:line="240" w:before="240" w:after="0"/>
        <w:ind w:left="992" w:right="0" w:hanging="992"/>
        <w:rPr>
          <w:rFonts w:cs="Times New Roman" w:ascii="Times New Roman" w:hAnsi="Times New Roman"/>
          <w:b/>
          <w:color w:val="5B9BD5"/>
          <w:szCs w:val="24"/>
        </w:rPr>
      </w:pPr>
      <w:r>
        <w:rPr>
          <w:rFonts w:cs="Times New Roman" w:ascii="Times New Roman" w:hAnsi="Times New Roman"/>
          <w:b/>
          <w:color w:val="5B9BD5"/>
          <w:szCs w:val="24"/>
        </w:rPr>
      </w:r>
    </w:p>
    <w:p>
      <w:pPr>
        <w:pStyle w:val="Normal"/>
        <w:spacing w:lineRule="auto" w:line="240" w:before="240" w:after="0"/>
        <w:ind w:left="992" w:right="0" w:hanging="992"/>
        <w:rPr>
          <w:rFonts w:cs="Times New Roman" w:ascii="Times New Roman" w:hAnsi="Times New Roman"/>
          <w:b/>
          <w:color w:val="5B9BD5"/>
          <w:szCs w:val="24"/>
        </w:rPr>
      </w:pPr>
      <w:r>
        <w:rPr>
          <w:rFonts w:cs="Times New Roman" w:ascii="Times New Roman" w:hAnsi="Times New Roman"/>
          <w:b/>
          <w:color w:val="5B9BD5"/>
          <w:szCs w:val="24"/>
        </w:rPr>
        <w:t>Čl. IV</w:t>
        <w:tab/>
        <w:t>Informácie, ktoré vysvetľujú a dopĺňajú súvahu a  výkaz ziskov a strát</w:t>
      </w:r>
    </w:p>
    <w:p>
      <w:pPr>
        <w:pStyle w:val="Normal"/>
        <w:spacing w:lineRule="auto" w:line="240"/>
        <w:ind w:left="0" w:right="-284" w:hanging="0"/>
        <w:jc w:val="both"/>
        <w:rPr>
          <w:rFonts w:eastAsia="MS Gothic" w:cs="Times New Roman" w:ascii="Times New Roman" w:hAnsi="Times New Roman"/>
          <w:b/>
          <w:szCs w:val="24"/>
        </w:rPr>
      </w:pPr>
      <w:r>
        <w:rPr>
          <w:rFonts w:eastAsia="MS Gothic"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</w:rPr>
      </w:pPr>
      <w:r>
        <w:rPr>
          <w:rFonts w:eastAsia="MS Gothic" w:cs="Times New Roman" w:ascii="Times New Roman" w:hAnsi="Times New Roman"/>
          <w:b/>
        </w:rPr>
        <w:t>IV. 1 a)</w:t>
        <w:tab/>
        <w:t xml:space="preserve">Informácie o záväzkoch: </w:t>
      </w:r>
      <w:r>
        <w:rPr>
          <w:rFonts w:eastAsia="MS Gothic" w:cs="Times New Roman" w:ascii="Times New Roman" w:hAnsi="Times New Roman"/>
        </w:rPr>
        <w:t>spoločnosť nevykazuje záväzky so zostatkovou dobou splatnosti viac ako 5 rokov.</w:t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</w:rPr>
      </w:pPr>
      <w:r>
        <w:rPr>
          <w:rFonts w:eastAsia="MS Gothic" w:cs="Times New Roman" w:ascii="Times New Roman" w:hAnsi="Times New Roman"/>
          <w:b/>
        </w:rPr>
        <w:t>IV. 1 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</w:rPr>
        <w:t xml:space="preserve">v sledovanom období nebolo zriadené </w:t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</w:rPr>
      </w:pPr>
      <w:r>
        <w:rPr>
          <w:rFonts w:eastAsia="MS Gothic" w:cs="Times New Roman" w:ascii="Times New Roman" w:hAnsi="Times New Roman"/>
        </w:rPr>
        <w:t xml:space="preserve">                 </w:t>
      </w:r>
      <w:r>
        <w:rPr>
          <w:rFonts w:eastAsia="MS Gothic" w:cs="Times New Roman" w:ascii="Times New Roman" w:hAnsi="Times New Roman"/>
        </w:rPr>
        <w:t>záložné právo k majetku.</w:t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  <w:t>IV. 3</w:t>
        <w:tab/>
        <w:t>Informácie o výnosoch a nákladoch, ktoré majú výnimočný rozsah alebo výskyt</w:t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  <w:t>tabuľka č. 1</w:t>
      </w:r>
    </w:p>
    <w:tbl>
      <w:tblPr>
        <w:jc w:val="left"/>
        <w:tblInd w:w="-66" w:type="dxa"/>
        <w:tblBorders>
          <w:top w:val="single" w:sz="18" w:space="0" w:color="00000A"/>
          <w:left w:val="single" w:sz="18" w:space="0" w:color="00000A"/>
          <w:bottom w:val="single" w:sz="18" w:space="0" w:color="00000A"/>
          <w:insideH w:val="single" w:sz="18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21" w:type="dxa"/>
          <w:bottom w:w="0" w:type="dxa"/>
          <w:right w:w="70" w:type="dxa"/>
        </w:tblCellMar>
      </w:tblPr>
      <w:tblGrid>
        <w:gridCol w:w="3893"/>
        <w:gridCol w:w="2600"/>
        <w:gridCol w:w="2863"/>
      </w:tblGrid>
      <w:tr>
        <w:trPr>
          <w:trHeight w:val="975" w:hRule="atLeast"/>
          <w:cantSplit w:val="false"/>
        </w:trPr>
        <w:tc>
          <w:tcPr>
            <w:tcW w:w="389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6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insideH w:val="single" w:sz="18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3893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1. Tržby za tovar</w:t>
            </w:r>
          </w:p>
        </w:tc>
        <w:tc>
          <w:tcPr>
            <w:tcW w:w="26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286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</w:t>
            </w:r>
          </w:p>
        </w:tc>
      </w:tr>
      <w:tr>
        <w:trPr>
          <w:trHeight w:val="330" w:hRule="atLeast"/>
          <w:cantSplit w:val="false"/>
        </w:trPr>
        <w:tc>
          <w:tcPr>
            <w:tcW w:w="3893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Tržby za vlastné výroby:</w:t>
            </w:r>
          </w:p>
        </w:tc>
        <w:tc>
          <w:tcPr>
            <w:tcW w:w="26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345130,00</w:t>
            </w:r>
          </w:p>
        </w:tc>
        <w:tc>
          <w:tcPr>
            <w:tcW w:w="286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286942,00</w:t>
            </w:r>
          </w:p>
        </w:tc>
      </w:tr>
      <w:tr>
        <w:trPr>
          <w:trHeight w:val="330" w:hRule="atLeast"/>
          <w:cantSplit w:val="false"/>
        </w:trPr>
        <w:tc>
          <w:tcPr>
            <w:tcW w:w="3893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 </w:t>
            </w:r>
          </w:p>
        </w:tc>
        <w:tc>
          <w:tcPr>
            <w:tcW w:w="26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286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</w:t>
            </w:r>
          </w:p>
        </w:tc>
      </w:tr>
      <w:tr>
        <w:trPr>
          <w:trHeight w:val="330" w:hRule="atLeast"/>
          <w:cantSplit w:val="false"/>
        </w:trPr>
        <w:tc>
          <w:tcPr>
            <w:tcW w:w="3893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tržby za </w:t>
            </w:r>
          </w:p>
        </w:tc>
        <w:tc>
          <w:tcPr>
            <w:tcW w:w="26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286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</w:t>
            </w:r>
          </w:p>
        </w:tc>
      </w:tr>
      <w:tr>
        <w:trPr>
          <w:trHeight w:val="330" w:hRule="atLeast"/>
          <w:cantSplit w:val="false"/>
        </w:trPr>
        <w:tc>
          <w:tcPr>
            <w:tcW w:w="3893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Tržby z predaja služieb</w:t>
            </w:r>
          </w:p>
        </w:tc>
        <w:tc>
          <w:tcPr>
            <w:tcW w:w="26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1633421,00</w:t>
            </w:r>
          </w:p>
        </w:tc>
        <w:tc>
          <w:tcPr>
            <w:tcW w:w="286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2308563,00</w:t>
            </w:r>
          </w:p>
        </w:tc>
      </w:tr>
      <w:tr>
        <w:trPr>
          <w:trHeight w:val="330" w:hRule="atLeast"/>
          <w:cantSplit w:val="false"/>
        </w:trPr>
        <w:tc>
          <w:tcPr>
            <w:tcW w:w="3893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prenájom nebytov. priestorov</w:t>
            </w:r>
          </w:p>
        </w:tc>
        <w:tc>
          <w:tcPr>
            <w:tcW w:w="26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3893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dopravné výkony</w:t>
            </w:r>
          </w:p>
        </w:tc>
        <w:tc>
          <w:tcPr>
            <w:tcW w:w="26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3893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4. Tržby z predaja dlhodobého majetku</w:t>
            </w:r>
          </w:p>
        </w:tc>
        <w:tc>
          <w:tcPr>
            <w:tcW w:w="26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58333</w:t>
            </w:r>
          </w:p>
        </w:tc>
        <w:tc>
          <w:tcPr>
            <w:tcW w:w="286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3893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5. Ostatné výnosy z hospodárskej činnosti</w:t>
            </w:r>
          </w:p>
        </w:tc>
        <w:tc>
          <w:tcPr>
            <w:tcW w:w="26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53611</w:t>
            </w:r>
          </w:p>
        </w:tc>
        <w:tc>
          <w:tcPr>
            <w:tcW w:w="286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30916</w:t>
            </w:r>
          </w:p>
        </w:tc>
      </w:tr>
      <w:tr>
        <w:trPr>
          <w:trHeight w:val="330" w:hRule="atLeast"/>
          <w:cantSplit w:val="false"/>
        </w:trPr>
        <w:tc>
          <w:tcPr>
            <w:tcW w:w="3893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3893" w:type="dxa"/>
            <w:tcBorders>
              <w:top w:val="nil"/>
              <w:left w:val="single" w:sz="18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8" w:space="0" w:color="00000A"/>
              <w:insideV w:val="single" w:sz="18" w:space="0" w:color="00000A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tabuľka č. 2</w:t>
      </w:r>
    </w:p>
    <w:tbl>
      <w:tblPr>
        <w:jc w:val="left"/>
        <w:tblInd w:w="-66" w:type="dxa"/>
        <w:tblBorders>
          <w:top w:val="single" w:sz="18" w:space="0" w:color="000001"/>
          <w:left w:val="single" w:sz="18" w:space="0" w:color="000001"/>
          <w:bottom w:val="single" w:sz="18" w:space="0" w:color="000001"/>
          <w:insideH w:val="single" w:sz="18" w:space="0" w:color="000001"/>
          <w:right w:val="single" w:sz="12" w:space="0" w:color="000001"/>
          <w:insideV w:val="single" w:sz="12" w:space="0" w:color="000001"/>
        </w:tblBorders>
        <w:tblCellMar>
          <w:top w:w="0" w:type="dxa"/>
          <w:left w:w="-21" w:type="dxa"/>
          <w:bottom w:w="0" w:type="dxa"/>
          <w:right w:w="70" w:type="dxa"/>
        </w:tblCellMar>
      </w:tblPr>
      <w:tblGrid>
        <w:gridCol w:w="3892"/>
        <w:gridCol w:w="2764"/>
        <w:gridCol w:w="2699"/>
      </w:tblGrid>
      <w:tr>
        <w:trPr>
          <w:trHeight w:val="694" w:hRule="atLeast"/>
          <w:cantSplit w:val="false"/>
        </w:trPr>
        <w:tc>
          <w:tcPr>
            <w:tcW w:w="3892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insideH w:val="single" w:sz="1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4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insideH w:val="single" w:sz="1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9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insideH w:val="single" w:sz="18" w:space="0" w:color="000001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4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  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4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1085966</w:t>
            </w:r>
          </w:p>
        </w:tc>
        <w:tc>
          <w:tcPr>
            <w:tcW w:w="269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13714364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materiálu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1073321</w:t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1357716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energie a vody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12645</w:t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13648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Služby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252206</w:t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480710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služby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23348</w:t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32758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ostatné služby 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184858</w:t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394209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nájom za 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opravy strojov a budov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44000</w:t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53743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Ostatné významné položky nákladov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osobné náklady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643981</w:t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616959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dane a poplatky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18318</w:t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17744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22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odpisy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19406</w:t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4" w:space="0" w:color="00000A"/>
              <w:insideH w:val="single" w:sz="4" w:space="0" w:color="00000A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13286</w:t>
            </w:r>
          </w:p>
        </w:tc>
      </w:tr>
      <w:tr>
        <w:trPr>
          <w:trHeight w:val="330" w:hRule="atLeast"/>
          <w:cantSplit w:val="false"/>
        </w:trPr>
        <w:tc>
          <w:tcPr>
            <w:tcW w:w="3892" w:type="dxa"/>
            <w:tcBorders>
              <w:top w:val="nil"/>
              <w:left w:val="single" w:sz="18" w:space="0" w:color="000001"/>
              <w:bottom w:val="single" w:sz="18" w:space="0" w:color="000001"/>
              <w:insideH w:val="single" w:sz="1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poistenie majetku</w:t>
            </w:r>
          </w:p>
        </w:tc>
        <w:tc>
          <w:tcPr>
            <w:tcW w:w="2764" w:type="dxa"/>
            <w:tcBorders>
              <w:top w:val="nil"/>
              <w:left w:val="single" w:sz="12" w:space="0" w:color="000001"/>
              <w:bottom w:val="single" w:sz="18" w:space="0" w:color="000001"/>
              <w:insideH w:val="single" w:sz="1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8332</w:t>
            </w:r>
          </w:p>
        </w:tc>
        <w:tc>
          <w:tcPr>
            <w:tcW w:w="2699" w:type="dxa"/>
            <w:tcBorders>
              <w:top w:val="nil"/>
              <w:left w:val="single" w:sz="12" w:space="0" w:color="000001"/>
              <w:bottom w:val="single" w:sz="18" w:space="0" w:color="000001"/>
              <w:insideH w:val="single" w:sz="18" w:space="0" w:color="000001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-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993" w:right="0" w:hanging="993"/>
        <w:rPr>
          <w:rFonts w:cs="Times New Roman" w:ascii="Times New Roman" w:hAnsi="Times New Roman"/>
          <w:b/>
          <w:color w:val="5B9BD5"/>
          <w:szCs w:val="24"/>
        </w:rPr>
      </w:pPr>
      <w:r>
        <w:rPr>
          <w:rFonts w:cs="Times New Roman" w:ascii="Times New Roman" w:hAnsi="Times New Roman"/>
          <w:b/>
          <w:color w:val="5B9BD5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right="0" w:hanging="993"/>
        <w:rPr>
          <w:rFonts w:cs="Times New Roman" w:ascii="Times New Roman" w:hAnsi="Times New Roman"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</w:rPr>
      </w:pPr>
      <w:r>
        <w:rPr>
          <w:rFonts w:eastAsia="MS Gothic" w:cs="Times New Roman" w:ascii="Times New Roman" w:hAnsi="Times New Roman"/>
          <w:b/>
        </w:rPr>
        <w:t>V. 1 a)</w:t>
        <w:tab/>
        <w:t xml:space="preserve">Informácie o podmienenom majetku: </w:t>
      </w:r>
      <w:r>
        <w:rPr>
          <w:rFonts w:eastAsia="MS Gothic" w:cs="Times New Roman" w:ascii="Times New Roman" w:hAnsi="Times New Roman"/>
        </w:rPr>
        <w:t xml:space="preserve">spoločnosť neeviduje žiadne iné aktíva a pasíva okrem tých, ktoré sú uvedené v súvahe. </w:t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</w:rPr>
      </w:pPr>
      <w:r>
        <w:rPr>
          <w:rFonts w:eastAsia="MS Gothic" w:cs="Times New Roman" w:ascii="Times New Roman" w:hAnsi="Times New Roman"/>
          <w:b/>
        </w:rPr>
        <w:t>V. 1 b)</w:t>
        <w:tab/>
        <w:t xml:space="preserve">Informácie o podmienených záväzkoch: </w:t>
      </w:r>
      <w:r>
        <w:rPr>
          <w:rFonts w:eastAsia="MS Gothic" w:cs="Times New Roman" w:ascii="Times New Roman" w:hAnsi="Times New Roman"/>
        </w:rPr>
        <w:t>spoločnosť nevykazuje žiadne iné finančné povinnosti okrem tých, ktoré sú vykázané v súvahe.</w:t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  <w:t>V. 2</w:t>
        <w:tab/>
        <w:t>Informácie o údajoch na podsúvahových účtoch</w:t>
      </w:r>
    </w:p>
    <w:tbl>
      <w:tblPr>
        <w:jc w:val="left"/>
        <w:tblInd w:w="-89" w:type="dxa"/>
        <w:tblBorders>
          <w:top w:val="single" w:sz="18" w:space="0" w:color="000001"/>
          <w:left w:val="single" w:sz="18" w:space="0" w:color="000001"/>
          <w:bottom w:val="single" w:sz="18" w:space="0" w:color="000001"/>
          <w:insideH w:val="single" w:sz="18" w:space="0" w:color="000001"/>
          <w:right w:val="single" w:sz="12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</w:tblPr>
      <w:tblGrid>
        <w:gridCol w:w="4135"/>
        <w:gridCol w:w="2649"/>
        <w:gridCol w:w="2557"/>
      </w:tblGrid>
      <w:tr>
        <w:trPr>
          <w:trHeight w:val="330" w:hRule="atLeast"/>
          <w:cantSplit w:val="false"/>
        </w:trPr>
        <w:tc>
          <w:tcPr>
            <w:tcW w:w="413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insideH w:val="single" w:sz="1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insideH w:val="single" w:sz="1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insideH w:val="single" w:sz="18" w:space="0" w:color="000001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  <w:cantSplit w:val="false"/>
        </w:trPr>
        <w:tc>
          <w:tcPr>
            <w:tcW w:w="4135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insideH w:val="single" w:sz="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7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54" w:hRule="atLeast"/>
          <w:cantSplit w:val="false"/>
        </w:trPr>
        <w:tc>
          <w:tcPr>
            <w:tcW w:w="413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insideH w:val="single" w:sz="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4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86" w:hRule="atLeast"/>
          <w:cantSplit w:val="false"/>
        </w:trPr>
        <w:tc>
          <w:tcPr>
            <w:tcW w:w="4135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insideH w:val="single" w:sz="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7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38" w:hRule="atLeast"/>
          <w:cantSplit w:val="false"/>
        </w:trPr>
        <w:tc>
          <w:tcPr>
            <w:tcW w:w="4135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insideH w:val="single" w:sz="1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49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insideH w:val="single" w:sz="18" w:space="0" w:color="000001"/>
              <w:right w:val="single" w:sz="12" w:space="0" w:color="000001"/>
              <w:insideV w:val="single" w:sz="12" w:space="0" w:color="000001"/>
            </w:tcBorders>
            <w:shd w:fill="FFFFFF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0</w:t>
            </w:r>
          </w:p>
        </w:tc>
        <w:tc>
          <w:tcPr>
            <w:tcW w:w="2557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insideH w:val="single" w:sz="18" w:space="0" w:color="000001"/>
              <w:right w:val="single" w:sz="18" w:space="0" w:color="000001"/>
              <w:insideV w:val="single" w:sz="18" w:space="0" w:color="000001"/>
            </w:tcBorders>
            <w:shd w:fill="FFFFFF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0" w:right="0" w:firstLine="660"/>
              <w:jc w:val="right"/>
              <w:rPr>
                <w:rFonts w:eastAsia="Times New Roman" w:cs="Times New Roman" w:ascii="Times New Roman" w:hAnsi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  <w:color w:val="5B9BD5"/>
          <w:sz w:val="24"/>
          <w:szCs w:val="24"/>
        </w:rPr>
      </w:pPr>
      <w:r>
        <w:rPr>
          <w:rFonts w:eastAsia="MS Gothic" w:cs="Times New Roman" w:ascii="Times New Roman" w:hAnsi="Times New Roman"/>
          <w:b/>
          <w:color w:val="5B9BD5"/>
          <w:sz w:val="24"/>
          <w:szCs w:val="24"/>
        </w:rPr>
      </w:r>
    </w:p>
    <w:p>
      <w:pPr>
        <w:pStyle w:val="Normal"/>
        <w:spacing w:lineRule="auto" w:line="240"/>
        <w:ind w:left="993" w:right="0" w:hanging="993"/>
        <w:rPr>
          <w:rFonts w:cs="Times New Roman" w:ascii="Times New Roman" w:hAnsi="Times New Roman"/>
          <w:b/>
          <w:color w:val="5B9BD5"/>
          <w:szCs w:val="24"/>
        </w:rPr>
      </w:pPr>
      <w:r>
        <w:rPr>
          <w:rFonts w:cs="Times New Roman" w:ascii="Times New Roman" w:hAnsi="Times New Roman"/>
          <w:b/>
          <w:color w:val="5B9BD5"/>
          <w:szCs w:val="24"/>
        </w:rPr>
        <w:t>Čl. VI</w:t>
        <w:tab/>
        <w:t> Udalosti, ktoré nastali po dni, ku ktorému sa zostavuje účtovná závierka</w:t>
      </w:r>
    </w:p>
    <w:p>
      <w:pPr>
        <w:pStyle w:val="NoSpacing"/>
        <w:rPr>
          <w:rFonts w:cs="Times New Roman" w:ascii="Times New Roman" w:hAnsi="Times New Roman"/>
        </w:rPr>
      </w:pPr>
      <w:r>
        <w:rPr>
          <w:b/>
        </w:rPr>
        <w:t xml:space="preserve">VI.              </w:t>
      </w:r>
      <w:bookmarkStart w:id="0" w:name="_GoBack"/>
      <w:bookmarkEnd w:id="0"/>
      <w:r>
        <w:rPr>
          <w:rFonts w:cs="Times New Roman" w:ascii="Times New Roman" w:hAnsi="Times New Roman"/>
        </w:rPr>
        <w:t>Napr. zmena spoločníkov účtovnej jednotky, rozhodnutie o predaji podniku, žiadne udalosti</w:t>
      </w:r>
    </w:p>
    <w:p>
      <w:pPr>
        <w:pStyle w:val="NoSpacing"/>
        <w:rPr>
          <w:b/>
        </w:rPr>
      </w:pPr>
      <w:r>
        <w:rPr>
          <w:b/>
        </w:rPr>
      </w:r>
    </w:p>
    <w:p>
      <w:pPr>
        <w:pStyle w:val="Normal"/>
        <w:spacing w:lineRule="auto" w:line="240"/>
        <w:ind w:left="993" w:right="0" w:hanging="993"/>
        <w:rPr>
          <w:rFonts w:cs="Times New Roman" w:ascii="Times New Roman" w:hAnsi="Times New Roman"/>
          <w:b/>
          <w:color w:val="5B9BD5"/>
          <w:szCs w:val="24"/>
        </w:rPr>
      </w:pPr>
      <w:r>
        <w:rPr>
          <w:rFonts w:cs="Times New Roman" w:ascii="Times New Roman" w:hAnsi="Times New Roman"/>
          <w:b/>
          <w:color w:val="5B9BD5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right="0" w:hanging="993"/>
        <w:jc w:val="both"/>
        <w:rPr>
          <w:rFonts w:eastAsia="MS Gothic" w:cs="Times New Roman" w:ascii="Times New Roman" w:hAnsi="Times New Roman"/>
        </w:rPr>
      </w:pPr>
      <w:r>
        <w:rPr>
          <w:rFonts w:eastAsia="MS Gothic" w:cs="Times New Roman" w:ascii="Times New Roman" w:hAnsi="Times New Roman"/>
          <w:b/>
        </w:rPr>
        <w:t xml:space="preserve">VII.  </w:t>
        <w:tab/>
        <w:t xml:space="preserve"> </w:t>
      </w:r>
      <w:r>
        <w:rPr>
          <w:rFonts w:eastAsia="MS Gothic" w:cs="Times New Roman" w:ascii="Times New Roman" w:hAnsi="Times New Roman"/>
        </w:rPr>
        <w:t>Pre túto časť poznámok spoločnosť nemá obsahovú náplň.</w:t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ind w:left="993" w:right="0" w:hanging="993"/>
        <w:jc w:val="both"/>
        <w:rPr>
          <w:rFonts w:eastAsia="MS Gothic" w:cs="Times New Roman" w:ascii="Times New Roman" w:hAnsi="Times New Roman"/>
          <w:b/>
        </w:rPr>
      </w:pPr>
      <w:r>
        <w:rPr>
          <w:rFonts w:eastAsia="MS Gothic"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eastAsia="MS Gothic" w:cs="Times New Roman" w:ascii="Times New Roman" w:hAnsi="Times New Roman"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3150" w:leader="none"/>
        </w:tabs>
        <w:rPr>
          <w:rFonts w:eastAsia="MS Gothic" w:cs="Times New Roman" w:ascii="Times New Roman" w:hAnsi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133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center"/>
      <w:rPr>
        <w:b/>
        <w:bCs/>
      </w:rPr>
    </w:pPr>
    <w:r>
      <w:rPr>
        <w:b/>
      </w:rPr>
      <w:t xml:space="preserve">Strana </w:t>
    </w:r>
    <w:r>
      <w:rPr>
        <w:b/>
      </w:rPr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0" w:type="dxa"/>
      <w:tblBorders>
        <w:top w:val="nil"/>
        <w:left w:val="nil"/>
        <w:bottom w:val="nil"/>
        <w:insideH w:val="nil"/>
        <w:right w:val="nil"/>
        <w:insideV w:val="nil"/>
      </w:tblBorders>
      <w:tblCellMar>
        <w:top w:w="0" w:type="dxa"/>
        <w:left w:w="113" w:type="dxa"/>
        <w:bottom w:w="0" w:type="dxa"/>
        <w:right w:w="108" w:type="dxa"/>
      </w:tblCellMar>
    </w:tblPr>
    <w:tblGrid>
      <w:gridCol w:w="2606"/>
      <w:gridCol w:w="683"/>
      <w:gridCol w:w="284"/>
      <w:gridCol w:w="286"/>
      <w:gridCol w:w="284"/>
      <w:gridCol w:w="284"/>
      <w:gridCol w:w="285"/>
      <w:gridCol w:w="285"/>
      <w:gridCol w:w="285"/>
      <w:gridCol w:w="283"/>
      <w:gridCol w:w="837"/>
      <w:gridCol w:w="284"/>
      <w:gridCol w:w="284"/>
      <w:gridCol w:w="286"/>
      <w:gridCol w:w="284"/>
      <w:gridCol w:w="284"/>
      <w:gridCol w:w="284"/>
      <w:gridCol w:w="285"/>
      <w:gridCol w:w="284"/>
      <w:gridCol w:w="284"/>
      <w:gridCol w:w="337"/>
    </w:tblGrid>
    <w:tr>
      <w:trPr>
        <w:trHeight w:val="138" w:hRule="atLeast"/>
        <w:cantSplit w:val="false"/>
      </w:trPr>
      <w:tc>
        <w:tcPr>
          <w:tcW w:w="2606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FFFFFF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ind w:left="-108" w:right="-121" w:hanging="0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83" w:type="dxa"/>
          <w:tcBorders>
            <w:top w:val="nil"/>
            <w:left w:val="nil"/>
            <w:bottom w:val="nil"/>
            <w:insideH w:val="nil"/>
            <w:right w:val="single" w:sz="4" w:space="0" w:color="00000A"/>
            <w:insideV w:val="single" w:sz="4" w:space="0" w:color="00000A"/>
          </w:tcBorders>
          <w:shd w:fill="FFFFFF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5</w:t>
          </w:r>
        </w:p>
      </w:tc>
      <w:tc>
        <w:tcPr>
          <w:tcW w:w="28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837" w:type="dxa"/>
          <w:tcBorders>
            <w:top w:val="nil"/>
            <w:left w:val="single" w:sz="4" w:space="0" w:color="00000A"/>
            <w:bottom w:val="nil"/>
            <w:insideH w:val="nil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33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8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before="0" w:after="0"/>
            <w:jc w:val="center"/>
            <w:rPr>
              <w:rFonts w:cs="Times New Roman" w:ascii="Times New Roman" w:hAnsi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cs="Times New Roman" w:ascii="Times New Roman" w:hAnsi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unhideWhenUsed="1" w:semiHidden="1" w:uiPriority="9" w:name="heading 2"/>
    <w:lsdException w:qFormat="1" w:unhideWhenUsed="1" w:semiHidden="1" w:uiPriority="9" w:name="heading 3"/>
    <w:lsdException w:qFormat="1" w:unhideWhenUsed="1" w:semiHidden="1" w:uiPriority="9" w:name="heading 4"/>
    <w:lsdException w:qFormat="1" w:unhideWhenUsed="1" w:semiHidden="1" w:uiPriority="9" w:name="heading 5"/>
    <w:lsdException w:qFormat="1" w:unhideWhenUsed="1" w:semiHidden="1" w:uiPriority="9" w:name="heading 6"/>
    <w:lsdException w:qFormat="1" w:unhideWhenUsed="1" w:semiHidden="1" w:uiPriority="9" w:name="heading 7"/>
    <w:lsdException w:qFormat="1" w:unhideWhenUsed="1" w:semiHidden="1" w:uiPriority="9" w:name="heading 8"/>
    <w:lsdException w:qFormat="1" w:unhideWhenUsed="1" w:semiHidden="1" w:uiPriority="9" w:name="heading 9"/>
    <w:lsdException w:unhideWhenUsed="1" w:semiHidden="1" w:name="index 1"/>
    <w:lsdException w:unhideWhenUsed="1" w:semiHidden="1" w:name="index 2"/>
    <w:lsdException w:unhideWhenUsed="1" w:semiHidden="1" w:name="index 3"/>
    <w:lsdException w:unhideWhenUsed="1" w:semiHidden="1" w:name="index 4"/>
    <w:lsdException w:unhideWhenUsed="1" w:semiHidden="1" w:name="index 5"/>
    <w:lsdException w:unhideWhenUsed="1" w:semiHidden="1" w:name="index 6"/>
    <w:lsdException w:unhideWhenUsed="1" w:semiHidden="1" w:name="index 7"/>
    <w:lsdException w:unhideWhenUsed="1" w:semiHidden="1" w:name="index 8"/>
    <w:lsdException w:unhideWhenUsed="1" w:semiHidden="1" w:name="index 9"/>
    <w:lsdException w:unhideWhenUsed="1" w:semiHidden="1" w:uiPriority="39" w:name="toc 1"/>
    <w:lsdException w:unhideWhenUsed="1" w:semiHidden="1" w:uiPriority="39" w:name="toc 2"/>
    <w:lsdException w:unhideWhenUsed="1" w:semiHidden="1" w:uiPriority="39" w:name="toc 3"/>
    <w:lsdException w:unhideWhenUsed="1" w:semiHidden="1" w:uiPriority="39" w:name="toc 4"/>
    <w:lsdException w:unhideWhenUsed="1" w:semiHidden="1" w:uiPriority="39" w:name="toc 5"/>
    <w:lsdException w:unhideWhenUsed="1" w:semiHidden="1" w:uiPriority="39" w:name="toc 6"/>
    <w:lsdException w:unhideWhenUsed="1" w:semiHidden="1" w:uiPriority="39" w:name="toc 7"/>
    <w:lsdException w:unhideWhenUsed="1" w:semiHidden="1" w:uiPriority="39" w:name="toc 8"/>
    <w:lsdException w:unhideWhenUsed="1" w:semiHidden="1" w:uiPriority="39" w:name="toc 9"/>
    <w:lsdException w:unhideWhenUsed="1" w:semiHidden="1" w:name="Normal Indent"/>
    <w:lsdException w:unhideWhenUsed="1" w:semiHidden="1" w:name="footnote text"/>
    <w:lsdException w:unhideWhenUsed="1" w:semiHidden="1" w:name="annotation text"/>
    <w:lsdException w:unhideWhenUsed="1" w:semiHidden="1" w:name="header"/>
    <w:lsdException w:unhideWhenUsed="1" w:semiHidden="1" w:name="footer"/>
    <w:lsdException w:unhideWhenUsed="1" w:semiHidden="1" w:name="index heading"/>
    <w:lsdException w:qFormat="1" w:unhideWhenUsed="1" w:semiHidden="1" w:uiPriority="35" w:name="caption"/>
    <w:lsdException w:unhideWhenUsed="1" w:semiHidden="1" w:name="table of figures"/>
    <w:lsdException w:unhideWhenUsed="1" w:semiHidden="1" w:name="envelope address"/>
    <w:lsdException w:unhideWhenUsed="1" w:semiHidden="1" w:name="envelope return"/>
    <w:lsdException w:unhideWhenUsed="1" w:semiHidden="1" w:name="footnote reference"/>
    <w:lsdException w:unhideWhenUsed="1" w:semiHidden="1" w:name="annotation reference"/>
    <w:lsdException w:unhideWhenUsed="1" w:semiHidden="1" w:name="line number"/>
    <w:lsdException w:unhideWhenUsed="1" w:semiHidden="1" w:name="page number"/>
    <w:lsdException w:unhideWhenUsed="1" w:semiHidden="1" w:name="endnote reference"/>
    <w:lsdException w:unhideWhenUsed="1" w:semiHidden="1" w:name="endnote text"/>
    <w:lsdException w:unhideWhenUsed="1" w:semiHidden="1" w:name="table of authorities"/>
    <w:lsdException w:unhideWhenUsed="1" w:semiHidden="1" w:name="macro"/>
    <w:lsdException w:unhideWhenUsed="1" w:semiHidden="1" w:name="toa heading"/>
    <w:lsdException w:unhideWhenUsed="1" w:semiHidden="1" w:uiPriority="0" w:name="List"/>
    <w:lsdException w:unhideWhenUsed="1" w:semiHidden="1" w:name="List Bullet"/>
    <w:lsdException w:unhideWhenUsed="1" w:semiHidden="1" w:name="List Number"/>
    <w:lsdException w:unhideWhenUsed="1" w:semiHidden="1" w:name="List 2"/>
    <w:lsdException w:unhideWhenUsed="1" w:semiHidden="1" w:name="List 3"/>
    <w:lsdException w:unhideWhenUsed="1" w:semiHidden="1" w:name="List 4"/>
    <w:lsdException w:unhideWhenUsed="1" w:semiHidden="1" w:name="List 5"/>
    <w:lsdException w:unhideWhenUsed="1" w:semiHidden="1" w:name="List Bullet 2"/>
    <w:lsdException w:unhideWhenUsed="1" w:semiHidden="1" w:name="List Bullet 3"/>
    <w:lsdException w:unhideWhenUsed="1" w:semiHidden="1" w:name="List Bullet 4"/>
    <w:lsdException w:unhideWhenUsed="1" w:semiHidden="1" w:name="List Bullet 5"/>
    <w:lsdException w:unhideWhenUsed="1" w:semiHidden="1" w:name="List Number 2"/>
    <w:lsdException w:unhideWhenUsed="1" w:semiHidden="1" w:name="List Number 3"/>
    <w:lsdException w:unhideWhenUsed="1" w:semiHidden="1" w:name="List Number 4"/>
    <w:lsdException w:unhideWhenUsed="1" w:semiHidden="1" w:name="List Number 5"/>
    <w:lsdException w:qFormat="1" w:uiPriority="10" w:name="Title"/>
    <w:lsdException w:unhideWhenUsed="1" w:semiHidden="1" w:name="Closing"/>
    <w:lsdException w:unhideWhenUsed="1" w:semiHidden="1" w:name="Signature"/>
    <w:lsdException w:unhideWhenUsed="1" w:semiHidden="1" w:uiPriority="1" w:name="Default Paragraph Font"/>
    <w:lsdException w:qFormat="1" w:unhideWhenUsed="1" w:semiHidden="1" w:uiPriority="1" w:name="Body Text"/>
    <w:lsdException w:unhideWhenUsed="1" w:semiHidden="1" w:name="Body Text Indent"/>
    <w:lsdException w:unhideWhenUsed="1" w:semiHidden="1" w:name="List Continue"/>
    <w:lsdException w:unhideWhenUsed="1" w:semiHidden="1" w:name="List Continue 2"/>
    <w:lsdException w:unhideWhenUsed="1" w:semiHidden="1" w:name="List Continue 3"/>
    <w:lsdException w:unhideWhenUsed="1" w:semiHidden="1" w:name="List Continue 4"/>
    <w:lsdException w:unhideWhenUsed="1" w:semiHidden="1" w:name="List Continue 5"/>
    <w:lsdException w:unhideWhenUsed="1" w:semiHidden="1" w:name="Message Header"/>
    <w:lsdException w:qFormat="1" w:uiPriority="11" w:name="Subtitle"/>
    <w:lsdException w:unhideWhenUsed="1" w:semiHidden="1" w:name="Salutation"/>
    <w:lsdException w:unhideWhenUsed="1" w:semiHidden="1" w:name="Date"/>
    <w:lsdException w:unhideWhenUsed="1" w:semiHidden="1" w:name="Body Text First Indent"/>
    <w:lsdException w:unhideWhenUsed="1" w:semiHidden="1" w:name="Body Text First Indent 2"/>
    <w:lsdException w:unhideWhenUsed="1" w:semiHidden="1" w:name="Note Heading"/>
    <w:lsdException w:unhideWhenUsed="1" w:semiHidden="1" w:name="Body Text 2"/>
    <w:lsdException w:unhideWhenUsed="1" w:semiHidden="1" w:name="Body Text 3"/>
    <w:lsdException w:unhideWhenUsed="1" w:semiHidden="1" w:name="Body Text Indent 2"/>
    <w:lsdException w:unhideWhenUsed="1" w:semiHidden="1" w:name="Body Text Indent 3"/>
    <w:lsdException w:unhideWhenUsed="1" w:semiHidden="1" w:name="Block Text"/>
    <w:lsdException w:unhideWhenUsed="1" w:semiHidden="1" w:name="Hyperlink"/>
    <w:lsdException w:unhideWhenUsed="1" w:semiHidden="1" w:name="FollowedHyperlink"/>
    <w:lsdException w:qFormat="1" w:uiPriority="22" w:name="Strong"/>
    <w:lsdException w:qFormat="1" w:uiPriority="20" w:name="Emphasis"/>
    <w:lsdException w:unhideWhenUsed="1" w:semiHidden="1" w:name="Document Map"/>
    <w:lsdException w:unhideWhenUsed="1" w:semiHidden="1" w:name="Plain Text"/>
    <w:lsdException w:unhideWhenUsed="1" w:semiHidden="1" w:name="E-mail Signature"/>
    <w:lsdException w:unhideWhenUsed="1" w:semiHidden="1" w:name="HTML Top of Form"/>
    <w:lsdException w:unhideWhenUsed="1" w:semiHidden="1" w:name="HTML Bottom of Form"/>
    <w:lsdException w:unhideWhenUsed="1" w:semiHidden="1" w:name="Normal (Web)"/>
    <w:lsdException w:unhideWhenUsed="1" w:semiHidden="1" w:name="HTML Acronym"/>
    <w:lsdException w:unhideWhenUsed="1" w:semiHidden="1" w:name="HTML Address"/>
    <w:lsdException w:unhideWhenUsed="1" w:semiHidden="1" w:name="HTML Cite"/>
    <w:lsdException w:unhideWhenUsed="1" w:semiHidden="1" w:name="HTML Code"/>
    <w:lsdException w:unhideWhenUsed="1" w:semiHidden="1" w:name="HTML Definition"/>
    <w:lsdException w:unhideWhenUsed="1" w:semiHidden="1" w:name="HTML Keyboard"/>
    <w:lsdException w:unhideWhenUsed="1" w:semiHidden="1" w:name="HTML Preformatted"/>
    <w:lsdException w:unhideWhenUsed="1" w:semiHidden="1" w:name="HTML Sample"/>
    <w:lsdException w:unhideWhenUsed="1" w:semiHidden="1" w:name="HTML Typewriter"/>
    <w:lsdException w:unhideWhenUsed="1" w:semiHidden="1" w:name="HTML Variable"/>
    <w:lsdException w:unhideWhenUsed="1" w:semiHidden="1" w:name="Normal Table"/>
    <w:lsdException w:unhideWhenUsed="1" w:semiHidden="1" w:name="annotation subject"/>
    <w:lsdException w:unhideWhenUsed="1" w:semiHidden="1" w:name="No List"/>
    <w:lsdException w:unhideWhenUsed="1" w:semiHidden="1" w:name="Outline List 1"/>
    <w:lsdException w:unhideWhenUsed="1" w:semiHidden="1" w:name="Outline List 2"/>
    <w:lsdException w:unhideWhenUsed="1" w:semiHidden="1" w:name="Outline List 3"/>
    <w:lsdException w:unhideWhenUsed="1" w:semiHidden="1" w:name="Table Simple 1"/>
    <w:lsdException w:unhideWhenUsed="1" w:semiHidden="1" w:name="Table Simple 2"/>
    <w:lsdException w:unhideWhenUsed="1" w:semiHidden="1" w:name="Table Simple 3"/>
    <w:lsdException w:unhideWhenUsed="1" w:semiHidden="1" w:name="Table Classic 1"/>
    <w:lsdException w:unhideWhenUsed="1" w:semiHidden="1" w:name="Table Classic 2"/>
    <w:lsdException w:unhideWhenUsed="1" w:semiHidden="1" w:name="Table Classic 3"/>
    <w:lsdException w:unhideWhenUsed="1" w:semiHidden="1" w:name="Table Classic 4"/>
    <w:lsdException w:unhideWhenUsed="1" w:semiHidden="1" w:name="Table Colorful 1"/>
    <w:lsdException w:unhideWhenUsed="1" w:semiHidden="1" w:name="Table Colorful 2"/>
    <w:lsdException w:unhideWhenUsed="1" w:semiHidden="1" w:name="Table Colorful 3"/>
    <w:lsdException w:unhideWhenUsed="1" w:semiHidden="1" w:name="Table Columns 1"/>
    <w:lsdException w:unhideWhenUsed="1" w:semiHidden="1" w:name="Table Columns 2"/>
    <w:lsdException w:unhideWhenUsed="1" w:semiHidden="1" w:name="Table Columns 3"/>
    <w:lsdException w:unhideWhenUsed="1" w:semiHidden="1" w:name="Table Columns 4"/>
    <w:lsdException w:unhideWhenUsed="1" w:semiHidden="1" w:name="Table Columns 5"/>
    <w:lsdException w:unhideWhenUsed="1" w:semiHidden="1" w:name="Table Grid 1"/>
    <w:lsdException w:unhideWhenUsed="1" w:semiHidden="1" w:name="Table Grid 2"/>
    <w:lsdException w:unhideWhenUsed="1" w:semiHidden="1" w:name="Table Grid 3"/>
    <w:lsdException w:unhideWhenUsed="1" w:semiHidden="1" w:name="Table Grid 4"/>
    <w:lsdException w:unhideWhenUsed="1" w:semiHidden="1" w:name="Table Grid 5"/>
    <w:lsdException w:unhideWhenUsed="1" w:semiHidden="1" w:name="Table Grid 6"/>
    <w:lsdException w:unhideWhenUsed="1" w:semiHidden="1" w:name="Table Grid 7"/>
    <w:lsdException w:unhideWhenUsed="1" w:semiHidden="1" w:name="Table Grid 8"/>
    <w:lsdException w:unhideWhenUsed="1" w:semiHidden="1" w:name="Table List 1"/>
    <w:lsdException w:unhideWhenUsed="1" w:semiHidden="1" w:name="Table List 2"/>
    <w:lsdException w:unhideWhenUsed="1" w:semiHidden="1" w:name="Table List 3"/>
    <w:lsdException w:unhideWhenUsed="1" w:semiHidden="1" w:name="Table List 4"/>
    <w:lsdException w:unhideWhenUsed="1" w:semiHidden="1" w:name="Table List 5"/>
    <w:lsdException w:unhideWhenUsed="1" w:semiHidden="1" w:name="Table List 6"/>
    <w:lsdException w:unhideWhenUsed="1" w:semiHidden="1" w:name="Table List 7"/>
    <w:lsdException w:unhideWhenUsed="1" w:semiHidden="1" w:name="Table List 8"/>
    <w:lsdException w:unhideWhenUsed="1" w:semiHidden="1" w:name="Table 3D effects 1"/>
    <w:lsdException w:unhideWhenUsed="1" w:semiHidden="1" w:name="Table 3D effects 2"/>
    <w:lsdException w:unhideWhenUsed="1" w:semiHidden="1" w:name="Table 3D effects 3"/>
    <w:lsdException w:unhideWhenUsed="1" w:semiHidden="1" w:name="Table Contemporary"/>
    <w:lsdException w:unhideWhenUsed="1" w:semiHidden="1" w:name="Table Elegant"/>
    <w:lsdException w:unhideWhenUsed="1" w:semiHidden="1" w:name="Table Professional"/>
    <w:lsdException w:unhideWhenUsed="1" w:semiHidden="1" w:name="Table Subtle 1"/>
    <w:lsdException w:unhideWhenUsed="1" w:semiHidden="1" w:name="Table Subtle 2"/>
    <w:lsdException w:unhideWhenUsed="1" w:semiHidden="1" w:name="Table Web 1"/>
    <w:lsdException w:unhideWhenUsed="1" w:semiHidden="1" w:name="Table Web 2"/>
    <w:lsdException w:unhideWhenUsed="1" w:semiHidden="1" w:name="Table Web 3"/>
    <w:lsdException w:unhideWhenUsed="1" w:semiHidden="1" w:name="Balloon Text"/>
    <w:lsdException w:uiPriority="39" w:name="Table Grid"/>
    <w:lsdException w:unhideWhenUsed="1" w:semiHidden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SimSun" w:cs="Calibr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uiPriority w:val="99"/>
    <w:link w:val="Hlavika"/>
    <w:rsid w:val="00ce03ec"/>
    <w:basedOn w:val="DefaultParagraphFont"/>
    <w:rPr/>
  </w:style>
  <w:style w:type="character" w:styleId="PtaChar" w:customStyle="1">
    <w:name w:val="Päta Char"/>
    <w:uiPriority w:val="99"/>
    <w:link w:val="Pta"/>
    <w:rsid w:val="00ce03ec"/>
    <w:basedOn w:val="DefaultParagraphFont"/>
    <w:rPr/>
  </w:style>
  <w:style w:type="character" w:styleId="TextbublinyChar" w:customStyle="1">
    <w:name w:val="Text bubliny Char"/>
    <w:uiPriority w:val="99"/>
    <w:semiHidden/>
    <w:link w:val="Textbubliny"/>
    <w:rsid w:val="00ce03ec"/>
    <w:basedOn w:val="DefaultParagraphFont"/>
    <w:rPr>
      <w:rFonts w:ascii="Segoe UI" w:hAnsi="Segoe UI" w:cs="Segoe UI"/>
      <w:sz w:val="18"/>
      <w:szCs w:val="18"/>
    </w:rPr>
  </w:style>
  <w:style w:type="character" w:styleId="PlaceholderText">
    <w:name w:val="Placeholder Text"/>
    <w:uiPriority w:val="99"/>
    <w:semiHidden/>
    <w:rsid w:val="00173c34"/>
    <w:basedOn w:val="DefaultParagraphFont"/>
    <w:rPr>
      <w:color w:val="808080"/>
    </w:rPr>
  </w:style>
  <w:style w:type="character" w:styleId="ZkladntextChar" w:customStyle="1">
    <w:name w:val="Základný text Char"/>
    <w:uiPriority w:val="1"/>
    <w:link w:val="Zkladntext"/>
    <w:rsid w:val="00ad663b"/>
    <w:basedOn w:val="DefaultParagraphFont"/>
    <w:rPr>
      <w:rFonts w:ascii="Times New Roman" w:hAnsi="Times New Roman" w:eastAsia="Times New Roman" w:cs="Times New Roman"/>
      <w:sz w:val="24"/>
      <w:szCs w:val="24"/>
      <w:lang w:val="en-US"/>
    </w:rPr>
  </w:style>
  <w:style w:type="character" w:styleId="ListLabel1">
    <w:name w:val="ListLabel 1"/>
    <w:rPr>
      <w:rFonts w:cs="Calibri"/>
      <w:sz w:val="24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Symbol"/>
    </w:rPr>
  </w:style>
  <w:style w:type="character" w:styleId="ListLabel4">
    <w:name w:val="ListLabel 4"/>
    <w:rPr>
      <w:rFonts w:cs="Courier New"/>
    </w:rPr>
  </w:style>
  <w:style w:type="character" w:styleId="ListLabel5">
    <w:name w:val="ListLabel 5"/>
    <w:rPr>
      <w:rFonts w:cs="Wingdings"/>
    </w:rPr>
  </w:style>
  <w:style w:type="character" w:styleId="ListLabel6">
    <w:name w:val="ListLabel 6"/>
    <w:rPr>
      <w:rFonts w:cs="Symbol"/>
    </w:rPr>
  </w:style>
  <w:style w:type="character" w:styleId="ListLabel7">
    <w:name w:val="ListLabel 7"/>
    <w:rPr>
      <w:rFonts w:cs="Courier New"/>
    </w:rPr>
  </w:style>
  <w:style w:type="character" w:styleId="ListLabel8">
    <w:name w:val="ListLabel 8"/>
    <w:rPr>
      <w:rFonts w:cs="Wingdings"/>
    </w:rPr>
  </w:style>
  <w:style w:type="character" w:styleId="ListLabel9">
    <w:name w:val="ListLabel 9"/>
    <w:rPr>
      <w:rFonts w:cs="Symbol"/>
    </w:rPr>
  </w:style>
  <w:style w:type="character" w:styleId="ListLabel10">
    <w:name w:val="ListLabel 10"/>
    <w:rPr>
      <w:rFonts w:cs="Courier New"/>
    </w:rPr>
  </w:style>
  <w:style w:type="character" w:styleId="ListLabel11">
    <w:name w:val="ListLabel 11"/>
    <w:rPr>
      <w:rFonts w:cs="Wingdings"/>
    </w:rPr>
  </w:style>
  <w:style w:type="character" w:styleId="ListLabel12">
    <w:name w:val="ListLabel 12"/>
    <w:rPr>
      <w:rFonts w:cs="Symbol"/>
    </w:rPr>
  </w:style>
  <w:style w:type="character" w:styleId="ListLabel13">
    <w:name w:val="ListLabel 13"/>
    <w:rPr>
      <w:rFonts w:cs="Courier New"/>
    </w:rPr>
  </w:style>
  <w:style w:type="character" w:styleId="ListLabel14">
    <w:name w:val="ListLabel 14"/>
    <w:rPr>
      <w:rFonts w:cs="Wingdings"/>
    </w:rPr>
  </w:style>
  <w:style w:type="character" w:styleId="ListLabel15">
    <w:name w:val="ListLabel 15"/>
    <w:rPr>
      <w:rFonts w:cs="Symbol"/>
    </w:rPr>
  </w:style>
  <w:style w:type="character" w:styleId="ListLabel16">
    <w:name w:val="ListLabel 16"/>
    <w:rPr>
      <w:rFonts w:cs="Courier New"/>
    </w:rPr>
  </w:style>
  <w:style w:type="character" w:styleId="ListLabel17">
    <w:name w:val="ListLabel 17"/>
    <w:rPr>
      <w:rFonts w:cs="Wingdings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uiPriority w:val="1"/>
    <w:qFormat/>
    <w:unhideWhenUsed/>
    <w:link w:val="ZkladntextChar"/>
    <w:rsid w:val="00ad663b"/>
    <w:basedOn w:val="Normal"/>
    <w:pPr>
      <w:widowControl w:val="false"/>
      <w:spacing w:lineRule="auto" w:line="240" w:before="0" w:after="0"/>
      <w:ind w:left="668" w:right="0" w:hanging="567"/>
    </w:pPr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Zoznam">
    <w:name w:val="Zoznam"/>
    <w:rsid w:val="00176074"/>
    <w:basedOn w:val="Normal"/>
    <w:pPr>
      <w:spacing w:lineRule="auto" w:line="240" w:before="0" w:after="0"/>
      <w:ind w:left="283" w:right="0" w:hanging="283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uiPriority w:val="34"/>
    <w:qFormat/>
    <w:rsid w:val="00ce03ec"/>
    <w:basedOn w:val="Normal"/>
    <w:pPr>
      <w:spacing w:before="0" w:after="160"/>
      <w:ind w:left="720" w:right="0" w:hanging="0"/>
      <w:contextualSpacing/>
    </w:pPr>
    <w:rPr/>
  </w:style>
  <w:style w:type="paragraph" w:styleId="Hlavika">
    <w:name w:val="Hlavička"/>
    <w:uiPriority w:val="99"/>
    <w:unhideWhenUsed/>
    <w:link w:val="HlavikaChar"/>
    <w:rsid w:val="00ce03ec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unhideWhenUsed/>
    <w:link w:val="PtaChar"/>
    <w:rsid w:val="00ce03ec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uiPriority w:val="99"/>
    <w:semiHidden/>
    <w:unhideWhenUsed/>
    <w:link w:val="TextbublinyChar"/>
    <w:rsid w:val="00ce03ec"/>
    <w:basedOn w:val="Normal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f38ae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SimSun" w:cs="Calibri"/>
      <w:color w:val="00000A"/>
      <w:sz w:val="22"/>
      <w:szCs w:val="22"/>
      <w:lang w:val="sk-SK" w:eastAsia="en-US" w:bidi="ar-SA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="240" w:lineRule="auto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A4BF11-69F1-41D4-8B0C-90E196830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2017-02-07T08:42:00Z</dcterms:created>
  <dc:creator>Martin T</dc:creator>
  <dc:language>sk-SK</dc:language>
  <cp:lastModifiedBy>Milota Malinčíková</cp:lastModifiedBy>
  <cp:lastPrinted>2017-03-16T14:13:38Z</cp:lastPrinted>
  <dcterms:modified xsi:type="dcterms:W3CDTF">2017-02-07T08:44:00Z</dcterms:modified>
  <cp:revision>3</cp:revision>
</cp:coreProperties>
</file>