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Normal"/>
        <w:spacing w:lineRule="auto" w:line="240" w:before="0" w:after="12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POZNÁMKY K ÚČTOVNEJ ZÁVIERKE 2016</w:t>
      </w:r>
    </w:p>
    <w:p>
      <w:pPr>
        <w:pStyle w:val="Normal"/>
        <w:spacing w:lineRule="auto" w:line="240"/>
        <w:jc w:val="center"/>
        <w:rPr/>
      </w:pPr>
      <w:r>
        <w:rPr>
          <w:rFonts w:eastAsia="Calibri" w:cs="Calibri" w:ascii="Calibri" w:hAnsi="Calibri"/>
          <w:sz w:val="24"/>
          <w:szCs w:val="24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>
      <w:pPr>
        <w:pStyle w:val="Normal"/>
        <w:spacing w:lineRule="auto" w:line="24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pre malé účtovné jednotky</w:t>
      </w:r>
      <w:r>
        <w:rPr>
          <w:rFonts w:eastAsia="Calibri" w:cs="Calibri" w:ascii="Calibri" w:hAnsi="Calibri"/>
          <w:sz w:val="24"/>
          <w:szCs w:val="24"/>
        </w:rPr>
        <w:t xml:space="preserve"> </w:t>
      </w:r>
    </w:p>
    <w:p>
      <w:pPr>
        <w:pStyle w:val="Normal"/>
        <w:spacing w:lineRule="auto" w:line="240"/>
        <w:rPr/>
      </w:pPr>
      <w:r>
        <w:rPr/>
      </w:r>
    </w:p>
    <w:p>
      <w:pPr>
        <w:pStyle w:val="Normal"/>
        <w:spacing w:lineRule="auto" w:line="24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I – VŠEOBECNÉ INFORMÁCIE</w:t>
      </w:r>
    </w:p>
    <w:p>
      <w:pPr>
        <w:pStyle w:val="Normal"/>
        <w:spacing w:lineRule="auto" w:line="240"/>
        <w:rPr/>
      </w:pPr>
      <w:r>
        <w:rPr/>
      </w:r>
    </w:p>
    <w:p>
      <w:pPr>
        <w:pStyle w:val="Normal"/>
        <w:spacing w:lineRule="auto" w:line="240"/>
        <w:rPr/>
      </w:pPr>
      <w:r>
        <w:rPr>
          <w:rFonts w:eastAsia="Calibri" w:cs="Calibri" w:ascii="Calibri" w:hAnsi="Calibri"/>
          <w:sz w:val="24"/>
          <w:szCs w:val="24"/>
        </w:rPr>
        <w:t>1) Základné informácie o účtovnej jednotke:</w:t>
      </w:r>
    </w:p>
    <w:p>
      <w:pPr>
        <w:pStyle w:val="Normal"/>
        <w:spacing w:lineRule="auto" w:line="240"/>
        <w:rPr/>
      </w:pPr>
      <w:r>
        <w:rPr/>
      </w:r>
    </w:p>
    <w:tbl>
      <w:tblPr>
        <w:tblStyle w:val="a"/>
        <w:tblW w:w="9714" w:type="dxa"/>
        <w:jc w:val="left"/>
        <w:tblInd w:w="-129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83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835"/>
        <w:gridCol w:w="6878"/>
      </w:tblGrid>
      <w:tr>
        <w:trPr>
          <w:trHeight w:val="340" w:hRule="atLeast"/>
        </w:trPr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Obchodné meno:</w:t>
            </w:r>
          </w:p>
        </w:tc>
        <w:tc>
          <w:tcPr>
            <w:tcW w:w="6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  <w:highlight w:val="white"/>
              </w:rPr>
              <w:t>PELLBIS s.r.o.</w:t>
            </w:r>
          </w:p>
        </w:tc>
      </w:tr>
      <w:tr>
        <w:trPr>
          <w:trHeight w:val="380" w:hRule="atLeast"/>
        </w:trPr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Sídlo:</w:t>
            </w:r>
          </w:p>
        </w:tc>
        <w:tc>
          <w:tcPr>
            <w:tcW w:w="6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  <w:highlight w:val="white"/>
              </w:rPr>
              <w:t>Okružná 236, 022 04 Čadca</w:t>
            </w:r>
          </w:p>
        </w:tc>
      </w:tr>
      <w:tr>
        <w:trPr>
          <w:trHeight w:val="180" w:hRule="atLeast"/>
        </w:trPr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Právna forma:</w:t>
            </w:r>
          </w:p>
        </w:tc>
        <w:tc>
          <w:tcPr>
            <w:tcW w:w="6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Spoločnosť s ručením obmedzeným</w:t>
            </w:r>
          </w:p>
        </w:tc>
      </w:tr>
      <w:tr>
        <w:trPr>
          <w:trHeight w:val="220" w:hRule="atLeast"/>
        </w:trPr>
        <w:tc>
          <w:tcPr>
            <w:tcW w:w="2835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  <w:tcMar>
              <w:left w:w="5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Dátum vzniku:</w:t>
            </w:r>
          </w:p>
        </w:tc>
        <w:tc>
          <w:tcPr>
            <w:tcW w:w="6878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 xml:space="preserve">Zápis do obchodného registra: </w:t>
            </w:r>
            <w:r>
              <w:rPr>
                <w:rFonts w:eastAsia="Calibri" w:cs="Calibri" w:ascii="Calibri" w:hAnsi="Calibri"/>
                <w:sz w:val="24"/>
                <w:szCs w:val="24"/>
              </w:rPr>
              <w:t>6.</w:t>
            </w:r>
            <w:r>
              <w:rPr>
                <w:rFonts w:eastAsia="Calibri" w:cs="Calibri" w:ascii="Calibri" w:hAnsi="Calibri"/>
                <w:sz w:val="24"/>
                <w:szCs w:val="24"/>
                <w:highlight w:val="white"/>
              </w:rPr>
              <w:t>7.200</w:t>
            </w:r>
            <w:r>
              <w:rPr>
                <w:rFonts w:eastAsia="Calibri" w:cs="Calibri" w:ascii="Calibri" w:hAnsi="Calibri"/>
                <w:sz w:val="24"/>
                <w:szCs w:val="24"/>
                <w:highlight w:val="white"/>
              </w:rPr>
              <w:t>1</w:t>
            </w:r>
          </w:p>
        </w:tc>
      </w:tr>
      <w:tr>
        <w:trPr>
          <w:trHeight w:val="260" w:hRule="atLeast"/>
        </w:trPr>
        <w:tc>
          <w:tcPr>
            <w:tcW w:w="2835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  <w:tcMar>
              <w:left w:w="58" w:type="dxa"/>
            </w:tcMar>
          </w:tcPr>
          <w:p>
            <w:pPr>
              <w:pStyle w:val="Normal"/>
              <w:spacing w:lineRule="auto" w:line="240"/>
              <w:ind w:right="1027" w:hanging="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Hlavný predmet podnikania:</w:t>
            </w:r>
          </w:p>
        </w:tc>
        <w:tc>
          <w:tcPr>
            <w:tcW w:w="6878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/>
            </w:r>
          </w:p>
          <w:p>
            <w:pPr>
              <w:pStyle w:val="Normal"/>
              <w:spacing w:lineRule="auto" w:line="240"/>
              <w:jc w:val="both"/>
              <w:rPr/>
            </w:pPr>
            <w:bookmarkStart w:id="0" w:name="_GoBack"/>
            <w:bookmarkEnd w:id="0"/>
            <w:r>
              <w:rPr>
                <w:rFonts w:eastAsia="Calibri" w:cs="Calibri" w:ascii="Calibri" w:hAnsi="Calibri"/>
                <w:sz w:val="24"/>
                <w:szCs w:val="24"/>
              </w:rPr>
              <w:t>Maloobchod</w:t>
            </w:r>
          </w:p>
        </w:tc>
      </w:tr>
      <w:tr>
        <w:trPr>
          <w:trHeight w:val="520" w:hRule="atLeast"/>
        </w:trPr>
        <w:tc>
          <w:tcPr>
            <w:tcW w:w="2835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  <w:tcMar>
              <w:left w:w="5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Subjekt verejného záujmu:</w:t>
            </w:r>
          </w:p>
        </w:tc>
        <w:tc>
          <w:tcPr>
            <w:tcW w:w="6878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Spoločnosť  nie je subjektom verejného záujmu (§ 2/14 ZoU).</w:t>
            </w:r>
          </w:p>
        </w:tc>
      </w:tr>
      <w:tr>
        <w:trPr>
          <w:trHeight w:val="300" w:hRule="atLeast"/>
        </w:trPr>
        <w:tc>
          <w:tcPr>
            <w:tcW w:w="2835" w:type="dxa"/>
            <w:tcBorders>
              <w:top w:val="single" w:sz="4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5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Účtovné obdobie:</w:t>
            </w:r>
          </w:p>
        </w:tc>
        <w:tc>
          <w:tcPr>
            <w:tcW w:w="6878" w:type="dxa"/>
            <w:tcBorders>
              <w:top w:val="single" w:sz="4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Kalendárny rok 2016</w:t>
            </w:r>
          </w:p>
        </w:tc>
      </w:tr>
    </w:tbl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UJ bola v účtovnom období roku 2014, 2015 – malá účtovná jednotka, ale nespĺňa zákonom stanovené požiadavky, takže bola v roku 2016 preradená do mikro účtovnej jednotky.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 xml:space="preserve">2) Dátum schválenia účtovnej závierky za bezprostredne predchádzajúce účtovné obdobie príslušným orgánom účtovnej jednotky: </w:t>
      </w:r>
      <w:r>
        <w:rPr>
          <w:rFonts w:eastAsia="Calibri" w:cs="Calibri" w:ascii="Calibri" w:hAnsi="Calibri"/>
          <w:sz w:val="24"/>
          <w:szCs w:val="24"/>
        </w:rPr>
        <w:t>30</w:t>
      </w:r>
      <w:r>
        <w:rPr>
          <w:rFonts w:eastAsia="Calibri" w:cs="Calibri" w:ascii="Calibri" w:hAnsi="Calibri"/>
          <w:sz w:val="24"/>
          <w:szCs w:val="24"/>
        </w:rPr>
        <w:t>.3.2017</w:t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 xml:space="preserve"> </w:t>
      </w:r>
    </w:p>
    <w:p>
      <w:pPr>
        <w:pStyle w:val="Normal"/>
        <w:widowControl w:val="false"/>
        <w:spacing w:lineRule="auto" w:line="240"/>
        <w:rPr/>
      </w:pPr>
      <w:r>
        <w:rPr>
          <w:rFonts w:eastAsia="Calibri" w:cs="Calibri" w:ascii="Calibri" w:hAnsi="Calibri"/>
          <w:sz w:val="24"/>
          <w:szCs w:val="24"/>
        </w:rPr>
        <w:t>3) Právny dôvod na zostavenie účtovnej závierky: Účtovná závierka Spoločnosti k 31.12.2016je zostavená ako riadna účtovná závierka podľa §17 ods. 6 Zákona č. 431/2002 Z.z. o účtovníctve za účtovné obdobie od 01. januára 2016 do 31. decembra 2016</w:t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4) ÚJ nie je v skupine účtovných jednotiek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>5) Priemerný prepočítaný počet zamestnancov účtovnej jednotky:</w:t>
      </w:r>
    </w:p>
    <w:tbl>
      <w:tblPr>
        <w:tblStyle w:val="a0"/>
        <w:tblW w:w="9747" w:type="dxa"/>
        <w:jc w:val="left"/>
        <w:tblInd w:w="-129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8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854"/>
        <w:gridCol w:w="2522"/>
        <w:gridCol w:w="2371"/>
      </w:tblGrid>
      <w:tr>
        <w:trPr>
          <w:trHeight w:val="520" w:hRule="atLeast"/>
        </w:trPr>
        <w:tc>
          <w:tcPr>
            <w:tcW w:w="4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/>
              <w:ind w:right="459" w:hanging="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Názov položky</w:t>
            </w:r>
          </w:p>
        </w:tc>
        <w:tc>
          <w:tcPr>
            <w:tcW w:w="25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>
        <w:trPr>
          <w:trHeight w:val="160" w:hRule="atLeast"/>
        </w:trPr>
        <w:tc>
          <w:tcPr>
            <w:tcW w:w="4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Priemerný prepočítaný počet počas účtovného obdobia</w:t>
            </w:r>
          </w:p>
        </w:tc>
        <w:tc>
          <w:tcPr>
            <w:tcW w:w="25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</w:t>
            </w:r>
          </w:p>
        </w:tc>
        <w:tc>
          <w:tcPr>
            <w:tcW w:w="23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</w:t>
            </w:r>
          </w:p>
        </w:tc>
      </w:tr>
    </w:tbl>
    <w:p>
      <w:pPr>
        <w:pStyle w:val="Normal"/>
        <w:spacing w:lineRule="auto" w:line="240"/>
        <w:ind w:left="928"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II – INFORMÁCIE O ORGÁNOCH SPOLOČNOSTI</w:t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b/>
          <w:sz w:val="24"/>
          <w:szCs w:val="24"/>
        </w:rPr>
        <w:t>Informácie o orgánoch účtovnej jednotky</w:t>
      </w:r>
      <w:r>
        <w:rPr>
          <w:rFonts w:eastAsia="Calibri" w:cs="Calibri" w:ascii="Calibri" w:hAnsi="Calibri"/>
          <w:sz w:val="24"/>
          <w:szCs w:val="24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</w:t>
      </w:r>
    </w:p>
    <w:tbl>
      <w:tblPr>
        <w:tblStyle w:val="a1"/>
        <w:tblW w:w="9817" w:type="dxa"/>
        <w:jc w:val="center"/>
        <w:tblInd w:w="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8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969"/>
        <w:gridCol w:w="2488"/>
        <w:gridCol w:w="2360"/>
      </w:tblGrid>
      <w:tr>
        <w:trPr>
          <w:trHeight w:val="86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Orgány účtovnej jednotky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>
        <w:trPr>
          <w:trHeight w:val="24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Štatutárny orgán/Spoločník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Laš Peter</w:t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Laš Peter</w:t>
            </w:r>
          </w:p>
        </w:tc>
      </w:tr>
      <w:tr>
        <w:trPr>
          <w:trHeight w:val="24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numPr>
                <w:ilvl w:val="0"/>
                <w:numId w:val="3"/>
              </w:numPr>
              <w:spacing w:lineRule="auto" w:line="240"/>
              <w:ind w:left="720" w:hanging="360"/>
              <w:rPr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pôžička celkovo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</w:tr>
      <w:tr>
        <w:trPr>
          <w:trHeight w:val="14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numPr>
                <w:ilvl w:val="0"/>
                <w:numId w:val="1"/>
              </w:numPr>
              <w:spacing w:lineRule="auto" w:line="240"/>
              <w:ind w:left="720" w:hanging="360"/>
              <w:rPr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druh príjmu (výhody):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 </w:t>
            </w:r>
          </w:p>
        </w:tc>
      </w:tr>
      <w:tr>
        <w:trPr>
          <w:trHeight w:val="16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Spoločník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</w:tr>
      <w:tr>
        <w:trPr>
          <w:trHeight w:val="16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numPr>
                <w:ilvl w:val="0"/>
                <w:numId w:val="1"/>
              </w:numPr>
              <w:spacing w:lineRule="auto" w:line="240"/>
              <w:ind w:left="720" w:hanging="360"/>
              <w:rPr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pôžička celkovo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</w:tr>
      <w:tr>
        <w:trPr>
          <w:trHeight w:val="16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numPr>
                <w:ilvl w:val="0"/>
                <w:numId w:val="1"/>
              </w:numPr>
              <w:spacing w:lineRule="auto" w:line="240"/>
              <w:ind w:left="720" w:hanging="360"/>
              <w:rPr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druh príjmu (výhody):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</w:tr>
      <w:tr>
        <w:trPr>
          <w:trHeight w:val="16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/>
              <w:ind w:left="720" w:hanging="0"/>
              <w:rPr/>
            </w:pPr>
            <w:r>
              <w:rPr/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</w:tr>
    </w:tbl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III – INFORMÁCIE O PRIJATÝCH POSTUPOCH</w:t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1) Účtovná závierka je zostavená za splnenia predpokladu, že ÚJ bude nepretržite pokračovať vo svojej činnosti minimálne 12 mesiacov po závierkovom dni v zmysle § 7 ods. 4 zákona o účtovníctve.</w:t>
      </w:r>
    </w:p>
    <w:p>
      <w:pPr>
        <w:pStyle w:val="Normal"/>
        <w:spacing w:lineRule="auto" w:line="24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 xml:space="preserve"> </w:t>
      </w:r>
    </w:p>
    <w:p>
      <w:pPr>
        <w:pStyle w:val="Normal"/>
        <w:spacing w:lineRule="auto" w:line="24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2) Účtovné metódy vychádzajúce z interných smerníc spoločnosti a všeobecné účtovné zásady boli účtovnou jednotkou konzistentne aplikované</w:t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3) ÚJ neeviduje žiadne transakcie, ktoré sa neuvádzajú v súvahe.</w:t>
      </w:r>
    </w:p>
    <w:p>
      <w:pPr>
        <w:pStyle w:val="Normal"/>
        <w:spacing w:lineRule="auto" w:line="24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ab/>
        <w:tab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4) Spôsob a určenie oceňovania majetku a záväzkov (vrátane rozhodujúcich odhadov):</w:t>
      </w:r>
    </w:p>
    <w:p>
      <w:pPr>
        <w:pStyle w:val="Normal"/>
        <w:spacing w:lineRule="auto" w:line="24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a) Spôsob oceňovania majetku a záväzkov (§ 25 ZoU):</w:t>
      </w:r>
    </w:p>
    <w:p>
      <w:pPr>
        <w:pStyle w:val="Normal"/>
        <w:widowControl w:val="false"/>
        <w:tabs>
          <w:tab w:val="left" w:pos="808" w:leader="none"/>
        </w:tabs>
        <w:spacing w:lineRule="auto" w:line="240"/>
        <w:jc w:val="both"/>
        <w:rPr/>
      </w:pPr>
      <w:r>
        <w:rPr/>
      </w:r>
    </w:p>
    <w:tbl>
      <w:tblPr>
        <w:tblStyle w:val="a2"/>
        <w:tblW w:w="9606" w:type="dxa"/>
        <w:jc w:val="left"/>
        <w:tblInd w:w="-129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8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706"/>
        <w:gridCol w:w="5300"/>
        <w:gridCol w:w="3600"/>
      </w:tblGrid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Spôsob oceňovania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Dlhodobý nehmotný majetok externe kúpený: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Dlhodobý nehmotný majetok interne vytvorený: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Vlastné náklady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3.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Reprodukčná 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5.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Dlhodobý hmotný majetok interne vytvorený: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Vlastné náklady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6.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Reprodukčná 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7.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8.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Zásoby obstarané kúpou: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9.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Zásoby vytvorené vlastnou činnosťou: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Vlastné náklady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10.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Zásoby obstarané inak (darom):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Reprodukčná 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11.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Vlastné pohľadávky: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Kúpené pohľadávky: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Krátkodobý finančný majetok: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17.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Deriváty: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18.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 xml:space="preserve">Majetok a záväzky zabezpečené derivátmi: 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19.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Splatná daň z príjmov a odložená daň z príjmov: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</w:tbl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 xml:space="preserve">b) Trvalé zníženie hodnoty majetku nebolo účtované. </w:t>
      </w:r>
    </w:p>
    <w:p>
      <w:pPr>
        <w:pStyle w:val="Normal"/>
        <w:spacing w:lineRule="auto" w:line="240" w:before="0" w:after="120"/>
        <w:jc w:val="both"/>
        <w:rPr/>
      </w:pPr>
      <w:r>
        <w:rPr/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 xml:space="preserve">c) Záväzky účtovná jednotka ocenila menovitou hodnotou záväzkov. </w:t>
      </w:r>
    </w:p>
    <w:p>
      <w:pPr>
        <w:pStyle w:val="Normal"/>
        <w:spacing w:lineRule="auto" w:line="240" w:before="0" w:after="120"/>
        <w:jc w:val="both"/>
        <w:rPr/>
      </w:pPr>
      <w:r>
        <w:rPr/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>d) Účtovná jednotka nepoužila dobrovoľné oceňovanie obchodných podielov metódou vlastného imania (§ 27/9 ZoU).</w:t>
      </w:r>
    </w:p>
    <w:p>
      <w:pPr>
        <w:pStyle w:val="Normal"/>
        <w:keepNext/>
        <w:tabs>
          <w:tab w:val="left" w:pos="1005" w:leader="none"/>
        </w:tabs>
        <w:spacing w:lineRule="auto" w:line="240" w:before="0" w:after="120"/>
        <w:jc w:val="both"/>
        <w:rPr/>
      </w:pPr>
      <w:r>
        <w:rPr/>
      </w:r>
    </w:p>
    <w:p>
      <w:pPr>
        <w:pStyle w:val="Normal"/>
        <w:keepNext/>
        <w:tabs>
          <w:tab w:val="left" w:pos="1005" w:leader="none"/>
        </w:tabs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>f) Tvorba odpisového plánu pre dlhodobý majetok, pričom sa uvádza doba odpisovania, sadzby odpisov a odpisové metódy pre účtovné odpisy:</w:t>
      </w:r>
    </w:p>
    <w:tbl>
      <w:tblPr>
        <w:tblStyle w:val="a3"/>
        <w:tblW w:w="9606" w:type="dxa"/>
        <w:jc w:val="left"/>
        <w:tblInd w:w="-129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8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217"/>
        <w:gridCol w:w="1014"/>
        <w:gridCol w:w="2107"/>
        <w:gridCol w:w="2267"/>
      </w:tblGrid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Dlhodobý hmotný a nehmotný</w:t>
            </w:r>
          </w:p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odpisovaný majetok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číslo</w:t>
            </w:r>
          </w:p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doba odpisovania</w:t>
            </w:r>
          </w:p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(počet rokov)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 xml:space="preserve">odpisová sadzba </w:t>
            </w:r>
          </w:p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(%)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Software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013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 xml:space="preserve">Ostatný DNM 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019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Stavby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20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Počítače s príslušenstvom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Dopravné prostriedky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Ostatné stroje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Ostatný dlhodobý hmotný majetok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25</w:t>
            </w:r>
          </w:p>
        </w:tc>
      </w:tr>
    </w:tbl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 xml:space="preserve"> </w:t>
      </w:r>
    </w:p>
    <w:p>
      <w:pPr>
        <w:pStyle w:val="Normal"/>
        <w:spacing w:lineRule="auto" w:line="240" w:before="0" w:after="120"/>
        <w:rPr/>
      </w:pPr>
      <w:r>
        <w:rPr>
          <w:rFonts w:eastAsia="Calibri" w:cs="Calibri" w:ascii="Calibri" w:hAnsi="Calibri"/>
          <w:sz w:val="24"/>
          <w:szCs w:val="24"/>
        </w:rPr>
        <w:t xml:space="preserve">Komentár k odpisovému plánu: 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UJ používa účtovné odpisy nezávisle na daňových odpisoch. Majetok sa začína odpisovať v mesiaci, kedy bol zaradený do užívania. Účtovné odpisy vychádzajú z predpokladanej doby používania majetku. Dlhodobý nehmotný majetok sa odpisuje počas 4 rokov od jeho obstarania.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UJ používa rovnomerné odpisovanie dlhodobého hmotného majetku a dlhodobého nehmotného majetku. Podrobný účtovný odpisový plán po položkách sa vedie v podsystéme Majetok (taktiež daňové odpisy podľa zákona o dani z príjmov).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UJ odpisuje jednotlivé veci alebo relevantné súbory hnuteľných vecí (napr. počítačová sieť, nábytková zostava). UJ nepoužíva komponentné odpisovanie (odpisovanie častí majetku - komponentov).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UJ nepoužila jednorazový odpis</w:t>
      </w:r>
      <w:r>
        <w:rPr>
          <w:rFonts w:eastAsia="Calibri" w:cs="Calibri" w:ascii="Calibri" w:hAnsi="Calibri"/>
          <w:b/>
          <w:sz w:val="24"/>
          <w:szCs w:val="24"/>
        </w:rPr>
        <w:t xml:space="preserve"> </w:t>
      </w:r>
      <w:r>
        <w:rPr>
          <w:rFonts w:eastAsia="Calibri" w:cs="Calibri" w:ascii="Calibri" w:hAnsi="Calibri"/>
          <w:sz w:val="24"/>
          <w:szCs w:val="24"/>
        </w:rPr>
        <w:t>dlhodobého majetku z dôvodu jednorazového trvalého zníženia hodnoty majetku (§ 21/5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ÚJ nepoužíva kategóriu drobného dlhodobého nehmotného majetku - položky pod 2 400 eur jednotkovej ceny so životnosťou nad jeden rok (§ 13/2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ÚJ nepoužíva kategóriu drobného dlhodobého hmotného majetku - položky pod 1 700 eur jednotkovej ceny so životnosťou nad jeden rok (§ 13/6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ÚJ nepoužíva dobrovoľné účtovanie podlimitného technického zhodnotenia do odpisovaného dlhodobého majetku – technické zhodnotenie pod 1 700 eur za účtovné obdobie (§ 21/3 PU; § 29/2 ZDP).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360" w:hanging="360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ÚJ nepoužíva dobrovoľnú kapitalizáciu úrokov do obstarávacej ceny odpisovaného dlhodobého hmotného majetku alebo dlhodobého nehmotného majetku (§ 34/1 PU; § 35/2/h PU).</w:t>
      </w:r>
    </w:p>
    <w:p>
      <w:pPr>
        <w:pStyle w:val="Normal"/>
        <w:spacing w:lineRule="auto" w:line="240" w:before="0" w:after="120"/>
        <w:jc w:val="both"/>
        <w:rPr/>
      </w:pPr>
      <w:r>
        <w:rPr/>
      </w:r>
    </w:p>
    <w:p>
      <w:pPr>
        <w:pStyle w:val="Normal"/>
        <w:spacing w:lineRule="auto" w:line="240"/>
        <w:rPr/>
      </w:pPr>
      <w:r>
        <w:rPr>
          <w:rFonts w:eastAsia="Calibri" w:cs="Calibri" w:ascii="Calibri" w:hAnsi="Calibri"/>
          <w:sz w:val="24"/>
          <w:szCs w:val="24"/>
        </w:rPr>
        <w:t>g) ÚJ neboli v zdaňovacom období roku 2016 poskytnuté žiadne dotácie</w:t>
      </w:r>
    </w:p>
    <w:p>
      <w:pPr>
        <w:pStyle w:val="Normal"/>
        <w:keepNext/>
        <w:spacing w:lineRule="auto" w:line="240" w:before="0" w:after="120"/>
        <w:jc w:val="both"/>
        <w:rPr/>
      </w:pPr>
      <w:r>
        <w:rPr/>
      </w:r>
    </w:p>
    <w:p>
      <w:pPr>
        <w:pStyle w:val="Normal"/>
        <w:spacing w:lineRule="auto" w:line="240"/>
        <w:rPr/>
      </w:pPr>
      <w:r>
        <w:rPr>
          <w:rFonts w:eastAsia="Calibri" w:cs="Calibri" w:ascii="Calibri" w:hAnsi="Calibri"/>
          <w:sz w:val="24"/>
          <w:szCs w:val="24"/>
        </w:rPr>
        <w:t>5) ÚJ v zdaňovacom období roku 2016 nevykonala žiadne opravy významných chýb.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IV – INFORMÁCIE, KTORÉ VYSVETĽUJÚ A DOPĹŇAJÚ SÚVAHU A VÝKAZ ZISKOV A STRÁT</w:t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1) ÚJ neeviduje žiadne položky nehmotného majetku.</w:t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2) ÚJ neeviduje žiadne položky významných derivátov, majetku a záväzkoch zabezpečených derivátmi.</w:t>
      </w:r>
    </w:p>
    <w:p>
      <w:pPr>
        <w:pStyle w:val="Normal"/>
        <w:spacing w:lineRule="auto" w:line="240" w:before="0" w:after="12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 xml:space="preserve">3a) ÚJ neeviduje žiadne položky zabezpečených záväzkov so zostatkovou dobou splatnosti dlhšou </w:t>
        <w:tab/>
        <w:tab/>
        <w:tab/>
        <w:tab/>
        <w:tab/>
        <w:t xml:space="preserve"> ako 5 rokov:  </w:t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/>
      </w:r>
    </w:p>
    <w:tbl>
      <w:tblPr>
        <w:tblStyle w:val="a4"/>
        <w:tblW w:w="9714" w:type="dxa"/>
        <w:jc w:val="center"/>
        <w:tblInd w:w="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8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785"/>
        <w:gridCol w:w="2551"/>
        <w:gridCol w:w="2378"/>
      </w:tblGrid>
      <w:tr>
        <w:trPr>
          <w:trHeight w:val="680" w:hRule="atLeast"/>
        </w:trPr>
        <w:tc>
          <w:tcPr>
            <w:tcW w:w="4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Názov položky</w:t>
            </w:r>
          </w:p>
        </w:tc>
        <w:tc>
          <w:tcPr>
            <w:tcW w:w="25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>
        <w:trPr>
          <w:trHeight w:val="200" w:hRule="atLeast"/>
        </w:trPr>
        <w:tc>
          <w:tcPr>
            <w:tcW w:w="4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Záväzky so zostatkovou dobou splatnosti nad 5 rokov</w:t>
            </w:r>
          </w:p>
        </w:tc>
        <w:tc>
          <w:tcPr>
            <w:tcW w:w="25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</w:t>
            </w:r>
          </w:p>
        </w:tc>
        <w:tc>
          <w:tcPr>
            <w:tcW w:w="2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</w:t>
            </w:r>
          </w:p>
        </w:tc>
      </w:tr>
    </w:tbl>
    <w:p>
      <w:pPr>
        <w:pStyle w:val="Normal"/>
        <w:spacing w:lineRule="auto" w:line="240" w:before="120" w:after="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3b) ÚJ neeviduje žiadne položky zabezpečených záväzkov.</w:t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4) ÚJ neeviduje žiadne vlastné akcie.</w:t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5) ÚJ neeviduje žiadne položky nákladov alebo výnosov, ktoré majú výnimočný rozsah alebo výskyt.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V – INFORMÁCIE O INÝCH AKTÍVACH A INÝCH PASÍVACH</w:t>
      </w:r>
    </w:p>
    <w:p>
      <w:pPr>
        <w:pStyle w:val="Normal"/>
        <w:spacing w:lineRule="auto" w:line="240" w:before="0" w:after="120"/>
        <w:ind w:right="0" w:hanging="0"/>
        <w:jc w:val="center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1a) ÚJ neeviduje žiadne položky podmieneného majetku.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1b) ÚJ neeviduje žiadne položky podmienených záväzkov.</w:t>
      </w:r>
    </w:p>
    <w:p>
      <w:pPr>
        <w:pStyle w:val="Normal"/>
        <w:spacing w:lineRule="auto" w:line="240" w:before="0" w:after="12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2) ÚJ neeviduje žiadne ostatné finančné povinnosti, ktoré a nevykazujú v účtovných výkazoch.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>3 V účtovníctve ÚJ sa nenachádzajú žiadne položky evidované na podsúvahových účtoch.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center"/>
        <w:rPr/>
      </w:pPr>
      <w:r>
        <w:rPr/>
      </w:r>
    </w:p>
    <w:p>
      <w:pPr>
        <w:pStyle w:val="Normal"/>
        <w:spacing w:lineRule="auto" w:line="240"/>
        <w:ind w:right="0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VI – UDALOSTI, KTORÉ NASTALI PO ZÁVIERKOVOM DNI</w:t>
      </w:r>
    </w:p>
    <w:p>
      <w:pPr>
        <w:pStyle w:val="Normal"/>
        <w:spacing w:lineRule="auto" w:line="240"/>
        <w:ind w:right="0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(Následné udalosti)</w:t>
      </w:r>
    </w:p>
    <w:p>
      <w:pPr>
        <w:pStyle w:val="Normal"/>
        <w:spacing w:lineRule="auto" w:line="240"/>
        <w:ind w:right="0" w:hanging="0"/>
        <w:jc w:val="center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ÚJ neeviduje žiadne udalosti, ktoré nastali po závierkovom dni.</w:t>
      </w:r>
    </w:p>
    <w:p>
      <w:pPr>
        <w:pStyle w:val="Normal"/>
        <w:spacing w:lineRule="auto" w:line="240"/>
        <w:ind w:right="0" w:hanging="0"/>
        <w:jc w:val="center"/>
        <w:rPr/>
      </w:pPr>
      <w:r>
        <w:rPr/>
      </w:r>
    </w:p>
    <w:p>
      <w:pPr>
        <w:pStyle w:val="Normal"/>
        <w:spacing w:lineRule="auto" w:line="240"/>
        <w:ind w:right="0" w:hanging="0"/>
        <w:jc w:val="center"/>
        <w:rPr/>
      </w:pPr>
      <w:r>
        <w:rPr/>
      </w:r>
    </w:p>
    <w:p>
      <w:pPr>
        <w:pStyle w:val="Normal"/>
        <w:spacing w:lineRule="auto" w:line="240"/>
        <w:ind w:right="0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VII – OSTATNÉ INFORMÁCIE</w:t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1) ÚJ nemá žiadne právo poskytovať služby vo verejnom záujme.</w:t>
        <w:tab/>
        <w:tab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2) ÚJ nemá žiadnu priemyselnú výrobu. (§ 23d/6 ZoU)</w:t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ab/>
        <w:tab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3) ÚJ nemá žiadne finančné vzťahy s orgánmi verejnej moci. (§ 23d/6 ZoU)</w:t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ab/>
        <w:tab/>
      </w:r>
    </w:p>
    <w:sectPr>
      <w:headerReference w:type="default" r:id="rId2"/>
      <w:footerReference w:type="default" r:id="rId3"/>
      <w:type w:val="nextPage"/>
      <w:pgSz w:w="11906" w:h="16838"/>
      <w:pgMar w:left="1417" w:right="992" w:header="708" w:top="1417" w:footer="708" w:bottom="1417" w:gutter="0"/>
      <w:pgNumType w:start="1" w:fmt="decimal"/>
      <w:formProt w:val="false"/>
      <w:textDirection w:val="lrTb"/>
      <w:docGrid w:type="default" w:linePitch="24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Georgia">
    <w:charset w:val="ee"/>
    <w:family w:val="roman"/>
    <w:pitch w:val="variable"/>
  </w:font>
  <w:font w:name="Calibri">
    <w:charset w:val="ee"/>
    <w:family w:val="roman"/>
    <w:pitch w:val="variable"/>
  </w:font>
  <w:font w:name="Arial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tabs>
        <w:tab w:val="center" w:pos="4536" w:leader="none"/>
        <w:tab w:val="right" w:pos="9072" w:leader="none"/>
      </w:tabs>
      <w:spacing w:lineRule="auto" w:line="240"/>
      <w:jc w:val="right"/>
      <w:rPr/>
    </w:pPr>
    <w:r>
      <w:rPr/>
      <w:fldChar w:fldCharType="begin"/>
    </w:r>
    <w:r>
      <w:instrText> PAGE </w:instrText>
    </w:r>
    <w:r>
      <w:fldChar w:fldCharType="separate"/>
    </w:r>
    <w:r>
      <w:t>6</w:t>
    </w:r>
    <w:r>
      <w:fldChar w:fldCharType="end"/>
    </w:r>
  </w:p>
  <w:p>
    <w:pPr>
      <w:pStyle w:val="Normal"/>
      <w:tabs>
        <w:tab w:val="center" w:pos="4536" w:leader="none"/>
        <w:tab w:val="right" w:pos="9072" w:leader="none"/>
      </w:tabs>
      <w:spacing w:lineRule="auto" w:line="240" w:before="0" w:after="567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widowControl w:val="false"/>
      <w:tabs>
        <w:tab w:val="left" w:pos="2990" w:leader="none"/>
        <w:tab w:val="left" w:pos="6348" w:leader="none"/>
      </w:tabs>
      <w:spacing w:lineRule="auto" w:line="240" w:before="567" w:after="0"/>
      <w:ind w:left="0" w:hanging="0"/>
      <w:jc w:val="center"/>
      <w:rPr/>
    </w:pPr>
    <w:r>
      <w:rPr/>
      <w:t xml:space="preserve"> </w:t>
    </w:r>
    <w:r>
      <w:rPr/>
      <w:t xml:space="preserve">Poznámky Úč POD 3 – 01          </w:t>
    </w:r>
    <w:r>
      <w:rPr>
        <w:color w:val="707070"/>
        <w:sz w:val="18"/>
        <w:szCs w:val="18"/>
        <w:highlight w:val="white"/>
      </w:rPr>
      <w:tab/>
    </w:r>
    <w:r>
      <w:rPr/>
      <w:t xml:space="preserve">                 IČO: </w:t>
    </w:r>
    <w:r>
      <w:rPr/>
      <w:t>36399761</w:t>
    </w:r>
  </w:p>
  <w:p>
    <w:pPr>
      <w:pStyle w:val="Normal"/>
      <w:widowControl w:val="false"/>
      <w:tabs>
        <w:tab w:val="left" w:pos="2990" w:leader="none"/>
        <w:tab w:val="left" w:pos="6348" w:leader="none"/>
      </w:tabs>
      <w:spacing w:lineRule="auto" w:line="240" w:before="567" w:after="0"/>
      <w:ind w:left="0" w:hanging="0"/>
      <w:jc w:val="center"/>
      <w:rPr/>
    </w:pPr>
    <w:r>
      <w:rPr/>
      <w:tab/>
      <w:t xml:space="preserve"> DIČ: </w:t>
    </w:r>
    <w:r>
      <w:rPr/>
      <w:t>2020135986</w:t>
    </w:r>
    <w:r>
      <w:rPr/>
      <w:tab/>
      <w:tab/>
    </w:r>
  </w:p>
  <w:p>
    <w:pPr>
      <w:pStyle w:val="Normal"/>
      <w:tabs>
        <w:tab w:val="center" w:pos="4703" w:leader="none"/>
        <w:tab w:val="right" w:pos="9406" w:leader="none"/>
      </w:tabs>
      <w:spacing w:lineRule="auto" w:line="240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6"/>
      <w:numFmt w:val="bullet"/>
      <w:lvlText w:val="-"/>
      <w:lvlJc w:val="left"/>
      <w:pPr>
        <w:ind w:left="72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1">
      <w:start w:val="1"/>
      <w:numFmt w:val="bullet"/>
      <w:lvlText w:val="o"/>
      <w:lvlJc w:val="left"/>
      <w:pPr>
        <w:ind w:left="144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2">
      <w:start w:val="1"/>
      <w:numFmt w:val="bullet"/>
      <w:lvlText w:val="▪"/>
      <w:lvlJc w:val="left"/>
      <w:pPr>
        <w:ind w:left="216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3">
      <w:start w:val="1"/>
      <w:numFmt w:val="bullet"/>
      <w:lvlText w:val="●"/>
      <w:lvlJc w:val="left"/>
      <w:pPr>
        <w:ind w:left="288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4">
      <w:start w:val="1"/>
      <w:numFmt w:val="bullet"/>
      <w:lvlText w:val="o"/>
      <w:lvlJc w:val="left"/>
      <w:pPr>
        <w:ind w:left="360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5">
      <w:start w:val="1"/>
      <w:numFmt w:val="bullet"/>
      <w:lvlText w:val="▪"/>
      <w:lvlJc w:val="left"/>
      <w:pPr>
        <w:ind w:left="432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6">
      <w:start w:val="1"/>
      <w:numFmt w:val="bullet"/>
      <w:lvlText w:val="●"/>
      <w:lvlJc w:val="left"/>
      <w:pPr>
        <w:ind w:left="504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7">
      <w:start w:val="1"/>
      <w:numFmt w:val="bullet"/>
      <w:lvlText w:val="o"/>
      <w:lvlJc w:val="left"/>
      <w:pPr>
        <w:ind w:left="576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8">
      <w:start w:val="1"/>
      <w:numFmt w:val="bullet"/>
      <w:lvlText w:val="▪"/>
      <w:lvlJc w:val="left"/>
      <w:pPr>
        <w:ind w:left="648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</w:abstractNum>
  <w:abstractNum w:abstractNumId="2">
    <w:lvl w:ilvl="0">
      <w:start w:val="1"/>
      <w:numFmt w:val="bullet"/>
      <w:lvlText w:val="➢"/>
      <w:lvlJc w:val="left"/>
      <w:pPr>
        <w:ind w:left="36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1">
      <w:start w:val="1"/>
      <w:numFmt w:val="bullet"/>
      <w:lvlText w:val="o"/>
      <w:lvlJc w:val="left"/>
      <w:pPr>
        <w:ind w:left="108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2">
      <w:start w:val="1"/>
      <w:numFmt w:val="bullet"/>
      <w:lvlText w:val="▪"/>
      <w:lvlJc w:val="left"/>
      <w:pPr>
        <w:ind w:left="180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3">
      <w:start w:val="1"/>
      <w:numFmt w:val="bullet"/>
      <w:lvlText w:val="●"/>
      <w:lvlJc w:val="left"/>
      <w:pPr>
        <w:ind w:left="252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4">
      <w:start w:val="1"/>
      <w:numFmt w:val="bullet"/>
      <w:lvlText w:val="o"/>
      <w:lvlJc w:val="left"/>
      <w:pPr>
        <w:ind w:left="324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5">
      <w:start w:val="1"/>
      <w:numFmt w:val="bullet"/>
      <w:lvlText w:val="▪"/>
      <w:lvlJc w:val="left"/>
      <w:pPr>
        <w:ind w:left="396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6">
      <w:start w:val="1"/>
      <w:numFmt w:val="bullet"/>
      <w:lvlText w:val="●"/>
      <w:lvlJc w:val="left"/>
      <w:pPr>
        <w:ind w:left="468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7">
      <w:start w:val="1"/>
      <w:numFmt w:val="bullet"/>
      <w:lvlText w:val="o"/>
      <w:lvlJc w:val="left"/>
      <w:pPr>
        <w:ind w:left="540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8">
      <w:start w:val="1"/>
      <w:numFmt w:val="bullet"/>
      <w:lvlText w:val="▪"/>
      <w:lvlJc w:val="left"/>
      <w:pPr>
        <w:ind w:left="612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</w:abstractNum>
  <w:abstractNum w:abstractNumId="3">
    <w:lvl w:ilvl="0">
      <w:start w:val="1"/>
      <w:numFmt w:val="bullet"/>
      <w:lvlText w:val="-"/>
      <w:lvlJc w:val="left"/>
      <w:pPr>
        <w:ind w:left="72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1">
      <w:start w:val="1"/>
      <w:numFmt w:val="bullet"/>
      <w:lvlText w:val="o"/>
      <w:lvlJc w:val="left"/>
      <w:pPr>
        <w:ind w:left="144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2">
      <w:start w:val="1"/>
      <w:numFmt w:val="bullet"/>
      <w:lvlText w:val="▪"/>
      <w:lvlJc w:val="left"/>
      <w:pPr>
        <w:ind w:left="216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3">
      <w:start w:val="1"/>
      <w:numFmt w:val="bullet"/>
      <w:lvlText w:val="●"/>
      <w:lvlJc w:val="left"/>
      <w:pPr>
        <w:ind w:left="288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4">
      <w:start w:val="1"/>
      <w:numFmt w:val="bullet"/>
      <w:lvlText w:val="o"/>
      <w:lvlJc w:val="left"/>
      <w:pPr>
        <w:ind w:left="360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5">
      <w:start w:val="1"/>
      <w:numFmt w:val="bullet"/>
      <w:lvlText w:val="▪"/>
      <w:lvlJc w:val="left"/>
      <w:pPr>
        <w:ind w:left="432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6">
      <w:start w:val="1"/>
      <w:numFmt w:val="bullet"/>
      <w:lvlText w:val="●"/>
      <w:lvlJc w:val="left"/>
      <w:pPr>
        <w:ind w:left="504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7">
      <w:start w:val="1"/>
      <w:numFmt w:val="bullet"/>
      <w:lvlText w:val="o"/>
      <w:lvlJc w:val="left"/>
      <w:pPr>
        <w:ind w:left="576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8">
      <w:start w:val="1"/>
      <w:numFmt w:val="bullet"/>
      <w:lvlText w:val="▪"/>
      <w:lvlJc w:val="left"/>
      <w:pPr>
        <w:ind w:left="648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isplayBackgroundShape/>
  <w:defaultTabStop w:val="720"/>
  <w:compat>
    <w:compatSetting w:name="compatibilityMode" w:uri="http://schemas.microsoft.com/office/word" w:val="14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color w:val="000000"/>
        <w:szCs w:val="22"/>
        <w:lang w:val="sk-SK" w:eastAsia="sk-SK" w:bidi="ar-SA"/>
      </w:rPr>
    </w:rPrDefault>
    <w:pPrDefault>
      <w:pPr>
        <w:spacing w:lineRule="auto" w:line="276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/>
      <w:jc w:val="left"/>
    </w:pPr>
    <w:rPr>
      <w:rFonts w:ascii="Arial" w:hAnsi="Arial" w:eastAsia="Arial" w:cs="Arial"/>
      <w:color w:val="000000"/>
      <w:sz w:val="22"/>
      <w:szCs w:val="22"/>
      <w:lang w:val="sk-SK" w:eastAsia="sk-SK" w:bidi="ar-SA"/>
    </w:rPr>
  </w:style>
  <w:style w:type="paragraph" w:styleId="Nadpis1">
    <w:name w:val="Nadpis 1"/>
    <w:basedOn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Nadpis2">
    <w:name w:val="Nadpis 2"/>
    <w:basedOn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Nadpis3">
    <w:name w:val="Nadpis 3"/>
    <w:basedOn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Nadpis4">
    <w:name w:val="Nadpis 4"/>
    <w:basedOn w:val="Normal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Nadpis5">
    <w:name w:val="Nadpis 5"/>
    <w:basedOn w:val="Normal"/>
    <w:pPr>
      <w:keepNext/>
      <w:keepLines/>
      <w:spacing w:before="220" w:after="40"/>
      <w:contextualSpacing/>
      <w:outlineLvl w:val="4"/>
    </w:pPr>
    <w:rPr>
      <w:b/>
    </w:rPr>
  </w:style>
  <w:style w:type="paragraph" w:styleId="Nadpis6">
    <w:name w:val="Nadpis 6"/>
    <w:basedOn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stLabel1">
    <w:name w:val="ListLabel 1"/>
    <w:qFormat/>
    <w:rPr>
      <w:rFonts w:eastAsia="Arial" w:cs="Arial"/>
      <w:position w:val="0"/>
      <w:sz w:val="24"/>
      <w:sz w:val="24"/>
      <w:vertAlign w:val="baseline"/>
    </w:rPr>
  </w:style>
  <w:style w:type="character" w:styleId="ListLabel2">
    <w:name w:val="ListLabel 2"/>
    <w:qFormat/>
    <w:rPr>
      <w:rFonts w:cs="Arial"/>
      <w:position w:val="0"/>
      <w:sz w:val="24"/>
      <w:sz w:val="24"/>
      <w:vertAlign w:val="baseline"/>
    </w:rPr>
  </w:style>
  <w:style w:type="character" w:styleId="ListLabel3">
    <w:name w:val="ListLabel 3"/>
    <w:qFormat/>
    <w:rPr>
      <w:rFonts w:cs="Arial"/>
      <w:position w:val="0"/>
      <w:sz w:val="24"/>
      <w:sz w:val="24"/>
      <w:vertAlign w:val="baseline"/>
    </w:rPr>
  </w:style>
  <w:style w:type="character" w:styleId="ListLabel4">
    <w:name w:val="ListLabel 4"/>
    <w:qFormat/>
    <w:rPr>
      <w:rFonts w:cs="Arial"/>
      <w:position w:val="0"/>
      <w:sz w:val="24"/>
      <w:sz w:val="24"/>
      <w:vertAlign w:val="baseline"/>
    </w:rPr>
  </w:style>
  <w:style w:type="character" w:styleId="ListLabel5">
    <w:name w:val="ListLabel 5"/>
    <w:qFormat/>
    <w:rPr>
      <w:rFonts w:cs="Arial"/>
      <w:position w:val="0"/>
      <w:sz w:val="24"/>
      <w:sz w:val="24"/>
      <w:vertAlign w:val="baseline"/>
    </w:rPr>
  </w:style>
  <w:style w:type="paragraph" w:styleId="Nadpis">
    <w:name w:val="Nadpis"/>
    <w:basedOn w:val="Normal"/>
    <w:next w:val="Telotextu"/>
    <w:qFormat/>
    <w:pPr>
      <w:keepNext/>
      <w:spacing w:before="240" w:after="120"/>
    </w:pPr>
    <w:rPr>
      <w:rFonts w:ascii="Liberation Sans" w:hAnsi="Liberation Sans" w:eastAsia="Arial Unicode MS" w:cs="Mangal"/>
      <w:sz w:val="28"/>
      <w:szCs w:val="28"/>
    </w:rPr>
  </w:style>
  <w:style w:type="paragraph" w:styleId="Telotextu">
    <w:name w:val="Telo textu"/>
    <w:basedOn w:val="Normal"/>
    <w:pPr>
      <w:spacing w:lineRule="auto" w:line="288" w:before="0" w:after="140"/>
    </w:pPr>
    <w:rPr/>
  </w:style>
  <w:style w:type="paragraph" w:styleId="Zoznam">
    <w:name w:val="Zoznam"/>
    <w:basedOn w:val="Telotextu"/>
    <w:pPr/>
    <w:rPr>
      <w:rFonts w:cs="Mangal"/>
    </w:rPr>
  </w:style>
  <w:style w:type="paragraph" w:styleId="Popis">
    <w:name w:val="Popis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Mangal"/>
    </w:rPr>
  </w:style>
  <w:style w:type="paragraph" w:styleId="Nzov">
    <w:name w:val="Názov"/>
    <w:basedOn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Podnzov">
    <w:name w:val="Podnázov"/>
    <w:basedOn w:val="Normal"/>
    <w:pPr>
      <w:keepNext/>
      <w:keepLines/>
      <w:spacing w:before="360" w:after="80"/>
      <w:contextualSpacing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Hlavika">
    <w:name w:val="Hlavička"/>
    <w:basedOn w:val="Normal"/>
    <w:pPr/>
    <w:rPr/>
  </w:style>
  <w:style w:type="paragraph" w:styleId="Pta">
    <w:name w:val="Päta"/>
    <w:basedOn w:val="Normal"/>
    <w:pPr/>
    <w:rPr/>
  </w:style>
  <w:style w:type="numbering" w:styleId="NoList" w:default="1">
    <w:name w:val="No List"/>
    <w:uiPriority w:val="99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Application>LibreOffice/5.0.4.2$Windows_x86 LibreOffice_project/2b9802c1994aa0b7dc6079e128979269cf95bc78</Application>
  <Paragraphs>201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2016-03-30T09:56:00Z</dcterms:created>
  <dc:language>sk-SK</dc:language>
  <dcterms:modified xsi:type="dcterms:W3CDTF">2017-03-30T08:28:52Z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