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0C26" w:rsidRDefault="00150C26" w:rsidP="00150C26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</w:t>
      </w:r>
    </w:p>
    <w:p w:rsidR="00150C26" w:rsidRDefault="00150C26" w:rsidP="00150C2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Všeobecné údaje</w:t>
      </w:r>
    </w:p>
    <w:p w:rsidR="00150C26" w:rsidRDefault="00150C26" w:rsidP="00150C26">
      <w:pPr>
        <w:pStyle w:val="Default"/>
        <w:jc w:val="center"/>
        <w:rPr>
          <w:sz w:val="23"/>
          <w:szCs w:val="23"/>
        </w:rPr>
      </w:pPr>
    </w:p>
    <w:p w:rsidR="00150C26" w:rsidRDefault="00150C26" w:rsidP="00150C2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Názov právnickej osoby a jej sídlo alebo meno a priezvisko fyzickej osoby. </w:t>
      </w:r>
    </w:p>
    <w:p w:rsidR="00150C26" w:rsidRDefault="00150C26" w:rsidP="00150C26">
      <w:pPr>
        <w:pStyle w:val="Default"/>
        <w:rPr>
          <w:sz w:val="23"/>
          <w:szCs w:val="23"/>
        </w:rPr>
      </w:pPr>
    </w:p>
    <w:p w:rsidR="00150C26" w:rsidRPr="00F127D1" w:rsidRDefault="00150C26" w:rsidP="00150C26">
      <w:pPr>
        <w:pStyle w:val="Default"/>
        <w:rPr>
          <w:b/>
          <w:sz w:val="23"/>
          <w:szCs w:val="23"/>
        </w:rPr>
      </w:pPr>
      <w:r>
        <w:rPr>
          <w:b/>
          <w:sz w:val="23"/>
          <w:szCs w:val="23"/>
        </w:rPr>
        <w:t>BePoRez, s.r.o., Dražkovce 203, 038 02 Dražkovce</w:t>
      </w:r>
    </w:p>
    <w:p w:rsidR="00150C26" w:rsidRDefault="00150C26" w:rsidP="00150C26">
      <w:pPr>
        <w:pStyle w:val="Default"/>
        <w:rPr>
          <w:sz w:val="23"/>
          <w:szCs w:val="23"/>
        </w:rPr>
      </w:pPr>
    </w:p>
    <w:p w:rsidR="00150C26" w:rsidRDefault="00150C26" w:rsidP="00150C2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Údaje o konsolidovanom celku, a to </w:t>
      </w:r>
    </w:p>
    <w:p w:rsidR="00150C26" w:rsidRDefault="00150C26" w:rsidP="00150C2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150C26" w:rsidRDefault="00150C26" w:rsidP="00150C26">
      <w:pPr>
        <w:pStyle w:val="Default"/>
        <w:spacing w:after="27"/>
        <w:rPr>
          <w:sz w:val="23"/>
          <w:szCs w:val="23"/>
        </w:rPr>
      </w:pPr>
    </w:p>
    <w:p w:rsidR="00150C26" w:rsidRPr="00F127D1" w:rsidRDefault="00150C26" w:rsidP="00150C26">
      <w:pPr>
        <w:pStyle w:val="Default"/>
        <w:spacing w:after="27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>- účtovná jednotka  nie je súčasťou  konsolidovaného celku</w:t>
      </w:r>
    </w:p>
    <w:p w:rsidR="00150C26" w:rsidRDefault="00150C26" w:rsidP="00150C26">
      <w:pPr>
        <w:pStyle w:val="Default"/>
        <w:spacing w:after="27"/>
        <w:rPr>
          <w:sz w:val="23"/>
          <w:szCs w:val="23"/>
        </w:rPr>
      </w:pPr>
    </w:p>
    <w:p w:rsidR="00150C26" w:rsidRDefault="00150C26" w:rsidP="00150C2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150C26" w:rsidRDefault="00150C26" w:rsidP="00150C26">
      <w:pPr>
        <w:pStyle w:val="Default"/>
        <w:spacing w:after="27"/>
        <w:rPr>
          <w:sz w:val="16"/>
          <w:szCs w:val="16"/>
        </w:rPr>
      </w:pPr>
      <w:r>
        <w:rPr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sz w:val="16"/>
          <w:szCs w:val="16"/>
        </w:rPr>
        <w:t xml:space="preserve">4) </w:t>
      </w:r>
    </w:p>
    <w:p w:rsidR="00150C26" w:rsidRDefault="00150C26" w:rsidP="00150C2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pri oslobodení podľa § 22 ods. 12 zákona obchodné meno a sídlo dcérskych účtovných jednotiek. </w:t>
      </w:r>
    </w:p>
    <w:p w:rsidR="00150C26" w:rsidRDefault="00150C26" w:rsidP="00150C26">
      <w:pPr>
        <w:pStyle w:val="Default"/>
        <w:rPr>
          <w:sz w:val="23"/>
          <w:szCs w:val="23"/>
        </w:rPr>
      </w:pPr>
    </w:p>
    <w:p w:rsidR="00150C26" w:rsidRPr="00F127D1" w:rsidRDefault="00150C26" w:rsidP="00150C26">
      <w:pPr>
        <w:pStyle w:val="Default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>- účtovná jednotka nie je materskou účtovnou jednotkou</w:t>
      </w:r>
    </w:p>
    <w:p w:rsidR="00150C26" w:rsidRDefault="00150C26" w:rsidP="00150C26">
      <w:pPr>
        <w:pStyle w:val="Default"/>
        <w:rPr>
          <w:sz w:val="23"/>
          <w:szCs w:val="23"/>
        </w:rPr>
      </w:pPr>
    </w:p>
    <w:p w:rsidR="00150C26" w:rsidRDefault="00150C26" w:rsidP="00150C2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(3) Priemerný prepočítaný počet zamestnancov. </w:t>
      </w:r>
    </w:p>
    <w:p w:rsidR="00150C26" w:rsidRDefault="00150C26" w:rsidP="00150C26">
      <w:pPr>
        <w:pStyle w:val="Default"/>
        <w:rPr>
          <w:sz w:val="23"/>
          <w:szCs w:val="23"/>
        </w:rPr>
      </w:pPr>
    </w:p>
    <w:p w:rsidR="00150C26" w:rsidRPr="00F127D1" w:rsidRDefault="00150C26" w:rsidP="00150C26">
      <w:pPr>
        <w:pStyle w:val="Default"/>
        <w:rPr>
          <w:b/>
          <w:sz w:val="23"/>
          <w:szCs w:val="23"/>
        </w:rPr>
      </w:pPr>
      <w:r>
        <w:rPr>
          <w:b/>
          <w:sz w:val="23"/>
          <w:szCs w:val="23"/>
        </w:rPr>
        <w:t>-ú</w:t>
      </w:r>
      <w:r w:rsidRPr="00F127D1">
        <w:rPr>
          <w:b/>
          <w:sz w:val="23"/>
          <w:szCs w:val="23"/>
        </w:rPr>
        <w:t>č</w:t>
      </w:r>
      <w:r>
        <w:rPr>
          <w:b/>
          <w:sz w:val="23"/>
          <w:szCs w:val="23"/>
        </w:rPr>
        <w:t xml:space="preserve">tovná jednotka mala k 31.12.2016 </w:t>
      </w:r>
      <w:r w:rsidRPr="00F127D1">
        <w:rPr>
          <w:b/>
          <w:sz w:val="23"/>
          <w:szCs w:val="23"/>
        </w:rPr>
        <w:t xml:space="preserve"> </w:t>
      </w:r>
      <w:r>
        <w:rPr>
          <w:b/>
          <w:sz w:val="23"/>
          <w:szCs w:val="23"/>
        </w:rPr>
        <w:t xml:space="preserve">-  5  </w:t>
      </w:r>
      <w:r w:rsidRPr="00F127D1">
        <w:rPr>
          <w:b/>
          <w:sz w:val="23"/>
          <w:szCs w:val="23"/>
        </w:rPr>
        <w:t>zamestnancov</w:t>
      </w:r>
      <w:r>
        <w:rPr>
          <w:b/>
          <w:sz w:val="23"/>
          <w:szCs w:val="23"/>
        </w:rPr>
        <w:t>.</w:t>
      </w:r>
    </w:p>
    <w:p w:rsidR="00150C26" w:rsidRDefault="00150C26" w:rsidP="00150C26">
      <w:pPr>
        <w:pStyle w:val="Default"/>
        <w:rPr>
          <w:sz w:val="23"/>
          <w:szCs w:val="23"/>
        </w:rPr>
      </w:pPr>
    </w:p>
    <w:p w:rsidR="00150C26" w:rsidRDefault="00150C26" w:rsidP="00150C26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</w:t>
      </w:r>
    </w:p>
    <w:p w:rsidR="00150C26" w:rsidRDefault="00150C26" w:rsidP="00150C2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Informácie o prijatých postupoch</w:t>
      </w:r>
    </w:p>
    <w:p w:rsidR="00150C26" w:rsidRDefault="00150C26" w:rsidP="00150C26">
      <w:pPr>
        <w:pStyle w:val="Default"/>
        <w:jc w:val="center"/>
        <w:rPr>
          <w:sz w:val="23"/>
          <w:szCs w:val="23"/>
        </w:rPr>
      </w:pPr>
    </w:p>
    <w:p w:rsidR="00150C26" w:rsidRDefault="00150C26" w:rsidP="00150C26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150C26" w:rsidRDefault="00150C26" w:rsidP="00150C26">
      <w:pPr>
        <w:pStyle w:val="Default"/>
        <w:jc w:val="both"/>
        <w:rPr>
          <w:sz w:val="23"/>
          <w:szCs w:val="23"/>
        </w:rPr>
      </w:pPr>
    </w:p>
    <w:p w:rsidR="00150C26" w:rsidRPr="00F127D1" w:rsidRDefault="00150C26" w:rsidP="00150C26">
      <w:pPr>
        <w:pStyle w:val="Default"/>
        <w:jc w:val="both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>- účtovná závierka je zostavená za splnenia predpokladu nepretržitého pokračovania vo svojej činnosti</w:t>
      </w:r>
    </w:p>
    <w:p w:rsidR="00150C26" w:rsidRDefault="00150C26" w:rsidP="00150C26">
      <w:pPr>
        <w:pStyle w:val="Default"/>
        <w:jc w:val="both"/>
        <w:rPr>
          <w:sz w:val="23"/>
          <w:szCs w:val="23"/>
        </w:rPr>
      </w:pPr>
    </w:p>
    <w:p w:rsidR="00150C26" w:rsidRDefault="00150C26" w:rsidP="00150C26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(2) Spôsob oceňovania jednotlivých položiek majetku a záväzkov, a to </w:t>
      </w:r>
    </w:p>
    <w:p w:rsidR="00150C26" w:rsidRDefault="00150C26" w:rsidP="00150C26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a dlhodobého finančného majetku, </w:t>
      </w:r>
    </w:p>
    <w:p w:rsidR="00150C26" w:rsidRPr="00F127D1" w:rsidRDefault="00150C26" w:rsidP="00150C26">
      <w:pPr>
        <w:pStyle w:val="Default"/>
        <w:spacing w:after="27"/>
        <w:jc w:val="both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 xml:space="preserve">- účtovná jednotka </w:t>
      </w:r>
      <w:r>
        <w:rPr>
          <w:b/>
          <w:sz w:val="23"/>
          <w:szCs w:val="23"/>
        </w:rPr>
        <w:t>oceňovala dlhodobý majetok v obstarávacích cenách</w:t>
      </w:r>
    </w:p>
    <w:p w:rsidR="00150C26" w:rsidRDefault="00150C26" w:rsidP="00150C26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b) zásob obstaraných kúpou, zásob vytvorených vlastnou činnosťou, </w:t>
      </w:r>
    </w:p>
    <w:p w:rsidR="00150C26" w:rsidRDefault="00150C26" w:rsidP="00150C26">
      <w:pPr>
        <w:pStyle w:val="Default"/>
        <w:spacing w:after="27"/>
        <w:jc w:val="both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 xml:space="preserve">- účtovná jednotka </w:t>
      </w:r>
      <w:r>
        <w:rPr>
          <w:b/>
          <w:sz w:val="23"/>
          <w:szCs w:val="23"/>
        </w:rPr>
        <w:t>oceňovala nakupované zásoby v obstarávacích cenách a zásoby vlastnej výroby vo výške vlastných nákladov</w:t>
      </w:r>
    </w:p>
    <w:p w:rsidR="00150C26" w:rsidRPr="00F127D1" w:rsidRDefault="00150C26" w:rsidP="00150C26">
      <w:pPr>
        <w:pStyle w:val="Default"/>
        <w:spacing w:after="27"/>
        <w:jc w:val="both"/>
        <w:rPr>
          <w:b/>
          <w:sz w:val="23"/>
          <w:szCs w:val="23"/>
        </w:rPr>
      </w:pPr>
      <w:r>
        <w:rPr>
          <w:b/>
          <w:sz w:val="23"/>
          <w:szCs w:val="23"/>
        </w:rPr>
        <w:t>- účtovanie zásob – spôsob B</w:t>
      </w:r>
    </w:p>
    <w:p w:rsidR="00150C26" w:rsidRDefault="00150C26" w:rsidP="00150C26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c) pohľadávok, </w:t>
      </w:r>
    </w:p>
    <w:p w:rsidR="00150C26" w:rsidRPr="00F127D1" w:rsidRDefault="00150C26" w:rsidP="00150C26">
      <w:pPr>
        <w:jc w:val="both"/>
        <w:rPr>
          <w:color w:val="000000"/>
          <w:sz w:val="23"/>
          <w:szCs w:val="23"/>
        </w:rPr>
      </w:pPr>
      <w:r>
        <w:rPr>
          <w:sz w:val="23"/>
          <w:szCs w:val="23"/>
        </w:rPr>
        <w:t xml:space="preserve">- účtovná jednotka pohľadávky </w:t>
      </w:r>
      <w:r w:rsidRPr="00F127D1">
        <w:rPr>
          <w:color w:val="000000"/>
          <w:sz w:val="23"/>
          <w:szCs w:val="23"/>
        </w:rPr>
        <w:t>pri ich vzniku oceň</w:t>
      </w:r>
      <w:r>
        <w:rPr>
          <w:color w:val="000000"/>
          <w:sz w:val="23"/>
          <w:szCs w:val="23"/>
        </w:rPr>
        <w:t>ovala</w:t>
      </w:r>
      <w:r w:rsidRPr="00F127D1">
        <w:rPr>
          <w:color w:val="000000"/>
          <w:sz w:val="23"/>
          <w:szCs w:val="23"/>
        </w:rPr>
        <w:t xml:space="preserve"> menovitou hodnotou. Postúpené pohľadávky a pohľadávky nadobudnuté vkladom do základného imania sa oceňujú obstarávacou cenou.</w:t>
      </w:r>
    </w:p>
    <w:p w:rsidR="00150C26" w:rsidRDefault="00150C26" w:rsidP="00150C26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d) krátkodobého finančného majetku, </w:t>
      </w:r>
    </w:p>
    <w:p w:rsidR="00150C26" w:rsidRDefault="00150C26" w:rsidP="00150C26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- </w:t>
      </w:r>
      <w:r w:rsidRPr="00F127D1">
        <w:rPr>
          <w:sz w:val="23"/>
          <w:szCs w:val="23"/>
        </w:rPr>
        <w:t>Peňažné prostriedky a ceniny sa oceňujú ich menovitou hodnotou</w:t>
      </w:r>
    </w:p>
    <w:p w:rsidR="00150C26" w:rsidRDefault="00150C26" w:rsidP="00150C26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e) záväzkov vrátane rezerv, dlhopisov, pôžičiek a úverov, </w:t>
      </w:r>
    </w:p>
    <w:p w:rsidR="00150C26" w:rsidRPr="00F127D1" w:rsidRDefault="00150C26" w:rsidP="00150C26">
      <w:pPr>
        <w:jc w:val="both"/>
        <w:rPr>
          <w:color w:val="000000"/>
          <w:sz w:val="23"/>
          <w:szCs w:val="23"/>
        </w:rPr>
      </w:pPr>
      <w:r w:rsidRPr="00F127D1">
        <w:rPr>
          <w:color w:val="000000"/>
          <w:sz w:val="23"/>
          <w:szCs w:val="23"/>
        </w:rPr>
        <w:t>- 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150C26" w:rsidRDefault="00150C26" w:rsidP="00150C2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f) derivátových operácií</w:t>
      </w:r>
    </w:p>
    <w:p w:rsidR="00150C26" w:rsidRDefault="00150C26" w:rsidP="00150C2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</w:t>
      </w:r>
      <w:r w:rsidRPr="00F127D1">
        <w:rPr>
          <w:sz w:val="23"/>
          <w:szCs w:val="23"/>
        </w:rPr>
        <w:t>Deriváty sa oceňujú reálnou hodnotou – účtovná jednotka neúčtovala o derivátoch</w:t>
      </w:r>
    </w:p>
    <w:p w:rsidR="00150C26" w:rsidRDefault="00150C26" w:rsidP="00150C26">
      <w:pPr>
        <w:pStyle w:val="Default"/>
        <w:rPr>
          <w:sz w:val="23"/>
          <w:szCs w:val="23"/>
        </w:rPr>
      </w:pPr>
    </w:p>
    <w:p w:rsidR="00150C26" w:rsidRDefault="00150C26" w:rsidP="00150C26">
      <w:pPr>
        <w:pStyle w:val="Default"/>
        <w:rPr>
          <w:sz w:val="23"/>
          <w:szCs w:val="23"/>
        </w:rPr>
      </w:pPr>
    </w:p>
    <w:p w:rsidR="00150C26" w:rsidRDefault="00150C26" w:rsidP="00150C26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150C26" w:rsidRPr="00F127D1" w:rsidRDefault="00150C26" w:rsidP="00150C26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- </w:t>
      </w:r>
      <w:r>
        <w:rPr>
          <w:sz w:val="20"/>
          <w:szCs w:val="20"/>
          <w:lang w:eastAsia="en-US"/>
        </w:rPr>
        <w:t xml:space="preserve"> </w:t>
      </w:r>
      <w:r w:rsidRPr="00BC3DD5">
        <w:rPr>
          <w:sz w:val="20"/>
          <w:szCs w:val="20"/>
          <w:lang w:eastAsia="en-US"/>
        </w:rPr>
        <w:t>Odpisy dlhodobého hmotného majetku sú stanovené podľa predpokladanej doby je</w:t>
      </w:r>
      <w:r>
        <w:rPr>
          <w:sz w:val="20"/>
          <w:szCs w:val="20"/>
          <w:lang w:eastAsia="en-US"/>
        </w:rPr>
        <w:t xml:space="preserve">ho používania a predpokladaného </w:t>
      </w:r>
      <w:r w:rsidRPr="00BC3DD5">
        <w:rPr>
          <w:sz w:val="20"/>
          <w:szCs w:val="20"/>
          <w:lang w:eastAsia="en-US"/>
        </w:rPr>
        <w:t xml:space="preserve">priebehu jeho opotrebovania. Účtovná jednotka zobrala za základ odpisové sadzby podľa zákona o dani z príjmov. </w:t>
      </w:r>
      <w:r>
        <w:rPr>
          <w:sz w:val="20"/>
          <w:szCs w:val="20"/>
          <w:lang w:eastAsia="en-US"/>
        </w:rPr>
        <w:t>Účtovné</w:t>
      </w:r>
      <w:r w:rsidRPr="00BC3DD5">
        <w:rPr>
          <w:sz w:val="20"/>
          <w:szCs w:val="20"/>
          <w:lang w:eastAsia="en-US"/>
        </w:rPr>
        <w:t xml:space="preserve"> odpisy rovnajú daňovým odpisom. </w:t>
      </w:r>
    </w:p>
    <w:p w:rsidR="00150C26" w:rsidRPr="00BC3DD5" w:rsidRDefault="00150C26" w:rsidP="00150C26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>Stanovená metóda odpisovania, ročnou odpisovou sadzbou.:</w:t>
      </w:r>
    </w:p>
    <w:p w:rsidR="00150C26" w:rsidRPr="00BC3DD5" w:rsidRDefault="00150C26" w:rsidP="00150C26">
      <w:pPr>
        <w:rPr>
          <w:sz w:val="20"/>
          <w:szCs w:val="20"/>
          <w:lang w:eastAsia="en-US"/>
        </w:rPr>
      </w:pPr>
    </w:p>
    <w:p w:rsidR="00150C26" w:rsidRPr="00BC3DD5" w:rsidRDefault="00150C26" w:rsidP="00150C26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>Predpokladaná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</w:r>
      <w:r>
        <w:rPr>
          <w:sz w:val="20"/>
          <w:szCs w:val="20"/>
          <w:lang w:eastAsia="en-US"/>
        </w:rPr>
        <w:t xml:space="preserve">              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Ročná  odpisová</w:t>
      </w:r>
      <w:r>
        <w:rPr>
          <w:sz w:val="20"/>
          <w:szCs w:val="20"/>
          <w:lang w:eastAsia="en-US"/>
        </w:rPr>
        <w:t xml:space="preserve">             metóda odp.          Doba použ. v rokoch</w:t>
      </w:r>
    </w:p>
    <w:p w:rsidR="00150C26" w:rsidRPr="00BC3DD5" w:rsidRDefault="00150C26" w:rsidP="00150C26">
      <w:p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                              </w:t>
      </w:r>
      <w:r w:rsidRPr="00BC3DD5">
        <w:rPr>
          <w:sz w:val="20"/>
          <w:szCs w:val="20"/>
          <w:lang w:eastAsia="en-US"/>
        </w:rPr>
        <w:tab/>
      </w:r>
      <w:r>
        <w:rPr>
          <w:sz w:val="20"/>
          <w:szCs w:val="20"/>
          <w:lang w:eastAsia="en-US"/>
        </w:rPr>
        <w:t xml:space="preserve">                  </w:t>
      </w:r>
      <w:r w:rsidRPr="00BC3DD5">
        <w:rPr>
          <w:sz w:val="20"/>
          <w:szCs w:val="20"/>
          <w:lang w:eastAsia="en-US"/>
        </w:rPr>
        <w:tab/>
        <w:t xml:space="preserve">      sadzba v %         </w:t>
      </w:r>
    </w:p>
    <w:p w:rsidR="00150C26" w:rsidRPr="00BC3DD5" w:rsidRDefault="00150C26" w:rsidP="00150C26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ab/>
        <w:t xml:space="preserve">- Stavby 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20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lineárna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 xml:space="preserve"> 5 </w:t>
      </w:r>
    </w:p>
    <w:p w:rsidR="00150C26" w:rsidRPr="00BC3DD5" w:rsidRDefault="00150C26" w:rsidP="00150C26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ab/>
        <w:t>- Stroje, prístroje a zariadenia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6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lineárna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8,3 až 12,5</w:t>
      </w:r>
    </w:p>
    <w:p w:rsidR="00150C26" w:rsidRPr="00BC3DD5" w:rsidRDefault="00150C26" w:rsidP="00150C26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ab/>
        <w:t>- Dopravné prostriedky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4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 xml:space="preserve">lineárna   </w:t>
      </w:r>
      <w:r w:rsidRPr="00BC3DD5">
        <w:rPr>
          <w:sz w:val="20"/>
          <w:szCs w:val="20"/>
          <w:lang w:eastAsia="en-US"/>
        </w:rPr>
        <w:tab/>
        <w:t>25</w:t>
      </w:r>
    </w:p>
    <w:p w:rsidR="00150C26" w:rsidRDefault="00150C26" w:rsidP="00150C26">
      <w:pPr>
        <w:pStyle w:val="Default"/>
        <w:jc w:val="both"/>
        <w:rPr>
          <w:sz w:val="23"/>
          <w:szCs w:val="23"/>
        </w:rPr>
      </w:pPr>
    </w:p>
    <w:p w:rsidR="00150C26" w:rsidRDefault="00150C26" w:rsidP="00150C26">
      <w:pPr>
        <w:pStyle w:val="Default"/>
        <w:jc w:val="both"/>
        <w:rPr>
          <w:sz w:val="23"/>
          <w:szCs w:val="23"/>
        </w:rPr>
      </w:pPr>
    </w:p>
    <w:p w:rsidR="00150C26" w:rsidRDefault="00150C26" w:rsidP="00150C26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150C26" w:rsidRPr="00776AC2" w:rsidRDefault="00150C26" w:rsidP="00150C26">
      <w:pPr>
        <w:pStyle w:val="Default"/>
        <w:jc w:val="both"/>
        <w:rPr>
          <w:b/>
          <w:color w:val="auto"/>
          <w:sz w:val="23"/>
          <w:szCs w:val="23"/>
        </w:rPr>
      </w:pPr>
      <w:r w:rsidRPr="00776AC2">
        <w:rPr>
          <w:b/>
          <w:color w:val="auto"/>
          <w:sz w:val="23"/>
          <w:szCs w:val="23"/>
        </w:rPr>
        <w:t>- v roku 201</w:t>
      </w:r>
      <w:r>
        <w:rPr>
          <w:b/>
          <w:color w:val="auto"/>
          <w:sz w:val="23"/>
          <w:szCs w:val="23"/>
        </w:rPr>
        <w:t>6</w:t>
      </w:r>
      <w:r w:rsidRPr="00776AC2">
        <w:rPr>
          <w:b/>
          <w:color w:val="auto"/>
          <w:sz w:val="23"/>
          <w:szCs w:val="23"/>
        </w:rPr>
        <w:t xml:space="preserve"> nenastali v účtovnej jednotke zmeny účtovných zásad a účtovných metód</w:t>
      </w:r>
    </w:p>
    <w:p w:rsidR="00150C26" w:rsidRDefault="00150C26" w:rsidP="00150C26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150C26" w:rsidRPr="00776AC2" w:rsidRDefault="00150C26" w:rsidP="00150C26">
      <w:pPr>
        <w:pStyle w:val="Default"/>
        <w:jc w:val="both"/>
        <w:rPr>
          <w:b/>
          <w:color w:val="auto"/>
          <w:sz w:val="22"/>
          <w:szCs w:val="22"/>
        </w:rPr>
      </w:pPr>
      <w:r w:rsidRPr="00776AC2">
        <w:rPr>
          <w:b/>
          <w:color w:val="auto"/>
          <w:sz w:val="22"/>
          <w:szCs w:val="22"/>
        </w:rPr>
        <w:t>- v roku 201</w:t>
      </w:r>
      <w:r>
        <w:rPr>
          <w:b/>
          <w:color w:val="auto"/>
          <w:sz w:val="22"/>
          <w:szCs w:val="22"/>
        </w:rPr>
        <w:t>6</w:t>
      </w:r>
      <w:r w:rsidRPr="00776AC2">
        <w:rPr>
          <w:b/>
          <w:color w:val="auto"/>
          <w:sz w:val="22"/>
          <w:szCs w:val="22"/>
        </w:rPr>
        <w:t xml:space="preserve"> účtovná jednotka </w:t>
      </w:r>
      <w:r>
        <w:rPr>
          <w:b/>
          <w:color w:val="auto"/>
          <w:sz w:val="22"/>
          <w:szCs w:val="22"/>
        </w:rPr>
        <w:t>ne</w:t>
      </w:r>
      <w:r w:rsidRPr="00776AC2">
        <w:rPr>
          <w:b/>
          <w:color w:val="auto"/>
          <w:sz w:val="22"/>
          <w:szCs w:val="22"/>
        </w:rPr>
        <w:t>účtovala o</w:t>
      </w:r>
      <w:r>
        <w:rPr>
          <w:b/>
          <w:color w:val="auto"/>
          <w:sz w:val="22"/>
          <w:szCs w:val="22"/>
        </w:rPr>
        <w:t> </w:t>
      </w:r>
      <w:r w:rsidRPr="00776AC2">
        <w:rPr>
          <w:b/>
          <w:color w:val="auto"/>
          <w:sz w:val="22"/>
          <w:szCs w:val="22"/>
        </w:rPr>
        <w:t>dotáciách</w:t>
      </w:r>
      <w:r>
        <w:rPr>
          <w:b/>
          <w:color w:val="auto"/>
          <w:sz w:val="22"/>
          <w:szCs w:val="22"/>
        </w:rPr>
        <w:t xml:space="preserve">. </w:t>
      </w:r>
    </w:p>
    <w:p w:rsidR="00150C26" w:rsidRDefault="00150C26" w:rsidP="00150C26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150C26" w:rsidRPr="00776AC2" w:rsidRDefault="00150C26" w:rsidP="00150C26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</w:t>
      </w:r>
      <w:r w:rsidRPr="00776AC2">
        <w:rPr>
          <w:b/>
          <w:color w:val="auto"/>
          <w:sz w:val="23"/>
          <w:szCs w:val="23"/>
        </w:rPr>
        <w:t>v roku 201</w:t>
      </w:r>
      <w:r w:rsidR="001B4997">
        <w:rPr>
          <w:b/>
          <w:color w:val="auto"/>
          <w:sz w:val="23"/>
          <w:szCs w:val="23"/>
        </w:rPr>
        <w:t>6</w:t>
      </w:r>
      <w:r w:rsidRPr="00776AC2">
        <w:rPr>
          <w:b/>
          <w:color w:val="auto"/>
          <w:sz w:val="23"/>
          <w:szCs w:val="23"/>
        </w:rPr>
        <w:t xml:space="preserve"> účtovná jednotka neúčtovala o významných opravách chýb minulých účtovných období v bežnom účtovnom období</w:t>
      </w:r>
    </w:p>
    <w:p w:rsidR="00150C26" w:rsidRDefault="00150C26" w:rsidP="00150C26">
      <w:pPr>
        <w:pStyle w:val="Default"/>
        <w:rPr>
          <w:color w:val="auto"/>
          <w:sz w:val="23"/>
          <w:szCs w:val="23"/>
        </w:rPr>
      </w:pPr>
    </w:p>
    <w:p w:rsidR="00150C26" w:rsidRDefault="00150C26" w:rsidP="00150C26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:rsidR="00150C26" w:rsidRDefault="00150C26" w:rsidP="00150C26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 strát</w:t>
      </w:r>
    </w:p>
    <w:p w:rsidR="00150C26" w:rsidRDefault="00150C26" w:rsidP="00150C26">
      <w:pPr>
        <w:pStyle w:val="Default"/>
        <w:jc w:val="center"/>
        <w:rPr>
          <w:color w:val="auto"/>
          <w:sz w:val="23"/>
          <w:szCs w:val="23"/>
        </w:rPr>
      </w:pPr>
    </w:p>
    <w:p w:rsidR="00150C26" w:rsidRDefault="00150C26" w:rsidP="00150C26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150C26" w:rsidRDefault="00150C26" w:rsidP="00150C26">
      <w:pPr>
        <w:pStyle w:val="Default"/>
        <w:jc w:val="both"/>
        <w:rPr>
          <w:b/>
          <w:color w:val="auto"/>
          <w:sz w:val="23"/>
          <w:szCs w:val="23"/>
        </w:rPr>
      </w:pPr>
      <w:r w:rsidRPr="001B4997">
        <w:rPr>
          <w:b/>
          <w:color w:val="auto"/>
          <w:sz w:val="23"/>
          <w:szCs w:val="23"/>
        </w:rPr>
        <w:t>- v roku 2016 účtovná jednotka neúčtovala o nákladoch a výnosoch uvedených v predchádzajúcom odstavci</w:t>
      </w:r>
    </w:p>
    <w:p w:rsidR="001B4997" w:rsidRPr="001B4997" w:rsidRDefault="001B4997" w:rsidP="00150C26">
      <w:pPr>
        <w:pStyle w:val="Default"/>
        <w:jc w:val="both"/>
        <w:rPr>
          <w:b/>
          <w:color w:val="auto"/>
          <w:sz w:val="23"/>
          <w:szCs w:val="23"/>
        </w:rPr>
      </w:pPr>
    </w:p>
    <w:p w:rsidR="00150C26" w:rsidRDefault="00150C26" w:rsidP="00150C2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150C26" w:rsidRDefault="00150C26" w:rsidP="00150C2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150C26" w:rsidRDefault="00150C26" w:rsidP="00150C26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150C26" w:rsidRDefault="00150C26" w:rsidP="00150C26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150C26" w:rsidRDefault="00150C26" w:rsidP="00150C26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150C26" w:rsidRDefault="00150C26" w:rsidP="00150C26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150C26" w:rsidRPr="00BC3DD5" w:rsidTr="0073548F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50C26" w:rsidRPr="00BC3DD5" w:rsidRDefault="00150C26" w:rsidP="0073548F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50C26" w:rsidRPr="00BC3DD5" w:rsidRDefault="00150C26" w:rsidP="0073548F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50C26" w:rsidRPr="00BC3DD5" w:rsidRDefault="00150C26" w:rsidP="0073548F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Bezprostredne predchádzajúce účtovné</w:t>
            </w:r>
          </w:p>
          <w:p w:rsidR="00150C26" w:rsidRPr="00BC3DD5" w:rsidRDefault="00150C26" w:rsidP="0073548F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obdobie</w:t>
            </w:r>
          </w:p>
        </w:tc>
      </w:tr>
      <w:tr w:rsidR="00150C26" w:rsidRPr="00BC3DD5" w:rsidTr="0073548F">
        <w:trPr>
          <w:trHeight w:val="423"/>
        </w:trPr>
        <w:tc>
          <w:tcPr>
            <w:tcW w:w="3472" w:type="dxa"/>
            <w:vAlign w:val="center"/>
          </w:tcPr>
          <w:p w:rsidR="00150C26" w:rsidRPr="00BC3DD5" w:rsidRDefault="00150C26" w:rsidP="0073548F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150C26" w:rsidRPr="00BC3DD5" w:rsidRDefault="00150C26" w:rsidP="0073548F">
            <w:pPr>
              <w:jc w:val="center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150C26" w:rsidRPr="00BC3DD5" w:rsidRDefault="00150C26" w:rsidP="0073548F">
            <w:pPr>
              <w:jc w:val="center"/>
              <w:rPr>
                <w:rFonts w:eastAsiaTheme="minorEastAsia"/>
                <w:sz w:val="20"/>
                <w:szCs w:val="20"/>
              </w:rPr>
            </w:pPr>
          </w:p>
        </w:tc>
      </w:tr>
      <w:tr w:rsidR="00150C26" w:rsidRPr="00BC3DD5" w:rsidTr="0073548F"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150C26" w:rsidRPr="00BC3DD5" w:rsidRDefault="00150C26" w:rsidP="0073548F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Záväzky so zostatkovou dobou splatnosti</w:t>
            </w:r>
          </w:p>
          <w:p w:rsidR="00150C26" w:rsidRPr="00BC3DD5" w:rsidRDefault="00150C26" w:rsidP="0073548F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do jedného roka vrátane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150C26" w:rsidRPr="00BC3DD5" w:rsidRDefault="00150C26" w:rsidP="0073548F">
            <w:pPr>
              <w:jc w:val="center"/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>70.629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150C26" w:rsidRPr="00BC3DD5" w:rsidRDefault="00150C26" w:rsidP="0073548F">
            <w:pPr>
              <w:jc w:val="center"/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>19.163</w:t>
            </w:r>
          </w:p>
        </w:tc>
      </w:tr>
    </w:tbl>
    <w:p w:rsidR="00150C26" w:rsidRDefault="00150C26" w:rsidP="00150C26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150C26" w:rsidRDefault="00150C26" w:rsidP="00150C26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150C26" w:rsidRDefault="00150C26" w:rsidP="00150C26">
      <w:pPr>
        <w:pStyle w:val="Default"/>
        <w:jc w:val="both"/>
        <w:rPr>
          <w:color w:val="auto"/>
          <w:sz w:val="23"/>
          <w:szCs w:val="23"/>
        </w:rPr>
      </w:pPr>
    </w:p>
    <w:p w:rsidR="00150C26" w:rsidRDefault="00150C26" w:rsidP="00150C26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150C26" w:rsidRDefault="00150C26" w:rsidP="00150C26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150C26" w:rsidRDefault="00150C26" w:rsidP="00150C26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150C26" w:rsidRDefault="00150C26" w:rsidP="00150C26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150C26" w:rsidRDefault="00150C26" w:rsidP="00150C26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150C26" w:rsidRDefault="00150C26" w:rsidP="00150C26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150C26" w:rsidRDefault="00150C26" w:rsidP="00150C26">
      <w:pPr>
        <w:pStyle w:val="Default"/>
        <w:jc w:val="both"/>
        <w:rPr>
          <w:color w:val="auto"/>
          <w:sz w:val="23"/>
          <w:szCs w:val="23"/>
        </w:rPr>
      </w:pPr>
    </w:p>
    <w:p w:rsidR="00150C26" w:rsidRPr="00150C26" w:rsidRDefault="00150C26" w:rsidP="00150C26">
      <w:pPr>
        <w:pStyle w:val="Default"/>
        <w:numPr>
          <w:ilvl w:val="0"/>
          <w:numId w:val="1"/>
        </w:numPr>
        <w:jc w:val="both"/>
        <w:rPr>
          <w:b/>
          <w:color w:val="auto"/>
          <w:sz w:val="23"/>
          <w:szCs w:val="23"/>
        </w:rPr>
      </w:pPr>
      <w:r w:rsidRPr="00150C26">
        <w:rPr>
          <w:b/>
          <w:color w:val="auto"/>
          <w:sz w:val="23"/>
          <w:szCs w:val="23"/>
        </w:rPr>
        <w:t>Účtovná jednotka nemá náplň pre tieto informácie</w:t>
      </w:r>
    </w:p>
    <w:p w:rsidR="00150C26" w:rsidRDefault="00150C26" w:rsidP="00150C26">
      <w:pPr>
        <w:pStyle w:val="Default"/>
        <w:jc w:val="both"/>
        <w:rPr>
          <w:color w:val="auto"/>
          <w:sz w:val="23"/>
          <w:szCs w:val="23"/>
        </w:rPr>
      </w:pPr>
    </w:p>
    <w:p w:rsidR="00150C26" w:rsidRDefault="00150C26" w:rsidP="00150C2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150C26" w:rsidRDefault="00150C26" w:rsidP="00150C2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150C26" w:rsidRDefault="00150C26" w:rsidP="00150C2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150C26" w:rsidRDefault="00150C26" w:rsidP="00150C2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150C26" w:rsidRDefault="00150C26" w:rsidP="00150C26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150C26" w:rsidRDefault="00150C26" w:rsidP="00150C2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150C26" w:rsidRDefault="00150C26" w:rsidP="00150C2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150C26" w:rsidRDefault="00150C26" w:rsidP="00150C2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150C26" w:rsidRDefault="00150C26" w:rsidP="00150C26">
      <w:pPr>
        <w:pStyle w:val="Default"/>
        <w:ind w:left="644"/>
        <w:jc w:val="both"/>
        <w:rPr>
          <w:color w:val="auto"/>
          <w:sz w:val="23"/>
          <w:szCs w:val="23"/>
        </w:rPr>
      </w:pPr>
    </w:p>
    <w:p w:rsidR="00150C26" w:rsidRPr="00150C26" w:rsidRDefault="00150C26" w:rsidP="00150C26">
      <w:pPr>
        <w:pStyle w:val="Default"/>
        <w:numPr>
          <w:ilvl w:val="0"/>
          <w:numId w:val="1"/>
        </w:numPr>
        <w:jc w:val="both"/>
        <w:rPr>
          <w:b/>
          <w:color w:val="auto"/>
          <w:sz w:val="23"/>
          <w:szCs w:val="23"/>
        </w:rPr>
      </w:pPr>
      <w:r w:rsidRPr="00150C26">
        <w:rPr>
          <w:b/>
          <w:color w:val="auto"/>
          <w:sz w:val="23"/>
          <w:szCs w:val="23"/>
        </w:rPr>
        <w:t>Účtovná jednotka nemá náplň pre tieto informácie</w:t>
      </w:r>
    </w:p>
    <w:p w:rsidR="00150C26" w:rsidRDefault="00150C26" w:rsidP="00150C26">
      <w:pPr>
        <w:pStyle w:val="Default"/>
        <w:rPr>
          <w:color w:val="auto"/>
          <w:sz w:val="23"/>
          <w:szCs w:val="23"/>
        </w:rPr>
      </w:pPr>
    </w:p>
    <w:p w:rsidR="00150C26" w:rsidRDefault="00150C26" w:rsidP="00150C2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150C26" w:rsidRDefault="00150C26" w:rsidP="00150C2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150C26" w:rsidRDefault="00150C26" w:rsidP="00150C2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150C26" w:rsidRDefault="00150C26" w:rsidP="00150C2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150C26" w:rsidRDefault="00150C26" w:rsidP="00150C2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150C26" w:rsidRDefault="00150C26" w:rsidP="00150C2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150C26" w:rsidRDefault="00150C26" w:rsidP="00150C2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150C26" w:rsidRDefault="00150C26" w:rsidP="00150C2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150C26" w:rsidRDefault="00150C26" w:rsidP="00150C2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150C26" w:rsidRDefault="00150C26" w:rsidP="00150C2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150C26" w:rsidRPr="00150C26" w:rsidRDefault="00150C26" w:rsidP="00150C26">
      <w:pPr>
        <w:pStyle w:val="Default"/>
        <w:rPr>
          <w:b/>
          <w:color w:val="auto"/>
          <w:sz w:val="23"/>
          <w:szCs w:val="23"/>
        </w:rPr>
      </w:pPr>
    </w:p>
    <w:p w:rsidR="00150C26" w:rsidRPr="00150C26" w:rsidRDefault="00150C26" w:rsidP="00150C26">
      <w:pPr>
        <w:pStyle w:val="Default"/>
        <w:numPr>
          <w:ilvl w:val="0"/>
          <w:numId w:val="1"/>
        </w:numPr>
        <w:jc w:val="both"/>
        <w:rPr>
          <w:b/>
          <w:color w:val="auto"/>
          <w:sz w:val="23"/>
          <w:szCs w:val="23"/>
        </w:rPr>
      </w:pPr>
      <w:r w:rsidRPr="00150C26">
        <w:rPr>
          <w:b/>
          <w:color w:val="auto"/>
          <w:sz w:val="23"/>
          <w:szCs w:val="23"/>
        </w:rPr>
        <w:t>Účtovná jednotka nemá náplň pre tieto informácie</w:t>
      </w:r>
    </w:p>
    <w:p w:rsidR="00150C26" w:rsidRDefault="00150C26" w:rsidP="00150C26">
      <w:pPr>
        <w:pStyle w:val="Default"/>
        <w:ind w:left="644"/>
        <w:rPr>
          <w:color w:val="auto"/>
          <w:sz w:val="23"/>
          <w:szCs w:val="23"/>
        </w:rPr>
      </w:pPr>
    </w:p>
    <w:p w:rsidR="00150C26" w:rsidRPr="00BC3DD5" w:rsidRDefault="00150C26" w:rsidP="00150C26">
      <w:pPr>
        <w:rPr>
          <w:sz w:val="20"/>
          <w:szCs w:val="20"/>
        </w:rPr>
      </w:pPr>
    </w:p>
    <w:p w:rsidR="00720CB3" w:rsidRDefault="008011AD"/>
    <w:sectPr w:rsidR="00720CB3" w:rsidSect="004048DA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11AD" w:rsidRDefault="008011AD" w:rsidP="006B3CA5">
      <w:r>
        <w:separator/>
      </w:r>
    </w:p>
  </w:endnote>
  <w:endnote w:type="continuationSeparator" w:id="1">
    <w:p w:rsidR="008011AD" w:rsidRDefault="008011AD" w:rsidP="006B3C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FBF" w:rsidRDefault="006B3CA5">
    <w:pPr>
      <w:pStyle w:val="Pta"/>
      <w:jc w:val="right"/>
    </w:pPr>
    <w:r>
      <w:fldChar w:fldCharType="begin"/>
    </w:r>
    <w:r w:rsidR="00150C26">
      <w:instrText xml:space="preserve"> PAGE   \* MERGEFORMAT </w:instrText>
    </w:r>
    <w:r>
      <w:fldChar w:fldCharType="separate"/>
    </w:r>
    <w:r w:rsidR="001B4997">
      <w:rPr>
        <w:noProof/>
      </w:rPr>
      <w:t>4</w:t>
    </w:r>
    <w:r>
      <w:fldChar w:fldCharType="end"/>
    </w:r>
  </w:p>
  <w:p w:rsidR="00074FBF" w:rsidRDefault="008011AD" w:rsidP="00C20547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11AD" w:rsidRDefault="008011AD" w:rsidP="006B3CA5">
      <w:r>
        <w:separator/>
      </w:r>
    </w:p>
  </w:footnote>
  <w:footnote w:type="continuationSeparator" w:id="1">
    <w:p w:rsidR="008011AD" w:rsidRDefault="008011AD" w:rsidP="006B3C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74FBF" w:rsidRPr="00C20547" w:rsidTr="00C2054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74FBF" w:rsidRPr="00C20547" w:rsidRDefault="00150C26" w:rsidP="00DC1DC9">
          <w:pPr>
            <w:rPr>
              <w:rFonts w:eastAsiaTheme="minorEastAsia"/>
            </w:rPr>
          </w:pPr>
          <w:r w:rsidRPr="00C20547">
            <w:rPr>
              <w:rFonts w:eastAsiaTheme="minorEastAsia"/>
            </w:rPr>
            <w:t xml:space="preserve">Poznámky </w:t>
          </w:r>
          <w:r>
            <w:rPr>
              <w:rFonts w:eastAsiaTheme="minorEastAsia"/>
            </w:rPr>
            <w:t>Úč MÚJ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74FBF" w:rsidRPr="00C20547" w:rsidRDefault="00150C26" w:rsidP="00112418">
          <w:pPr>
            <w:rPr>
              <w:rFonts w:eastAsiaTheme="minorEastAsia"/>
            </w:rPr>
          </w:pPr>
          <w:r>
            <w:rPr>
              <w:rFonts w:eastAsiaTheme="minorEastAsia"/>
            </w:rPr>
            <w:t xml:space="preserve">   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74FBF" w:rsidRPr="00C20547" w:rsidRDefault="00150C26" w:rsidP="00C20547">
          <w:pPr>
            <w:rPr>
              <w:rFonts w:eastAsiaTheme="minorEastAsia"/>
            </w:rPr>
          </w:pPr>
          <w:r w:rsidRPr="00C20547">
            <w:rPr>
              <w:rFonts w:eastAsiaTheme="minorEastAsia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150C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150C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150C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150C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150C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150C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150C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150C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150C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150C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1</w:t>
          </w:r>
        </w:p>
      </w:tc>
    </w:tr>
    <w:tr w:rsidR="00112418" w:rsidRPr="00C20547" w:rsidTr="00C2054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12418" w:rsidRPr="00C20547" w:rsidRDefault="008011AD" w:rsidP="00DC1DC9">
          <w:pPr>
            <w:rPr>
              <w:rFonts w:eastAsiaTheme="minorEastAsia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12418" w:rsidRDefault="008011AD" w:rsidP="00112418">
          <w:pPr>
            <w:rPr>
              <w:rFonts w:eastAsiaTheme="minorEastAsia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12418" w:rsidRPr="00C20547" w:rsidRDefault="00150C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2418" w:rsidRPr="00C20547" w:rsidRDefault="008011AD" w:rsidP="00C20547">
          <w:pPr>
            <w:rPr>
              <w:rFonts w:eastAsiaTheme="minorEastAsia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2418" w:rsidRPr="00C20547" w:rsidRDefault="008011AD" w:rsidP="00C20547">
          <w:pPr>
            <w:rPr>
              <w:rFonts w:eastAsiaTheme="minorEastAsia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2418" w:rsidRPr="00C20547" w:rsidRDefault="00150C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2418" w:rsidRPr="00C20547" w:rsidRDefault="00150C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2418" w:rsidRPr="00C20547" w:rsidRDefault="00150C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2418" w:rsidRPr="00C20547" w:rsidRDefault="00150C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2418" w:rsidRPr="00C20547" w:rsidRDefault="00150C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2418" w:rsidRPr="00C20547" w:rsidRDefault="00150C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2418" w:rsidRPr="00C20547" w:rsidRDefault="00150C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2418" w:rsidRPr="00C20547" w:rsidRDefault="00150C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7</w:t>
          </w:r>
        </w:p>
      </w:tc>
    </w:tr>
  </w:tbl>
  <w:p w:rsidR="00074FBF" w:rsidRDefault="008011AD" w:rsidP="00C20547">
    <w:pPr>
      <w:pStyle w:val="Hlavika"/>
    </w:pPr>
  </w:p>
  <w:p w:rsidR="00DC1DC9" w:rsidRDefault="008011AD" w:rsidP="00C2054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6240356"/>
    <w:multiLevelType w:val="hybridMultilevel"/>
    <w:tmpl w:val="7848E880"/>
    <w:lvl w:ilvl="0" w:tplc="F2703DBA">
      <w:start w:val="3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50C26"/>
    <w:rsid w:val="00150C26"/>
    <w:rsid w:val="001B4997"/>
    <w:rsid w:val="002E7170"/>
    <w:rsid w:val="004773E5"/>
    <w:rsid w:val="00635687"/>
    <w:rsid w:val="00636775"/>
    <w:rsid w:val="00665E50"/>
    <w:rsid w:val="006B3CA5"/>
    <w:rsid w:val="008011AD"/>
    <w:rsid w:val="00B5103A"/>
    <w:rsid w:val="00BD6AAE"/>
    <w:rsid w:val="00F33B83"/>
    <w:rsid w:val="00FF00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00" w:afterAutospacing="1"/>
        <w:ind w:left="576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C26"/>
    <w:pPr>
      <w:autoSpaceDE w:val="0"/>
      <w:autoSpaceDN w:val="0"/>
      <w:spacing w:after="0" w:afterAutospacing="0"/>
      <w:ind w:left="0"/>
    </w:pPr>
    <w:rPr>
      <w:rFonts w:ascii="Times New Roman" w:eastAsia="Times New Roman" w:hAnsi="Times New Roman" w:cs="Times New Roman"/>
      <w:sz w:val="24"/>
      <w:szCs w:val="1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150C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50C26"/>
    <w:rPr>
      <w:rFonts w:ascii="Times New Roman" w:eastAsia="Times New Roman" w:hAnsi="Times New Roman" w:cs="Times New Roman"/>
      <w:sz w:val="24"/>
      <w:szCs w:val="16"/>
      <w:lang w:eastAsia="sk-SK"/>
    </w:rPr>
  </w:style>
  <w:style w:type="paragraph" w:styleId="Pta">
    <w:name w:val="footer"/>
    <w:basedOn w:val="Normlny"/>
    <w:link w:val="PtaChar"/>
    <w:uiPriority w:val="99"/>
    <w:rsid w:val="00150C2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50C26"/>
    <w:rPr>
      <w:rFonts w:ascii="Times New Roman" w:eastAsia="Times New Roman" w:hAnsi="Times New Roman" w:cs="Times New Roman"/>
      <w:sz w:val="24"/>
      <w:szCs w:val="16"/>
      <w:lang w:eastAsia="sk-SK"/>
    </w:rPr>
  </w:style>
  <w:style w:type="paragraph" w:customStyle="1" w:styleId="Default">
    <w:name w:val="Default"/>
    <w:rsid w:val="00150C26"/>
    <w:pPr>
      <w:autoSpaceDE w:val="0"/>
      <w:autoSpaceDN w:val="0"/>
      <w:adjustRightInd w:val="0"/>
      <w:spacing w:after="0" w:afterAutospacing="0"/>
      <w:ind w:left="0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1294</Words>
  <Characters>7378</Characters>
  <Application>Microsoft Office Word</Application>
  <DocSecurity>0</DocSecurity>
  <Lines>61</Lines>
  <Paragraphs>17</Paragraphs>
  <ScaleCrop>false</ScaleCrop>
  <Company/>
  <LinksUpToDate>false</LinksUpToDate>
  <CharactersWithSpaces>8655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Adino</dc:creator>
  <cp:lastModifiedBy>Adino</cp:lastModifiedBy>
  <cp:revision>3</cp:revision>
  <cp:lastPrinted>2017-03-30T10:30:00Z</cp:lastPrinted>
  <dcterms:created xsi:type="dcterms:W3CDTF">2017-03-30T09:07:00Z</dcterms:created>
  <dcterms:modified xsi:type="dcterms:W3CDTF">2017-03-30T10:31:00Z</dcterms:modified>
</cp:coreProperties>
</file>