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7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60"/>
        <w:gridCol w:w="2664"/>
        <w:gridCol w:w="340"/>
        <w:gridCol w:w="339"/>
        <w:gridCol w:w="339"/>
        <w:gridCol w:w="339"/>
        <w:gridCol w:w="340"/>
        <w:gridCol w:w="339"/>
        <w:gridCol w:w="339"/>
        <w:gridCol w:w="340"/>
        <w:gridCol w:w="566"/>
        <w:gridCol w:w="339"/>
        <w:gridCol w:w="340"/>
        <w:gridCol w:w="339"/>
        <w:gridCol w:w="352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left"/>
              <w:outlineLvl w:val="2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116" w:after="236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(1) </w:t>
      </w:r>
      <w:proofErr w:type="spellStart"/>
      <w:r>
        <w:rPr>
          <w:sz w:val="22"/>
          <w:szCs w:val="22"/>
        </w:rPr>
        <w:t>ViaVitae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Plavisko</w:t>
      </w:r>
      <w:proofErr w:type="spellEnd"/>
      <w:r>
        <w:rPr>
          <w:sz w:val="22"/>
          <w:szCs w:val="22"/>
        </w:rPr>
        <w:t xml:space="preserve"> 7, 034 01 Ružomberok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dátum založenia: 22.04.2013, dátum vzniku: 03.05.2013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(2) Zakladateľ: JUDr. Anton </w:t>
      </w:r>
      <w:proofErr w:type="spellStart"/>
      <w:r>
        <w:rPr>
          <w:sz w:val="22"/>
          <w:szCs w:val="22"/>
        </w:rPr>
        <w:t>Tabačák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PhD</w:t>
      </w:r>
      <w:proofErr w:type="spellEnd"/>
      <w:r>
        <w:rPr>
          <w:sz w:val="22"/>
          <w:szCs w:val="22"/>
        </w:rPr>
        <w:t xml:space="preserve">, štatutárny orgán – JUDr. Anton </w:t>
      </w:r>
      <w:proofErr w:type="spellStart"/>
      <w:r>
        <w:rPr>
          <w:sz w:val="22"/>
          <w:szCs w:val="22"/>
        </w:rPr>
        <w:t>Tabačák</w:t>
      </w:r>
      <w:proofErr w:type="spellEnd"/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Opis činnosti, na účel ktorej bola účtovná jednotka zriadená: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Nezisková organizácia poskytuje všeobecne prospešné služby v oblasti poskytovania sociálnej pomoci a humanitárnej starostlivosti. V tejto oblasti prevádzkuje zariadenie pre seniorov so zameraním na poskytovanie týchto služieb: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poskytovanie celodennej starostlivosti starým, chorým či osamelým ľuďom, ktorí pre svoj nepriaznivý zdravotný stav potrebujú pomoc inej osoby,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vytvárať klientom rodinné prostredie s dôrazom na súkromie a bezpečnosť,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opatrovateľskú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prepravnú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pomoc pri návštevách lekárov, právnikov, kňazov, na úradoch a pod.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liečebno-telesnú výchovu s prihliadnutím na individuálne potreby a možnosti klienta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kultúrnu činnosť pre klientov pri rôznych príležitostiach,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prevádzkovať kuchyňu na zabezpečenie stravy s prihliadnutím na individuálne potreby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- realizovať pranie a žehlenie osobnej i posteľnej bielizne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pravidelné upratovanie a čistenie miestností a príslušenstva, ako i spoločných priestorov zariadenia,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úschova osobných cenných vecí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cirkevných, spoločenských a kultúrnych podujatí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Opis druhu podnikateľskej činnosti, ak ju účtovná jednotka vykonáva – </w:t>
      </w:r>
      <w:proofErr w:type="spellStart"/>
      <w:r>
        <w:rPr>
          <w:sz w:val="22"/>
          <w:szCs w:val="22"/>
        </w:rPr>
        <w:t>ViaVitae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 nevykonáva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60"/>
        <w:gridCol w:w="2409"/>
        <w:gridCol w:w="2554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Textopatrenia"/>
              <w:spacing w:before="0" w:after="0"/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11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37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 vyslaných účtovnou jednotkou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9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4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1) Účtovná závierka je zostavená za splnenia predpokladu, že účtovná jednotka bude nepretržite pokračovať vo svojej činnosti.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Zmeny účtovných zásad a zmeny účtovných metód s uvedením dôvodu týchto zmien a vyčíslením ich vplyvu na finančnú hodnotu majetku, záväzkov, základného imania a výsledku hospodárenia účtovnej jednotky.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(3) Spôsob oceňovania jednotlivých položiek majetku a záväzkov v členení na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dlhodobý nehmotný majetok obstaraný kúpou –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 -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dlhodobý nehmotný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d) dlhodobý hmotný majetok obstaraný kúpou – obstarávacou cenou.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g) dlhodobý finančný majetok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h) zásoby obstarané kúpou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i) zásoby vytvorené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j) zásoby obstarané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k) pohľadávky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l) krátkodobý finančný majetok – menovitou hodnotou.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m) časové rozlíšenie na strane aktív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 úverov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o) časové rozlíšenie na strane pasív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p) deriváty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r) majetok a záväzky zabezpečené derivátmi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Spôsob zostavenia odpisového plánu pre jednotlivé druhy dlhodobého hmotného majetku a dlhodobého nehmotného majetku, pričom sa uvádza doba odpisovania, použité sadzby odpisov a odpisové metódy pri určení odpisov – v zmysle zákona č. 431/2002 Z. z. o účtovníctve,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(5) Zásady pre zohľadnenie zníženia hodnoty majetku: ÚJ neuplatňuje opravné položky a rezervy.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(1) Údaje o dlhodobom nehmotnom majetku a dlhodobom hmotnom majetku za bežné účtovné obdobie, a to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Prehľad dlhodobého majetku, na ktorý je zriadené záložné právo a dlhodobého majetku, pri ktorom má účtovná jednotka obmedzené právo s ním nakladať.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</w:t>
      </w:r>
    </w:p>
    <w:tbl>
      <w:tblPr>
        <w:tblW w:w="15474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34"/>
        <w:gridCol w:w="1934"/>
        <w:gridCol w:w="2250"/>
        <w:gridCol w:w="1871"/>
        <w:gridCol w:w="1871"/>
        <w:gridCol w:w="1870"/>
        <w:gridCol w:w="1808"/>
        <w:gridCol w:w="1936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Opravné </w:t>
            </w:r>
            <w:r>
              <w:rPr>
                <w:b/>
                <w:sz w:val="22"/>
                <w:szCs w:val="22"/>
              </w:rPr>
              <w:lastRenderedPageBreak/>
              <w:t>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43"/>
        <w:gridCol w:w="1225"/>
        <w:gridCol w:w="753"/>
        <w:gridCol w:w="1684"/>
        <w:gridCol w:w="1246"/>
        <w:gridCol w:w="991"/>
        <w:gridCol w:w="1307"/>
        <w:gridCol w:w="1607"/>
        <w:gridCol w:w="1227"/>
        <w:gridCol w:w="1087"/>
        <w:gridCol w:w="1402"/>
        <w:gridCol w:w="1213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8616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 xml:space="preserve">stav na začiatku bežného účtovného </w:t>
            </w:r>
            <w:r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26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3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 w:rsidP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 w:rsidP="001B45F9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5254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93"/>
        <w:gridCol w:w="496"/>
        <w:gridCol w:w="1695"/>
        <w:gridCol w:w="3618"/>
        <w:gridCol w:w="1531"/>
        <w:gridCol w:w="1630"/>
        <w:gridCol w:w="2391"/>
        <w:gridCol w:w="1000"/>
      </w:tblGrid>
      <w:tr w:rsidR="004C76A6" w:rsidTr="004C76A6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o štruktúre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5240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80"/>
        <w:gridCol w:w="3145"/>
        <w:gridCol w:w="2253"/>
        <w:gridCol w:w="1964"/>
        <w:gridCol w:w="2941"/>
        <w:gridCol w:w="2821"/>
        <w:gridCol w:w="236"/>
      </w:tblGrid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18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31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2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9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2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  <w:tc>
          <w:tcPr>
            <w:tcW w:w="76" w:type="dxa"/>
          </w:tcPr>
          <w:p w:rsidR="004C76A6" w:rsidRDefault="004C76A6">
            <w:pPr>
              <w:pStyle w:val="Standard"/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1073"/>
        </w:trPr>
        <w:tc>
          <w:tcPr>
            <w:tcW w:w="18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317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22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54"/>
        <w:gridCol w:w="3393"/>
        <w:gridCol w:w="1984"/>
        <w:gridCol w:w="2268"/>
        <w:gridCol w:w="3546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</w:pPr>
            <w:r>
              <w:rPr>
                <w:sz w:val="22"/>
                <w:szCs w:val="22"/>
              </w:rPr>
              <w:t>Dlhové cenné papiere so splatnosťou do jedného roka držané do splatnosti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Cs w:val="20"/>
        </w:rPr>
      </w:pPr>
      <w:r>
        <w:rPr>
          <w:b/>
          <w:szCs w:val="20"/>
        </w:rPr>
        <w:t>Tabuľka č. 2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Cs w:val="20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61"/>
        <w:gridCol w:w="3169"/>
        <w:gridCol w:w="4251"/>
        <w:gridCol w:w="3264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</w:t>
            </w:r>
            <w:r>
              <w:rPr>
                <w:sz w:val="22"/>
                <w:szCs w:val="22"/>
              </w:rPr>
              <w:lastRenderedPageBreak/>
              <w:t>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7 o vývoji opravných položiek k zásobám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začiatku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lastRenderedPageBreak/>
              <w:t xml:space="preserve">Tvorba opravnej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Zníženie opravnej </w:t>
            </w:r>
            <w:r>
              <w:rPr>
                <w:b/>
                <w:sz w:val="22"/>
                <w:szCs w:val="22"/>
              </w:rPr>
              <w:lastRenderedPageBreak/>
              <w:t>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Zúčtovanie  opravnej </w:t>
            </w:r>
            <w:r>
              <w:rPr>
                <w:b/>
                <w:sz w:val="22"/>
                <w:szCs w:val="22"/>
              </w:rPr>
              <w:lastRenderedPageBreak/>
              <w:t>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2330,12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920,00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2330,12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920,00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10  o pohľadávkach do lehoty splatnosti a po lehote splatnosti</w:t>
      </w:r>
    </w:p>
    <w:tbl>
      <w:tblPr>
        <w:tblW w:w="1432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83"/>
        <w:gridCol w:w="5739"/>
        <w:gridCol w:w="2103"/>
      </w:tblGrid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648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78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648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/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2330,12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2330,12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920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21"/>
        <w:gridCol w:w="2127"/>
        <w:gridCol w:w="2832"/>
        <w:gridCol w:w="1916"/>
        <w:gridCol w:w="2375"/>
        <w:gridCol w:w="2375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36512,44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 w:rsidP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-34836,48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36512,44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 w:rsidP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-34836,48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86"/>
        <w:gridCol w:w="4964"/>
      </w:tblGrid>
      <w:tr w:rsidR="004C76A6" w:rsidTr="004C76A6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 xml:space="preserve">Prevod 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36512,44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 xml:space="preserve">Prevod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904"/>
        <w:gridCol w:w="2692"/>
        <w:gridCol w:w="1985"/>
        <w:gridCol w:w="1842"/>
        <w:gridCol w:w="2447"/>
        <w:gridCol w:w="2375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1897,46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1518,48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 w:rsidP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1897,46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1518,48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krátkodobých ostatných </w:t>
            </w:r>
            <w:r>
              <w:rPr>
                <w:sz w:val="22"/>
                <w:szCs w:val="22"/>
              </w:rPr>
              <w:lastRenderedPageBreak/>
              <w:t>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Jednotlivé druhy dlhodobých ostatných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1897,46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1518,48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052"/>
        <w:gridCol w:w="4058"/>
        <w:gridCol w:w="442"/>
      </w:tblGrid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0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442" w:type="dxa"/>
          </w:tcPr>
          <w:p w:rsidR="004C76A6" w:rsidRDefault="004C76A6">
            <w:pPr>
              <w:pStyle w:val="Standard"/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70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4749,65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47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4749,65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od  jedného  do piatich  rokov  vrátane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78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22"/>
        <w:gridCol w:w="3685"/>
        <w:gridCol w:w="3545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610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535,76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542,37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557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535,76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542,37</w:t>
            </w:r>
          </w:p>
        </w:tc>
      </w:tr>
    </w:tbl>
    <w:p w:rsidR="004C76A6" w:rsidRDefault="004C76A6">
      <w:pPr>
        <w:pStyle w:val="Standard"/>
        <w:spacing w:before="0" w:after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4"/>
        <w:gridCol w:w="869"/>
        <w:gridCol w:w="1842"/>
        <w:gridCol w:w="1558"/>
        <w:gridCol w:w="2125"/>
        <w:gridCol w:w="3781"/>
        <w:gridCol w:w="2036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7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77"/>
        <w:gridCol w:w="3854"/>
        <w:gridCol w:w="1901"/>
        <w:gridCol w:w="2492"/>
        <w:gridCol w:w="3263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 obstaraného z finančného daru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8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45"/>
        <w:gridCol w:w="2710"/>
        <w:gridCol w:w="2677"/>
        <w:gridCol w:w="3078"/>
        <w:gridCol w:w="2878"/>
      </w:tblGrid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blPrEx>
          <w:tblCellMar>
            <w:top w:w="0" w:type="dxa"/>
            <w:bottom w:w="0" w:type="dxa"/>
          </w:tblCellMar>
        </w:tblPrEx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údaje vo výkaze ziskov a strát</w:t>
      </w:r>
    </w:p>
    <w:p w:rsidR="004C76A6" w:rsidRDefault="00D861CA">
      <w:pPr>
        <w:pStyle w:val="Standard"/>
      </w:pPr>
      <w:r>
        <w:rPr>
          <w:sz w:val="22"/>
          <w:szCs w:val="22"/>
        </w:rPr>
        <w:lastRenderedPageBreak/>
        <w:t xml:space="preserve">(1) Prehľad tržieb za vlastné výkony a tovar s uvedením ich opisu a vyčíslením hodnoty tržieb podľa jednotlivých hlavných druhov výrobkov, služieb hlavnej činnosti a podnikateľskej činnosti účtovnej jednotky. Príjmy z hlavnej činnosti: </w:t>
      </w:r>
      <w:r w:rsidR="001B45F9">
        <w:rPr>
          <w:b/>
          <w:bCs/>
          <w:sz w:val="22"/>
          <w:szCs w:val="22"/>
        </w:rPr>
        <w:t>86.674,47</w:t>
      </w:r>
      <w:r>
        <w:rPr>
          <w:b/>
          <w:bCs/>
          <w:sz w:val="22"/>
          <w:szCs w:val="22"/>
        </w:rPr>
        <w:t xml:space="preserve"> €</w:t>
      </w:r>
      <w:r>
        <w:rPr>
          <w:sz w:val="22"/>
          <w:szCs w:val="22"/>
        </w:rPr>
        <w:t>. ÚJ</w:t>
      </w:r>
      <w:r w:rsidR="001B45F9">
        <w:rPr>
          <w:sz w:val="22"/>
          <w:szCs w:val="22"/>
        </w:rPr>
        <w:t xml:space="preserve"> </w:t>
      </w:r>
      <w:r>
        <w:rPr>
          <w:sz w:val="22"/>
          <w:szCs w:val="22"/>
        </w:rPr>
        <w:t>neprevádzkuje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Opis a vyčíslenie hodnoty významných položiek prijatých darov, osobitných výnosov, zákonných poplatkov a iných ostatných výnosov.</w:t>
      </w:r>
    </w:p>
    <w:p w:rsidR="004C76A6" w:rsidRDefault="00D861CA">
      <w:pPr>
        <w:pStyle w:val="Standard"/>
      </w:pPr>
      <w:r>
        <w:rPr>
          <w:sz w:val="22"/>
          <w:szCs w:val="22"/>
        </w:rPr>
        <w:t>(3) Prehľad dotácií a grantov, ktoré účtovná jednotka prijala v priebehu bežného účtovného obdobia.</w:t>
      </w:r>
      <w:r>
        <w:rPr>
          <w:b/>
          <w:bCs/>
          <w:sz w:val="22"/>
          <w:szCs w:val="22"/>
        </w:rPr>
        <w:t xml:space="preserve"> Spolu vo výške </w:t>
      </w:r>
      <w:r w:rsidR="001B45F9">
        <w:rPr>
          <w:b/>
          <w:bCs/>
          <w:sz w:val="22"/>
          <w:szCs w:val="22"/>
        </w:rPr>
        <w:t>73.826,62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Opis a suma významných položiek finančných výnosov; uvádza sa aj celková suma kurzových ziskov, pričom osobitne sa uvádza hodnota kurzových ziskov účtovaná ku dňu, ku ktorému sa zostavuje účtovná závierka.</w:t>
      </w:r>
    </w:p>
    <w:p w:rsidR="004C76A6" w:rsidRDefault="00D861CA">
      <w:pPr>
        <w:pStyle w:val="Standard"/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Opis a vyčíslenie hodnoty významných položiek nákladov, nákladov na ostatné služby, osobitných nákladov a iných ostatných nákladov.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Mzdové náklady: </w:t>
      </w:r>
      <w:r w:rsidR="001B45F9">
        <w:rPr>
          <w:b/>
          <w:bCs/>
          <w:sz w:val="22"/>
          <w:szCs w:val="22"/>
        </w:rPr>
        <w:t>32.215,00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Zákonné SP a ZP: </w:t>
      </w:r>
      <w:r w:rsidR="001B45F9">
        <w:rPr>
          <w:b/>
          <w:bCs/>
          <w:sz w:val="22"/>
          <w:szCs w:val="22"/>
        </w:rPr>
        <w:t>16.342,69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Zákonné sociálne náklady: </w:t>
      </w:r>
      <w:r w:rsidR="001B45F9">
        <w:rPr>
          <w:b/>
          <w:bCs/>
          <w:sz w:val="22"/>
          <w:szCs w:val="22"/>
        </w:rPr>
        <w:t>3.242,21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Nájomné: </w:t>
      </w:r>
      <w:r w:rsidR="00F37203">
        <w:rPr>
          <w:b/>
          <w:bCs/>
          <w:sz w:val="22"/>
          <w:szCs w:val="22"/>
        </w:rPr>
        <w:t>21.000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Stravovacie slu</w:t>
      </w:r>
      <w:r w:rsidR="00F37203">
        <w:rPr>
          <w:b/>
          <w:bCs/>
          <w:sz w:val="22"/>
          <w:szCs w:val="22"/>
        </w:rPr>
        <w:t>žby: 41.772,68</w:t>
      </w:r>
      <w:r>
        <w:rPr>
          <w:b/>
          <w:bCs/>
          <w:sz w:val="22"/>
          <w:szCs w:val="22"/>
        </w:rPr>
        <w:t>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Právne služby: </w:t>
      </w:r>
      <w:r w:rsidR="00F37203">
        <w:rPr>
          <w:b/>
          <w:bCs/>
          <w:sz w:val="22"/>
          <w:szCs w:val="22"/>
        </w:rPr>
        <w:t>8.280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Účtovné služby: </w:t>
      </w:r>
      <w:r w:rsidR="00F37203">
        <w:rPr>
          <w:b/>
          <w:bCs/>
          <w:sz w:val="22"/>
          <w:szCs w:val="22"/>
        </w:rPr>
        <w:t>2530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 výške použitia podielu zaplatenej dane za bežné účtovné obdobie. (6) Prehľad o účele a výške použitia podielu zaplatenej dane za bežné účtovné obdobie. -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 -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4C76A6" w:rsidRDefault="00D861CA">
      <w:pPr>
        <w:pStyle w:val="Standard"/>
        <w:spacing w:line="240" w:lineRule="auto"/>
      </w:pPr>
      <w:r>
        <w:rPr>
          <w:sz w:val="22"/>
          <w:szCs w:val="22"/>
        </w:rPr>
        <w:t xml:space="preserve">a) overenie účtovnej závierky </w:t>
      </w:r>
      <w:r>
        <w:rPr>
          <w:b/>
          <w:bCs/>
          <w:sz w:val="22"/>
          <w:szCs w:val="22"/>
        </w:rPr>
        <w:t>936,00 €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e) ostatné neaudítorské služby.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 - ÚJ nemá náplň pre túto položku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4C76A6" w:rsidRDefault="00D861CA">
      <w:pPr>
        <w:pStyle w:val="Standard"/>
      </w:pPr>
      <w:r>
        <w:rPr>
          <w:sz w:val="20"/>
          <w:szCs w:val="20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</w:pPr>
      <w:r>
        <w:rPr>
          <w:sz w:val="20"/>
          <w:szCs w:val="20"/>
        </w:rPr>
        <w:t xml:space="preserve">(2) Opis a hodnota iných pasív vyplývajúcich zo súdnych rozhodnutí, z poskytnutých záruk, zo všeobecne záväzných právnych predpisov, z ručenia podľa jednotlivých druhov ručenia; takýmito inými pasívami sú: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Opis významných položiek ostatných finančných povinností, ktoré sa nesledujú v účtovníctve a neuvádzajú sa v súvahe; pri každej položke sa uvádza jej opis, výška a údaj, či sa týka spriaznených osôb, a to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povinnosť z devízových termínovaných obchodov a iných finančných derivátov,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povinnosť z opčných obchodov,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c) zákonná povinnosť alebo zmluvná povinnosť odobrať určité produkty alebo služby, napríklad z dodávateľských alebo odberateľských zmlúv,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d) povinnosť z leasingových, nájomných, servisných, poistných, koncesionárskych, licenčných zmlúv a podobných zmlúv,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e) iné povinnosti.</w:t>
      </w:r>
    </w:p>
    <w:p w:rsidR="004C76A6" w:rsidRDefault="00D861CA">
      <w:pPr>
        <w:pStyle w:val="Standard"/>
      </w:pPr>
      <w:r>
        <w:rPr>
          <w:sz w:val="20"/>
          <w:szCs w:val="20"/>
        </w:rPr>
        <w:lastRenderedPageBreak/>
        <w:t xml:space="preserve">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 správe alebo vo vlastníctve účtovnej jednotky 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 významných skutočnostiach, ktoré nastali medzi dňom, ku ktorému sa zostavuje účtovná závierka a dňom jej zostavenia 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4C76A6">
      <w:pPr>
        <w:pStyle w:val="Standard"/>
        <w:spacing w:before="0" w:line="240" w:lineRule="auto"/>
      </w:pPr>
    </w:p>
    <w:sectPr w:rsidR="004C76A6" w:rsidSect="004C76A6">
      <w:pgSz w:w="16838" w:h="11906" w:orient="landscape"/>
      <w:pgMar w:top="851" w:right="851" w:bottom="851" w:left="851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5F9" w:rsidRDefault="001B45F9" w:rsidP="004C76A6">
      <w:r>
        <w:separator/>
      </w:r>
    </w:p>
  </w:endnote>
  <w:endnote w:type="continuationSeparator" w:id="0">
    <w:p w:rsidR="001B45F9" w:rsidRDefault="001B45F9" w:rsidP="004C76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5F9" w:rsidRDefault="001B45F9" w:rsidP="004C76A6">
      <w:r w:rsidRPr="004C76A6">
        <w:rPr>
          <w:color w:val="000000"/>
        </w:rPr>
        <w:separator/>
      </w:r>
    </w:p>
  </w:footnote>
  <w:footnote w:type="continuationSeparator" w:id="0">
    <w:p w:rsidR="001B45F9" w:rsidRDefault="001B45F9" w:rsidP="004C76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23C0D"/>
    <w:multiLevelType w:val="multilevel"/>
    <w:tmpl w:val="EE4EC8E2"/>
    <w:styleLink w:val="WWNum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C8B69BB"/>
    <w:multiLevelType w:val="multilevel"/>
    <w:tmpl w:val="0D667FEA"/>
    <w:styleLink w:val="WWOutlineListStyle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>
    <w:nsid w:val="0C9C787E"/>
    <w:multiLevelType w:val="multilevel"/>
    <w:tmpl w:val="97FAF1E0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">
    <w:nsid w:val="1489119C"/>
    <w:multiLevelType w:val="multilevel"/>
    <w:tmpl w:val="831AF14C"/>
    <w:styleLink w:val="WWNum3"/>
    <w:lvl w:ilvl="0">
      <w:start w:val="1"/>
      <w:numFmt w:val="decimal"/>
      <w:lvlText w:val="K bodu %1"/>
      <w:lvlJc w:val="left"/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>
    <w:nsid w:val="1BCA5C16"/>
    <w:multiLevelType w:val="multilevel"/>
    <w:tmpl w:val="E96C99D6"/>
    <w:styleLink w:val="WWNum8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5">
    <w:nsid w:val="303F21C3"/>
    <w:multiLevelType w:val="multilevel"/>
    <w:tmpl w:val="CA967CA0"/>
    <w:lvl w:ilvl="0">
      <w:start w:val="5"/>
      <w:numFmt w:val="decimal"/>
      <w:lvlText w:val="(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3F7105FB"/>
    <w:multiLevelType w:val="multilevel"/>
    <w:tmpl w:val="46C44260"/>
    <w:styleLink w:val="WWNum6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7">
    <w:nsid w:val="418E1999"/>
    <w:multiLevelType w:val="multilevel"/>
    <w:tmpl w:val="7948256C"/>
    <w:styleLink w:val="WWNum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57702458"/>
    <w:multiLevelType w:val="multilevel"/>
    <w:tmpl w:val="D4F672C6"/>
    <w:styleLink w:val="WWNum4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9">
    <w:nsid w:val="5A512C06"/>
    <w:multiLevelType w:val="multilevel"/>
    <w:tmpl w:val="571679A8"/>
    <w:styleLink w:val="WWNum5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0">
    <w:nsid w:val="5DAE27E7"/>
    <w:multiLevelType w:val="multilevel"/>
    <w:tmpl w:val="EA5094BC"/>
    <w:styleLink w:val="WWNum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62C448D8"/>
    <w:multiLevelType w:val="multilevel"/>
    <w:tmpl w:val="A26EF6D8"/>
    <w:styleLink w:val="WWNum11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2">
    <w:nsid w:val="79AD35D8"/>
    <w:multiLevelType w:val="multilevel"/>
    <w:tmpl w:val="B238B1EC"/>
    <w:styleLink w:val="WWNum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"/>
  </w:num>
  <w:num w:numId="2">
    <w:abstractNumId w:val="10"/>
  </w:num>
  <w:num w:numId="3">
    <w:abstractNumId w:val="7"/>
  </w:num>
  <w:num w:numId="4">
    <w:abstractNumId w:val="3"/>
  </w:num>
  <w:num w:numId="5">
    <w:abstractNumId w:val="8"/>
  </w:num>
  <w:num w:numId="6">
    <w:abstractNumId w:val="9"/>
  </w:num>
  <w:num w:numId="7">
    <w:abstractNumId w:val="6"/>
  </w:num>
  <w:num w:numId="8">
    <w:abstractNumId w:val="12"/>
  </w:num>
  <w:num w:numId="9">
    <w:abstractNumId w:val="4"/>
  </w:num>
  <w:num w:numId="10">
    <w:abstractNumId w:val="0"/>
  </w:num>
  <w:num w:numId="11">
    <w:abstractNumId w:val="2"/>
  </w:num>
  <w:num w:numId="12">
    <w:abstractNumId w:val="11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76A6"/>
    <w:rsid w:val="001B45F9"/>
    <w:rsid w:val="004C76A6"/>
    <w:rsid w:val="00D861CA"/>
    <w:rsid w:val="00F372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4C76A6"/>
    <w:pPr>
      <w:numPr>
        <w:numId w:val="1"/>
      </w:numPr>
    </w:pPr>
  </w:style>
  <w:style w:type="paragraph" w:customStyle="1" w:styleId="Standard">
    <w:name w:val="Standard"/>
    <w:rsid w:val="004C76A6"/>
    <w:pPr>
      <w:widowControl/>
      <w:spacing w:before="120" w:after="12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Heading">
    <w:name w:val="Heading"/>
    <w:basedOn w:val="Standard"/>
    <w:next w:val="Textbody"/>
    <w:rsid w:val="004C76A6"/>
    <w:pPr>
      <w:keepNext/>
      <w:spacing w:before="240"/>
    </w:pPr>
    <w:rPr>
      <w:rFonts w:eastAsia="Microsoft YaHei" w:cs="Mangal"/>
      <w:sz w:val="28"/>
      <w:szCs w:val="28"/>
    </w:rPr>
  </w:style>
  <w:style w:type="paragraph" w:customStyle="1" w:styleId="Textbody">
    <w:name w:val="Text body"/>
    <w:basedOn w:val="Standard"/>
    <w:rsid w:val="004C76A6"/>
    <w:pPr>
      <w:spacing w:before="0"/>
    </w:pPr>
  </w:style>
  <w:style w:type="paragraph" w:styleId="Zoznam">
    <w:name w:val="List"/>
    <w:basedOn w:val="Textbody"/>
    <w:rsid w:val="004C76A6"/>
    <w:rPr>
      <w:rFonts w:cs="Mangal"/>
    </w:rPr>
  </w:style>
  <w:style w:type="paragraph" w:customStyle="1" w:styleId="Caption">
    <w:name w:val="Caption"/>
    <w:basedOn w:val="Standard"/>
    <w:rsid w:val="004C76A6"/>
    <w:pPr>
      <w:suppressLineNumbers/>
    </w:pPr>
    <w:rPr>
      <w:rFonts w:cs="Mangal"/>
      <w:i/>
      <w:iCs/>
    </w:rPr>
  </w:style>
  <w:style w:type="paragraph" w:customStyle="1" w:styleId="Index">
    <w:name w:val="Index"/>
    <w:basedOn w:val="Standard"/>
    <w:rsid w:val="004C76A6"/>
    <w:pPr>
      <w:suppressLineNumbers/>
    </w:pPr>
    <w:rPr>
      <w:rFonts w:cs="Mangal"/>
    </w:rPr>
  </w:style>
  <w:style w:type="paragraph" w:customStyle="1" w:styleId="Heading1">
    <w:name w:val="Heading 1"/>
    <w:basedOn w:val="Standard"/>
    <w:next w:val="Textbody"/>
    <w:rsid w:val="004C76A6"/>
    <w:pPr>
      <w:keepNext/>
      <w:spacing w:line="240" w:lineRule="auto"/>
      <w:jc w:val="center"/>
    </w:pPr>
    <w:rPr>
      <w:b/>
      <w:bCs/>
      <w:lang w:eastAsia="sk-SK"/>
    </w:rPr>
  </w:style>
  <w:style w:type="paragraph" w:customStyle="1" w:styleId="Heading2">
    <w:name w:val="Heading 2"/>
    <w:basedOn w:val="Standard"/>
    <w:next w:val="Textbody"/>
    <w:rsid w:val="004C76A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customStyle="1" w:styleId="tl11ptTuniernaPodaokrajaVavo019cmRiadkova">
    <w:name w:val="Štýl 11 pt Tučné Čierna Podľa okraja Vľavo:  019 cm Riadkova..."/>
    <w:rsid w:val="004C76A6"/>
    <w:pPr>
      <w:widowControl/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Standard"/>
    <w:rsid w:val="004C76A6"/>
    <w:pPr>
      <w:ind w:left="108"/>
    </w:pPr>
  </w:style>
  <w:style w:type="paragraph" w:customStyle="1" w:styleId="Bododvodnenie">
    <w:name w:val="Bod odôvodnenie"/>
    <w:rsid w:val="004C76A6"/>
    <w:pPr>
      <w:widowControl/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rsid w:val="004C76A6"/>
    <w:pPr>
      <w:widowControl/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Standard"/>
    <w:rsid w:val="004C76A6"/>
    <w:pPr>
      <w:spacing w:line="240" w:lineRule="auto"/>
      <w:outlineLvl w:val="0"/>
    </w:pPr>
  </w:style>
  <w:style w:type="paragraph" w:customStyle="1" w:styleId="Footer">
    <w:name w:val="Footer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Normlny1">
    <w:name w:val="Normálny1"/>
    <w:rsid w:val="004C76A6"/>
    <w:pPr>
      <w:widowControl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4C76A6"/>
    <w:pPr>
      <w:widowControl/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Standard"/>
    <w:rsid w:val="004C76A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Standard"/>
    <w:rsid w:val="004C76A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Header">
    <w:name w:val="Header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rsid w:val="004C76A6"/>
    <w:pPr>
      <w:suppressLineNumbers/>
    </w:pPr>
  </w:style>
  <w:style w:type="character" w:customStyle="1" w:styleId="Nadpis1Char">
    <w:name w:val="Nadpis 1 Char"/>
    <w:basedOn w:val="Predvolenpsmoodseku"/>
    <w:rsid w:val="004C76A6"/>
    <w:rPr>
      <w:rFonts w:ascii="Cambria" w:hAnsi="Cambria" w:cs="Times New Roman"/>
      <w:b/>
      <w:bCs/>
      <w:kern w:val="3"/>
      <w:sz w:val="32"/>
      <w:szCs w:val="32"/>
      <w:lang w:eastAsia="cs-CZ"/>
    </w:rPr>
  </w:style>
  <w:style w:type="character" w:customStyle="1" w:styleId="Nadpis2Char">
    <w:name w:val="Nadpis 2 Char"/>
    <w:basedOn w:val="Predvolenpsmoodseku"/>
    <w:rsid w:val="004C76A6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C76A6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rsid w:val="004C76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4C76A6"/>
    <w:rPr>
      <w:rFonts w:cs="Times New Roman"/>
    </w:rPr>
  </w:style>
  <w:style w:type="character" w:customStyle="1" w:styleId="StrongEmphasis">
    <w:name w:val="Strong Emphasis"/>
    <w:basedOn w:val="Predvolenpsmoodseku"/>
    <w:rsid w:val="004C76A6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sid w:val="004C76A6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rsid w:val="004C76A6"/>
    <w:rPr>
      <w:rFonts w:ascii="Arial Narrow" w:hAnsi="Arial Narrow" w:cs="Arial"/>
      <w:sz w:val="24"/>
      <w:szCs w:val="24"/>
      <w:lang w:eastAsia="cs-CZ"/>
    </w:rPr>
  </w:style>
  <w:style w:type="character" w:customStyle="1" w:styleId="ListLabel1">
    <w:name w:val="ListLabel 1"/>
    <w:rsid w:val="004C76A6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rsid w:val="004C76A6"/>
    <w:rPr>
      <w:rFonts w:cs="Times New Roman"/>
      <w:b/>
      <w:bCs/>
      <w:i w:val="0"/>
      <w:iCs w:val="0"/>
    </w:rPr>
  </w:style>
  <w:style w:type="character" w:customStyle="1" w:styleId="ListLabel3">
    <w:name w:val="ListLabel 3"/>
    <w:rsid w:val="004C76A6"/>
    <w:rPr>
      <w:rFonts w:cs="Times New Roman"/>
    </w:rPr>
  </w:style>
  <w:style w:type="character" w:customStyle="1" w:styleId="ListLabel4">
    <w:name w:val="ListLabel 4"/>
    <w:rsid w:val="004C76A6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NumberingSymbols">
    <w:name w:val="Numbering Symbols"/>
    <w:rsid w:val="004C76A6"/>
  </w:style>
  <w:style w:type="numbering" w:customStyle="1" w:styleId="WWNum1">
    <w:name w:val="WWNum1"/>
    <w:basedOn w:val="Bezzoznamu"/>
    <w:rsid w:val="004C76A6"/>
    <w:pPr>
      <w:numPr>
        <w:numId w:val="2"/>
      </w:numPr>
    </w:pPr>
  </w:style>
  <w:style w:type="numbering" w:customStyle="1" w:styleId="WWNum2">
    <w:name w:val="WWNum2"/>
    <w:basedOn w:val="Bezzoznamu"/>
    <w:rsid w:val="004C76A6"/>
    <w:pPr>
      <w:numPr>
        <w:numId w:val="3"/>
      </w:numPr>
    </w:pPr>
  </w:style>
  <w:style w:type="numbering" w:customStyle="1" w:styleId="WWNum3">
    <w:name w:val="WWNum3"/>
    <w:basedOn w:val="Bezzoznamu"/>
    <w:rsid w:val="004C76A6"/>
    <w:pPr>
      <w:numPr>
        <w:numId w:val="4"/>
      </w:numPr>
    </w:pPr>
  </w:style>
  <w:style w:type="numbering" w:customStyle="1" w:styleId="WWNum4">
    <w:name w:val="WWNum4"/>
    <w:basedOn w:val="Bezzoznamu"/>
    <w:rsid w:val="004C76A6"/>
    <w:pPr>
      <w:numPr>
        <w:numId w:val="5"/>
      </w:numPr>
    </w:pPr>
  </w:style>
  <w:style w:type="numbering" w:customStyle="1" w:styleId="WWNum5">
    <w:name w:val="WWNum5"/>
    <w:basedOn w:val="Bezzoznamu"/>
    <w:rsid w:val="004C76A6"/>
    <w:pPr>
      <w:numPr>
        <w:numId w:val="6"/>
      </w:numPr>
    </w:pPr>
  </w:style>
  <w:style w:type="numbering" w:customStyle="1" w:styleId="WWNum6">
    <w:name w:val="WWNum6"/>
    <w:basedOn w:val="Bezzoznamu"/>
    <w:rsid w:val="004C76A6"/>
    <w:pPr>
      <w:numPr>
        <w:numId w:val="7"/>
      </w:numPr>
    </w:pPr>
  </w:style>
  <w:style w:type="numbering" w:customStyle="1" w:styleId="WWNum7">
    <w:name w:val="WWNum7"/>
    <w:basedOn w:val="Bezzoznamu"/>
    <w:rsid w:val="004C76A6"/>
    <w:pPr>
      <w:numPr>
        <w:numId w:val="8"/>
      </w:numPr>
    </w:pPr>
  </w:style>
  <w:style w:type="numbering" w:customStyle="1" w:styleId="WWNum8">
    <w:name w:val="WWNum8"/>
    <w:basedOn w:val="Bezzoznamu"/>
    <w:rsid w:val="004C76A6"/>
    <w:pPr>
      <w:numPr>
        <w:numId w:val="9"/>
      </w:numPr>
    </w:pPr>
  </w:style>
  <w:style w:type="numbering" w:customStyle="1" w:styleId="WWNum9">
    <w:name w:val="WWNum9"/>
    <w:basedOn w:val="Bezzoznamu"/>
    <w:rsid w:val="004C76A6"/>
    <w:pPr>
      <w:numPr>
        <w:numId w:val="10"/>
      </w:numPr>
    </w:pPr>
  </w:style>
  <w:style w:type="numbering" w:customStyle="1" w:styleId="WWNum10">
    <w:name w:val="WWNum10"/>
    <w:basedOn w:val="Bezzoznamu"/>
    <w:rsid w:val="004C76A6"/>
    <w:pPr>
      <w:numPr>
        <w:numId w:val="11"/>
      </w:numPr>
    </w:pPr>
  </w:style>
  <w:style w:type="numbering" w:customStyle="1" w:styleId="WWNum11">
    <w:name w:val="WWNum11"/>
    <w:basedOn w:val="Bezzoznamu"/>
    <w:rsid w:val="004C76A6"/>
    <w:pPr>
      <w:numPr>
        <w:numId w:val="1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20</Pages>
  <Words>2964</Words>
  <Characters>16896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19821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Roman</cp:lastModifiedBy>
  <cp:revision>1</cp:revision>
  <cp:lastPrinted>2015-03-31T14:53:00Z</cp:lastPrinted>
  <dcterms:created xsi:type="dcterms:W3CDTF">2015-03-31T14:54:00Z</dcterms:created>
  <dcterms:modified xsi:type="dcterms:W3CDTF">2017-03-30T17:18:00Z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