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03EC" w:rsidRPr="005877C7" w:rsidRDefault="00CE03EC" w:rsidP="00FA108D">
      <w:pPr>
        <w:spacing w:after="0" w:line="276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FA108D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:rsidR="00CE03EC" w:rsidRPr="00F730ED" w:rsidRDefault="00360F88" w:rsidP="00FA108D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I.1</w:t>
      </w:r>
      <w:r w:rsidR="00CE03EC" w:rsidRPr="00F730ED">
        <w:rPr>
          <w:rFonts w:ascii="Times New Roman" w:hAnsi="Times New Roman" w:cs="Times New Roman"/>
          <w:b/>
        </w:rPr>
        <w:t xml:space="preserve"> </w:t>
      </w:r>
      <w:r w:rsidR="00CE03EC" w:rsidRPr="00F730ED">
        <w:rPr>
          <w:rFonts w:ascii="Times New Roman" w:hAnsi="Times New Roman" w:cs="Times New Roman"/>
          <w:b/>
        </w:rPr>
        <w:tab/>
      </w:r>
      <w:r w:rsidRPr="00F730ED">
        <w:rPr>
          <w:rFonts w:ascii="Times New Roman" w:hAnsi="Times New Roman" w:cs="Times New Roman"/>
          <w:b/>
        </w:rPr>
        <w:t>Obchodné meno účtovnej jednotky</w:t>
      </w:r>
      <w:r w:rsidR="00CE03EC" w:rsidRPr="00F730ED">
        <w:rPr>
          <w:rFonts w:ascii="Times New Roman" w:hAnsi="Times New Roman" w:cs="Times New Roman"/>
          <w:b/>
        </w:rPr>
        <w:t>:</w:t>
      </w:r>
    </w:p>
    <w:p w:rsidR="00B8325F" w:rsidRPr="00F730ED" w:rsidRDefault="00B8325F" w:rsidP="00FA108D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  <w:b/>
        </w:rPr>
        <w:tab/>
      </w:r>
      <w:r w:rsidRPr="00F730ED">
        <w:rPr>
          <w:rFonts w:ascii="Times New Roman" w:hAnsi="Times New Roman" w:cs="Times New Roman"/>
        </w:rPr>
        <w:t xml:space="preserve">Správa majetku Sereď, </w:t>
      </w:r>
      <w:proofErr w:type="spellStart"/>
      <w:r w:rsidRPr="00F730ED">
        <w:rPr>
          <w:rFonts w:ascii="Times New Roman" w:hAnsi="Times New Roman" w:cs="Times New Roman"/>
        </w:rPr>
        <w:t>s.r.o</w:t>
      </w:r>
      <w:proofErr w:type="spellEnd"/>
      <w:r w:rsidRPr="00F730ED">
        <w:rPr>
          <w:rFonts w:ascii="Times New Roman" w:hAnsi="Times New Roman" w:cs="Times New Roman"/>
        </w:rPr>
        <w:t>.</w:t>
      </w:r>
    </w:p>
    <w:p w:rsidR="00B8325F" w:rsidRPr="00F730ED" w:rsidRDefault="00B8325F" w:rsidP="00FA108D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CE03EC" w:rsidRPr="00F730ED" w:rsidRDefault="00CE03EC" w:rsidP="00FA108D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Sídlo</w:t>
      </w:r>
      <w:r w:rsidR="00360F88" w:rsidRPr="00F730ED">
        <w:rPr>
          <w:rFonts w:ascii="Times New Roman" w:hAnsi="Times New Roman" w:cs="Times New Roman"/>
          <w:b/>
        </w:rPr>
        <w:t xml:space="preserve"> účtovnej jednotky</w:t>
      </w:r>
      <w:r w:rsidRPr="00F730ED">
        <w:rPr>
          <w:rFonts w:ascii="Times New Roman" w:hAnsi="Times New Roman" w:cs="Times New Roman"/>
          <w:b/>
        </w:rPr>
        <w:t>:</w:t>
      </w:r>
    </w:p>
    <w:p w:rsidR="00B8325F" w:rsidRPr="00F730ED" w:rsidRDefault="00B8325F" w:rsidP="00FA108D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Námestie republiky 1176/10</w:t>
      </w:r>
    </w:p>
    <w:p w:rsidR="00B8325F" w:rsidRPr="00F730ED" w:rsidRDefault="00B8325F" w:rsidP="00FA108D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92601 Sereď</w:t>
      </w:r>
    </w:p>
    <w:p w:rsidR="00B8325F" w:rsidRPr="00F730ED" w:rsidRDefault="00B8325F" w:rsidP="00FA108D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:rsidR="00360F88" w:rsidRPr="00F730ED" w:rsidRDefault="00360F88" w:rsidP="00FA108D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Opis hospodárskej činnosti účtovnej jednotky:</w:t>
      </w:r>
    </w:p>
    <w:p w:rsidR="00360F88" w:rsidRPr="00F730ED" w:rsidRDefault="00B8325F" w:rsidP="00FA108D">
      <w:pPr>
        <w:pStyle w:val="Odsekzoznamu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Prenájom nehnuteľností</w:t>
      </w:r>
    </w:p>
    <w:p w:rsidR="00B8325F" w:rsidRPr="00F730ED" w:rsidRDefault="00B8325F" w:rsidP="00FA108D">
      <w:pPr>
        <w:pStyle w:val="Odsekzoznamu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Montáž, rekonštrukcia a údržba technických zariadení</w:t>
      </w:r>
    </w:p>
    <w:p w:rsidR="00B8325F" w:rsidRPr="00F730ED" w:rsidRDefault="000B5CDC" w:rsidP="00FA108D">
      <w:pPr>
        <w:pStyle w:val="Odsekzoznamu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Kúpa tovaru na účely jeho predaja konečnému spotrebiteľovi ( maloobchod )</w:t>
      </w:r>
    </w:p>
    <w:p w:rsidR="000B5CDC" w:rsidRPr="00F730ED" w:rsidRDefault="000B5CDC" w:rsidP="00FA108D">
      <w:pPr>
        <w:pStyle w:val="Odsekzoznamu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Ubytovacie služby</w:t>
      </w:r>
    </w:p>
    <w:p w:rsidR="00360F88" w:rsidRPr="00F730ED" w:rsidRDefault="00360F88" w:rsidP="00FA108D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F730ED" w:rsidRDefault="00360F88" w:rsidP="00FA108D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F730ED" w:rsidRDefault="00360F88" w:rsidP="00FA108D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I.2</w:t>
      </w:r>
      <w:r w:rsidRPr="00F730ED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CE03EC" w:rsidRPr="00F730ED" w:rsidRDefault="002577F5" w:rsidP="00FA108D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Spoločnosti k 31. decembru 201</w:t>
      </w:r>
      <w:r w:rsidR="00896EDD">
        <w:rPr>
          <w:rFonts w:ascii="Times New Roman" w:hAnsi="Times New Roman" w:cs="Times New Roman"/>
        </w:rPr>
        <w:t>5</w:t>
      </w:r>
      <w:r w:rsidRPr="00F730ED">
        <w:rPr>
          <w:rFonts w:ascii="Times New Roman" w:hAnsi="Times New Roman" w:cs="Times New Roman"/>
        </w:rPr>
        <w:t xml:space="preserve">, za predchádzajúce účtovné obdobie, bola schválená valným zhromaždením Spoločnosti dňa </w:t>
      </w:r>
      <w:r w:rsidR="00896EDD">
        <w:rPr>
          <w:rFonts w:ascii="Times New Roman" w:hAnsi="Times New Roman" w:cs="Times New Roman"/>
        </w:rPr>
        <w:t>12.04.2016.</w:t>
      </w:r>
    </w:p>
    <w:p w:rsidR="00360F88" w:rsidRPr="00F730ED" w:rsidRDefault="00360F88" w:rsidP="00FA108D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360F88" w:rsidRPr="00F730ED" w:rsidRDefault="00360F88" w:rsidP="00FA108D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360F88" w:rsidRPr="00F730ED" w:rsidRDefault="00360F88" w:rsidP="00FA108D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I.3</w:t>
      </w:r>
      <w:r w:rsidRPr="00F730ED">
        <w:rPr>
          <w:rFonts w:ascii="Times New Roman" w:hAnsi="Times New Roman" w:cs="Times New Roman"/>
          <w:b/>
        </w:rPr>
        <w:tab/>
        <w:t xml:space="preserve">Právny dôvod </w:t>
      </w:r>
      <w:r w:rsidR="008774C4" w:rsidRPr="00F730ED">
        <w:rPr>
          <w:rFonts w:ascii="Times New Roman" w:hAnsi="Times New Roman" w:cs="Times New Roman"/>
          <w:b/>
        </w:rPr>
        <w:t xml:space="preserve">na </w:t>
      </w:r>
      <w:r w:rsidRPr="00F730ED">
        <w:rPr>
          <w:rFonts w:ascii="Times New Roman" w:hAnsi="Times New Roman" w:cs="Times New Roman"/>
          <w:b/>
        </w:rPr>
        <w:t>zostav</w:t>
      </w:r>
      <w:r w:rsidR="008774C4" w:rsidRPr="00F730ED">
        <w:rPr>
          <w:rFonts w:ascii="Times New Roman" w:hAnsi="Times New Roman" w:cs="Times New Roman"/>
          <w:b/>
        </w:rPr>
        <w:t>enie účtovnej závierky:</w:t>
      </w:r>
    </w:p>
    <w:p w:rsidR="00360F88" w:rsidRPr="00F730ED" w:rsidRDefault="00360F88" w:rsidP="00FA108D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F730ED" w:rsidRDefault="00A07FB1" w:rsidP="00FA108D">
      <w:pPr>
        <w:pStyle w:val="Odsekzoznamu"/>
        <w:tabs>
          <w:tab w:val="left" w:pos="1604"/>
          <w:tab w:val="left" w:pos="2815"/>
        </w:tabs>
        <w:spacing w:after="0" w:line="276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8325F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Pr="00F730ED" w:rsidRDefault="00360F88" w:rsidP="00FA108D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F730ED" w:rsidRDefault="002E2695" w:rsidP="00FA108D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:rsidR="00CE03EC" w:rsidRPr="00F730ED" w:rsidRDefault="00900440" w:rsidP="00FA108D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I.4</w:t>
      </w:r>
      <w:r w:rsidR="00CE03EC" w:rsidRPr="00F730ED">
        <w:rPr>
          <w:rFonts w:ascii="Times New Roman" w:hAnsi="Times New Roman" w:cs="Times New Roman"/>
          <w:b/>
        </w:rPr>
        <w:t xml:space="preserve"> </w:t>
      </w:r>
      <w:r w:rsidR="00CE03EC" w:rsidRPr="00F730ED">
        <w:rPr>
          <w:rFonts w:ascii="Times New Roman" w:hAnsi="Times New Roman" w:cs="Times New Roman"/>
          <w:b/>
        </w:rPr>
        <w:tab/>
        <w:t>Informácie o</w:t>
      </w:r>
      <w:r w:rsidRPr="00F730ED">
        <w:rPr>
          <w:rFonts w:ascii="Times New Roman" w:hAnsi="Times New Roman" w:cs="Times New Roman"/>
          <w:b/>
        </w:rPr>
        <w:t> skupine účtovných jednotiek</w:t>
      </w:r>
    </w:p>
    <w:p w:rsidR="002577F5" w:rsidRPr="00F730ED" w:rsidRDefault="002577F5" w:rsidP="00FA108D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  <w:b/>
        </w:rPr>
        <w:tab/>
      </w:r>
      <w:r w:rsidRPr="00F730ED">
        <w:rPr>
          <w:rFonts w:ascii="Times New Roman" w:hAnsi="Times New Roman" w:cs="Times New Roman"/>
        </w:rPr>
        <w:t>Spoločnosť nespĺňa podmienky uvedené v § 22 ods. 10 zákona o účtovníctve definujúce povinnosť zostavenia konsolidovanej účtovnej závierky, a preto Spoločnosť nezostavuje konsolidov</w:t>
      </w:r>
      <w:r w:rsidR="00896EDD">
        <w:rPr>
          <w:rFonts w:ascii="Times New Roman" w:hAnsi="Times New Roman" w:cs="Times New Roman"/>
        </w:rPr>
        <w:t>anú účtovnú závierku za rok 2016</w:t>
      </w:r>
      <w:r w:rsidRPr="00F730ED">
        <w:rPr>
          <w:rFonts w:ascii="Times New Roman" w:hAnsi="Times New Roman" w:cs="Times New Roman"/>
        </w:rPr>
        <w:t>.</w:t>
      </w:r>
    </w:p>
    <w:p w:rsidR="002577F5" w:rsidRPr="00F730ED" w:rsidRDefault="002577F5" w:rsidP="00FA108D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</w:p>
    <w:p w:rsidR="002E2695" w:rsidRPr="00F730ED" w:rsidRDefault="002577F5" w:rsidP="00FA108D">
      <w:pPr>
        <w:spacing w:after="0" w:line="276" w:lineRule="auto"/>
        <w:ind w:left="709" w:hanging="1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Spoločnosť sa zároveň zahŕňa do konsolidovanej účtovnej závierky Mesta Sereď, so sídlom Námestie republiky 1176/10, 926 01  Sereď. Konsolidovanú účtovnú závierku zostavuje Mesto Sereď, so sídlom Námestie republiky 1176/10, 926 01 Sereď v zmysle § 22a zákona o účtovníctve.  Konsolidovanú účtovnú závierku je možné dostať priamo v sídle Mesta Sereď.</w:t>
      </w:r>
    </w:p>
    <w:p w:rsidR="002577F5" w:rsidRDefault="002577F5" w:rsidP="00FA108D">
      <w:pPr>
        <w:spacing w:after="0" w:line="276" w:lineRule="auto"/>
        <w:ind w:left="709" w:hanging="1"/>
        <w:jc w:val="both"/>
        <w:rPr>
          <w:rFonts w:ascii="Times New Roman" w:hAnsi="Times New Roman" w:cs="Times New Roman"/>
        </w:rPr>
      </w:pPr>
    </w:p>
    <w:p w:rsidR="00F730ED" w:rsidRPr="00F730ED" w:rsidRDefault="00F730ED" w:rsidP="00FA108D">
      <w:pPr>
        <w:spacing w:after="0" w:line="276" w:lineRule="auto"/>
        <w:ind w:left="709" w:hanging="1"/>
        <w:jc w:val="both"/>
        <w:rPr>
          <w:rFonts w:ascii="Times New Roman" w:hAnsi="Times New Roman" w:cs="Times New Roman"/>
        </w:rPr>
      </w:pPr>
    </w:p>
    <w:p w:rsidR="008E4E28" w:rsidRPr="00F730ED" w:rsidRDefault="002E2695" w:rsidP="00FA108D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</w:t>
      </w:r>
      <w:r w:rsidR="008E4E28" w:rsidRPr="00F730ED">
        <w:rPr>
          <w:rFonts w:ascii="Times New Roman" w:hAnsi="Times New Roman" w:cs="Times New Roman"/>
          <w:b/>
        </w:rPr>
        <w:t>.</w:t>
      </w:r>
      <w:r w:rsidRPr="00F730ED">
        <w:rPr>
          <w:rFonts w:ascii="Times New Roman" w:hAnsi="Times New Roman" w:cs="Times New Roman"/>
          <w:b/>
        </w:rPr>
        <w:t>5</w:t>
      </w:r>
      <w:r w:rsidR="008E4E28" w:rsidRPr="00F730ED">
        <w:rPr>
          <w:rFonts w:ascii="Times New Roman" w:hAnsi="Times New Roman" w:cs="Times New Roman"/>
          <w:b/>
        </w:rPr>
        <w:t xml:space="preserve"> </w:t>
      </w:r>
      <w:r w:rsidR="008E4E28" w:rsidRPr="00F730ED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F730ED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F730ED" w:rsidRDefault="008E4E28" w:rsidP="00FA108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F730ED" w:rsidRDefault="008E4E28" w:rsidP="00FA108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F730ED" w:rsidRDefault="008E4E28" w:rsidP="00FA108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F730ED" w:rsidTr="002577F5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F730ED" w:rsidRDefault="008E4E28" w:rsidP="00FA108D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F730ED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F730ED" w:rsidRDefault="00896EDD" w:rsidP="00FA108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:rsidR="008E4E28" w:rsidRPr="00F730ED" w:rsidRDefault="002577F5" w:rsidP="00FA108D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15</w:t>
            </w:r>
          </w:p>
        </w:tc>
      </w:tr>
    </w:tbl>
    <w:p w:rsidR="008E4E28" w:rsidRDefault="008E4E28" w:rsidP="00FA108D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:rsidR="00F730ED" w:rsidRDefault="00F730ED" w:rsidP="00FA108D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:rsidR="00F730ED" w:rsidRDefault="00F730ED" w:rsidP="00FA108D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:rsidR="00F730ED" w:rsidRPr="00F730ED" w:rsidRDefault="00F730ED" w:rsidP="00FA108D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F730ED" w:rsidRDefault="006E4085" w:rsidP="00FA108D">
      <w:pPr>
        <w:spacing w:after="0" w:line="276" w:lineRule="auto"/>
        <w:rPr>
          <w:rFonts w:ascii="Times New Roman" w:hAnsi="Times New Roman" w:cs="Times New Roman"/>
          <w:b/>
          <w:color w:val="5B9BD5" w:themeColor="accent1"/>
        </w:rPr>
      </w:pPr>
      <w:r w:rsidRPr="00F730ED">
        <w:rPr>
          <w:rFonts w:ascii="Times New Roman" w:hAnsi="Times New Roman" w:cs="Times New Roman"/>
          <w:b/>
          <w:color w:val="5B9BD5" w:themeColor="accent1"/>
        </w:rPr>
        <w:lastRenderedPageBreak/>
        <w:t>Čl. II</w:t>
      </w:r>
      <w:r w:rsidR="002E2695" w:rsidRPr="00F730ED">
        <w:rPr>
          <w:rFonts w:ascii="Times New Roman" w:hAnsi="Times New Roman" w:cs="Times New Roman"/>
          <w:b/>
          <w:color w:val="5B9BD5" w:themeColor="accent1"/>
        </w:rPr>
        <w:tab/>
      </w:r>
      <w:r w:rsidRPr="00F730ED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F730ED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F730ED" w:rsidRDefault="00F730ED" w:rsidP="00FA108D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1D4FB8" w:rsidRPr="00F730ED" w:rsidRDefault="002577F5" w:rsidP="00FA108D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Členom štatutárneho orgánu, ani členom dozorných orgánov  neboli v roku 201</w:t>
      </w:r>
      <w:r w:rsidR="00896EDD">
        <w:rPr>
          <w:rFonts w:ascii="Times New Roman" w:hAnsi="Times New Roman" w:cs="Times New Roman"/>
        </w:rPr>
        <w:t>6</w:t>
      </w:r>
      <w:r w:rsidRPr="00F730ED">
        <w:rPr>
          <w:rFonts w:ascii="Times New Roman" w:hAnsi="Times New Roman" w:cs="Times New Roman"/>
        </w:rPr>
        <w:t xml:space="preserve"> poskytnuté žiadne pôžičky, záruky alebo iné formy zabezpečenia, ani finančné prostriedky alebo iné plnenia na súkromné účely členov, ktoré sa vyúčtovávajú (v roku 201</w:t>
      </w:r>
      <w:r w:rsidR="00896EDD">
        <w:rPr>
          <w:rFonts w:ascii="Times New Roman" w:hAnsi="Times New Roman" w:cs="Times New Roman"/>
        </w:rPr>
        <w:t>5</w:t>
      </w:r>
      <w:r w:rsidRPr="00F730ED">
        <w:rPr>
          <w:rFonts w:ascii="Times New Roman" w:hAnsi="Times New Roman" w:cs="Times New Roman"/>
        </w:rPr>
        <w:t>: žiadne).</w:t>
      </w:r>
    </w:p>
    <w:p w:rsidR="001D4FB8" w:rsidRDefault="001D4FB8" w:rsidP="00FA108D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F730ED" w:rsidRPr="00F730ED" w:rsidRDefault="00F730ED" w:rsidP="00FA108D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1D4FB8" w:rsidRPr="00F730ED" w:rsidRDefault="001D4FB8" w:rsidP="00FA108D">
      <w:pPr>
        <w:spacing w:after="0" w:line="276" w:lineRule="auto"/>
        <w:rPr>
          <w:rFonts w:ascii="Times New Roman" w:hAnsi="Times New Roman" w:cs="Times New Roman"/>
          <w:b/>
          <w:color w:val="5B9BD5" w:themeColor="accent1"/>
        </w:rPr>
      </w:pPr>
      <w:r w:rsidRPr="00F730ED">
        <w:rPr>
          <w:rFonts w:ascii="Times New Roman" w:hAnsi="Times New Roman" w:cs="Times New Roman"/>
          <w:b/>
          <w:color w:val="5B9BD5" w:themeColor="accent1"/>
        </w:rPr>
        <w:t>Čl. III</w:t>
      </w:r>
      <w:r w:rsidRPr="00F730ED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F730ED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F730ED" w:rsidRDefault="001D4FB8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</w:t>
      </w:r>
      <w:r w:rsidR="00FA108D" w:rsidRPr="00F730ED">
        <w:rPr>
          <w:rFonts w:ascii="Times New Roman" w:hAnsi="Times New Roman" w:cs="Times New Roman"/>
          <w:b/>
        </w:rPr>
        <w:t>1</w:t>
      </w:r>
      <w:r w:rsidR="00FA108D" w:rsidRPr="00F730ED">
        <w:rPr>
          <w:rFonts w:ascii="Times New Roman" w:hAnsi="Times New Roman" w:cs="Times New Roman"/>
          <w:b/>
        </w:rPr>
        <w:tab/>
      </w:r>
      <w:r w:rsidR="006E4085" w:rsidRPr="00F730ED">
        <w:rPr>
          <w:rFonts w:ascii="Times New Roman" w:hAnsi="Times New Roman" w:cs="Times New Roman"/>
          <w:b/>
        </w:rPr>
        <w:t>Účtovná jednotka bude nepretržite pokračovať vo svojej činnosti:</w:t>
      </w:r>
    </w:p>
    <w:p w:rsidR="00173C34" w:rsidRPr="00F730ED" w:rsidRDefault="00173C34" w:rsidP="00FA108D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hAnsi="Times New Roman" w:cs="Times New Roman"/>
          <w:b/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F17E37"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FA108D" w:rsidRPr="00F730ED" w:rsidRDefault="00FA108D" w:rsidP="00FA108D">
      <w:pPr>
        <w:spacing w:after="0" w:line="276" w:lineRule="auto"/>
        <w:ind w:left="708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bola zostavená za predpokladu nepretržitého trvania Spoločnosti (</w:t>
      </w:r>
      <w:proofErr w:type="spellStart"/>
      <w:r w:rsidRPr="00F730ED">
        <w:rPr>
          <w:rFonts w:ascii="Times New Roman" w:hAnsi="Times New Roman" w:cs="Times New Roman"/>
        </w:rPr>
        <w:t>going</w:t>
      </w:r>
      <w:proofErr w:type="spellEnd"/>
      <w:r w:rsidRPr="00F730ED">
        <w:rPr>
          <w:rFonts w:ascii="Times New Roman" w:hAnsi="Times New Roman" w:cs="Times New Roman"/>
        </w:rPr>
        <w:t xml:space="preserve"> </w:t>
      </w:r>
      <w:proofErr w:type="spellStart"/>
      <w:r w:rsidRPr="00F730ED">
        <w:rPr>
          <w:rFonts w:ascii="Times New Roman" w:hAnsi="Times New Roman" w:cs="Times New Roman"/>
        </w:rPr>
        <w:t>concern</w:t>
      </w:r>
      <w:proofErr w:type="spellEnd"/>
      <w:r w:rsidRPr="00F730ED">
        <w:rPr>
          <w:rFonts w:ascii="Times New Roman" w:hAnsi="Times New Roman" w:cs="Times New Roman"/>
        </w:rPr>
        <w:t>). Účtovné metódy a všeobecné účtovné zásady boli účtovnou jednotkou konzistentne aplikované.</w:t>
      </w:r>
    </w:p>
    <w:p w:rsidR="001D4FB8" w:rsidRDefault="001D4FB8" w:rsidP="00FA108D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Pr="00F730ED" w:rsidRDefault="004701FB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</w:t>
      </w:r>
      <w:r w:rsidR="00FA108D" w:rsidRPr="00F730ED">
        <w:rPr>
          <w:rFonts w:ascii="Times New Roman" w:hAnsi="Times New Roman" w:cs="Times New Roman"/>
          <w:b/>
        </w:rPr>
        <w:t>2</w:t>
      </w:r>
      <w:r w:rsidRPr="00F730ED">
        <w:rPr>
          <w:rFonts w:ascii="Times New Roman" w:hAnsi="Times New Roman" w:cs="Times New Roman"/>
          <w:b/>
        </w:rPr>
        <w:t xml:space="preserve">  </w:t>
      </w:r>
      <w:r w:rsidR="00FA108D" w:rsidRPr="00F730ED">
        <w:rPr>
          <w:rFonts w:ascii="Times New Roman" w:hAnsi="Times New Roman" w:cs="Times New Roman"/>
          <w:b/>
        </w:rPr>
        <w:tab/>
        <w:t>Dlhodobý nehmotný majetok a dlhodobý hmotný majetok</w:t>
      </w:r>
    </w:p>
    <w:p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nakupovaný sa oceňuje obstarávacou cenou, ktorá zahŕňa cenu obstarania a náklady súvisiace s obstaraním (clo, prepravu, montáž, poistné a pod.). </w:t>
      </w:r>
    </w:p>
    <w:p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Súčasťou obstarávacej ceny dlhodobého hmotného a nehmotného majetku nie sú úroky z cudzích zdrojov ani realizované kurzové rozdiely, ktoré vznikli do momentu uvedenia dlhodobého majetku do používania.</w:t>
      </w:r>
    </w:p>
    <w:p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</w:p>
    <w:p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2269"/>
      </w:tblGrid>
      <w:tr w:rsidR="00FA108D" w:rsidRPr="00F730ED" w:rsidTr="00FA108D">
        <w:trPr>
          <w:trHeight w:val="250"/>
        </w:trPr>
        <w:tc>
          <w:tcPr>
            <w:tcW w:w="3118" w:type="dxa"/>
            <w:gridSpan w:val="2"/>
          </w:tcPr>
          <w:p w:rsidR="00FA108D" w:rsidRPr="00F730ED" w:rsidRDefault="00FA108D" w:rsidP="00FA108D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</w:tcPr>
          <w:p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Ročná odpisová</w:t>
            </w:r>
          </w:p>
        </w:tc>
      </w:tr>
      <w:tr w:rsidR="00FA108D" w:rsidRPr="00F730ED" w:rsidTr="00FA108D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FA108D" w:rsidRPr="00F730ED" w:rsidRDefault="00FA108D" w:rsidP="00FA108D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FA108D" w:rsidRPr="00F730ED" w:rsidRDefault="00FA108D" w:rsidP="00FA108D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sadzba</w:t>
            </w:r>
          </w:p>
        </w:tc>
      </w:tr>
      <w:tr w:rsidR="00FA108D" w:rsidRPr="00F730ED" w:rsidTr="00FA108D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  <w:vAlign w:val="center"/>
          </w:tcPr>
          <w:p w:rsidR="00FA108D" w:rsidRPr="00F730ED" w:rsidRDefault="00FA108D" w:rsidP="00FA108D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Stavby</w:t>
            </w:r>
            <w:r w:rsidR="00BD7744">
              <w:rPr>
                <w:color w:val="auto"/>
                <w:sz w:val="22"/>
                <w:szCs w:val="22"/>
              </w:rPr>
              <w:t xml:space="preserve"> - vlastné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60</w:t>
            </w:r>
          </w:p>
        </w:tc>
        <w:tc>
          <w:tcPr>
            <w:tcW w:w="141" w:type="dxa"/>
            <w:tcBorders>
              <w:top w:val="single" w:sz="4" w:space="0" w:color="auto"/>
            </w:tcBorders>
            <w:vAlign w:val="center"/>
          </w:tcPr>
          <w:p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  <w:vAlign w:val="center"/>
          </w:tcPr>
          <w:p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1,6667</w:t>
            </w:r>
          </w:p>
        </w:tc>
      </w:tr>
      <w:tr w:rsidR="00FA108D" w:rsidRPr="00F730ED" w:rsidTr="00FA108D">
        <w:trPr>
          <w:trHeight w:val="250"/>
        </w:trPr>
        <w:tc>
          <w:tcPr>
            <w:tcW w:w="3118" w:type="dxa"/>
            <w:gridSpan w:val="2"/>
            <w:vAlign w:val="center"/>
          </w:tcPr>
          <w:p w:rsidR="00FA108D" w:rsidRPr="00F730ED" w:rsidRDefault="00BD7744" w:rsidP="00FA108D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Stavby - prenajaté a ich technické zhodnotenie</w:t>
            </w:r>
          </w:p>
        </w:tc>
        <w:tc>
          <w:tcPr>
            <w:tcW w:w="1985" w:type="dxa"/>
            <w:vAlign w:val="center"/>
          </w:tcPr>
          <w:p w:rsidR="00FA108D" w:rsidRPr="00F730ED" w:rsidRDefault="00BD7744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141" w:type="dxa"/>
            <w:vAlign w:val="center"/>
          </w:tcPr>
          <w:p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FA108D" w:rsidRPr="00F730ED" w:rsidRDefault="00BD7744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</w:tr>
      <w:tr w:rsidR="00BD7744" w:rsidRPr="00F730ED" w:rsidTr="00FE7DDC">
        <w:trPr>
          <w:trHeight w:val="250"/>
        </w:trPr>
        <w:tc>
          <w:tcPr>
            <w:tcW w:w="3118" w:type="dxa"/>
            <w:gridSpan w:val="2"/>
            <w:vAlign w:val="center"/>
          </w:tcPr>
          <w:p w:rsidR="00BD7744" w:rsidRPr="00F730ED" w:rsidRDefault="00BD7744" w:rsidP="00FE7DDC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  <w:vAlign w:val="center"/>
          </w:tcPr>
          <w:p w:rsidR="00BD7744" w:rsidRPr="00F730ED" w:rsidRDefault="00BD7744" w:rsidP="00FE7DDC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 až 12</w:t>
            </w:r>
          </w:p>
        </w:tc>
        <w:tc>
          <w:tcPr>
            <w:tcW w:w="141" w:type="dxa"/>
            <w:vAlign w:val="center"/>
          </w:tcPr>
          <w:p w:rsidR="00BD7744" w:rsidRPr="00F730ED" w:rsidRDefault="00BD7744" w:rsidP="00FE7DDC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BD7744" w:rsidRPr="00F730ED" w:rsidRDefault="00BD7744" w:rsidP="00FE7DDC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:rsidR="00BD7744" w:rsidRPr="00F730ED" w:rsidRDefault="00BD7744" w:rsidP="00FE7DDC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BD7744" w:rsidRPr="00F730ED" w:rsidRDefault="00BD7744" w:rsidP="00FE7DDC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16,6 až 8,3</w:t>
            </w:r>
          </w:p>
        </w:tc>
      </w:tr>
      <w:tr w:rsidR="00FA108D" w:rsidRPr="00F730ED" w:rsidTr="00FA108D">
        <w:trPr>
          <w:trHeight w:val="250"/>
        </w:trPr>
        <w:tc>
          <w:tcPr>
            <w:tcW w:w="3118" w:type="dxa"/>
            <w:gridSpan w:val="2"/>
            <w:vAlign w:val="center"/>
          </w:tcPr>
          <w:p w:rsidR="00FA108D" w:rsidRPr="00F730ED" w:rsidRDefault="00FA108D" w:rsidP="00FA108D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  <w:vAlign w:val="center"/>
          </w:tcPr>
          <w:p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4 až 6</w:t>
            </w:r>
          </w:p>
        </w:tc>
        <w:tc>
          <w:tcPr>
            <w:tcW w:w="141" w:type="dxa"/>
            <w:vAlign w:val="center"/>
          </w:tcPr>
          <w:p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25 až 16,6</w:t>
            </w:r>
          </w:p>
        </w:tc>
      </w:tr>
      <w:tr w:rsidR="00FA108D" w:rsidRPr="00F730ED" w:rsidTr="00FA108D">
        <w:trPr>
          <w:trHeight w:val="250"/>
        </w:trPr>
        <w:tc>
          <w:tcPr>
            <w:tcW w:w="3118" w:type="dxa"/>
            <w:gridSpan w:val="2"/>
            <w:vAlign w:val="center"/>
          </w:tcPr>
          <w:p w:rsidR="00FA108D" w:rsidRPr="00F730ED" w:rsidRDefault="00FA108D" w:rsidP="00FA108D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  <w:vAlign w:val="center"/>
          </w:tcPr>
          <w:p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1" w:type="dxa"/>
            <w:vAlign w:val="center"/>
          </w:tcPr>
          <w:p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  <w:vAlign w:val="center"/>
          </w:tcPr>
          <w:p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:rsidR="00FA108D" w:rsidRPr="00F730ED" w:rsidRDefault="00FA108D" w:rsidP="00FA108D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100</w:t>
            </w:r>
          </w:p>
        </w:tc>
      </w:tr>
    </w:tbl>
    <w:p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ab/>
      </w:r>
    </w:p>
    <w:p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>Metódy odpisovania, doby použiteľnosti a zostatkové hodnoty sa prehodnocujú ku dňu, ku ktorému sa zostavuje účtovná závierka, a ak je potrebné urobia sa úpravy.</w:t>
      </w:r>
    </w:p>
    <w:p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i/>
        </w:rPr>
      </w:pPr>
      <w:r w:rsidRPr="00F730ED">
        <w:rPr>
          <w:rFonts w:ascii="Times New Roman" w:hAnsi="Times New Roman" w:cs="Times New Roman"/>
          <w:b/>
          <w:i/>
        </w:rPr>
        <w:t>Posúdenie zníženia hodnoty majetku</w:t>
      </w:r>
    </w:p>
    <w:p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Faktory, ktoré sú považované za dôležité pri  posudzovaní zníženia hodnoty majetku sú: </w:t>
      </w:r>
    </w:p>
    <w:p w:rsidR="00FA108D" w:rsidRPr="00F730ED" w:rsidRDefault="00FA108D" w:rsidP="00FA108D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technologický pokrok,</w:t>
      </w:r>
    </w:p>
    <w:p w:rsidR="00FA108D" w:rsidRPr="00F730ED" w:rsidRDefault="00FA108D" w:rsidP="00FA108D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významne nedostatočné prevádzkové výsledky v porovnaní s historickými alebo plánovanými prevádzkovými výsledkami,</w:t>
      </w:r>
    </w:p>
    <w:p w:rsidR="00FA108D" w:rsidRPr="00F730ED" w:rsidRDefault="00FA108D" w:rsidP="00FA108D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významné zmeny v spôsobe použitia majetku Spoločnosti alebo celkovej zmeny stratégie Spoločnosti,</w:t>
      </w:r>
    </w:p>
    <w:p w:rsidR="00FA108D" w:rsidRPr="00F730ED" w:rsidRDefault="00FA108D" w:rsidP="00FA108D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</w:r>
      <w:proofErr w:type="spellStart"/>
      <w:r w:rsidRPr="00F730ED">
        <w:rPr>
          <w:rFonts w:ascii="Times New Roman" w:hAnsi="Times New Roman" w:cs="Times New Roman"/>
        </w:rPr>
        <w:t>zastaralosť</w:t>
      </w:r>
      <w:proofErr w:type="spellEnd"/>
      <w:r w:rsidRPr="00F730ED">
        <w:rPr>
          <w:rFonts w:ascii="Times New Roman" w:hAnsi="Times New Roman" w:cs="Times New Roman"/>
        </w:rPr>
        <w:t xml:space="preserve"> produktov.</w:t>
      </w:r>
    </w:p>
    <w:p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:rsidR="00FA108D" w:rsidRPr="00F730ED" w:rsidRDefault="00FA108D" w:rsidP="00FA108D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Ak Spoločnosť zistí, že na základe existencie jedného alebo viacerých indikátorov zníženia hodnoty majetku možno predpokladať, že došlo k zníženiu hodnoty majetku oproti jeho oceneniu v účtovníctve, vypočíta zníženie hodnoty majetku na základe odhadov projektovaných čistých diskontovaných peňažných tokov, ktoré sa očakávajú z daného majetku, vrátane jeho prípadného predaja. Odhadované zníženie hodnoty by sa mohlo preukázať ako nedostatočné, ak by analýzy nadhodnotili peňažné toky alebo ak sa zmenia podmienky.</w:t>
      </w:r>
    </w:p>
    <w:p w:rsidR="00E42DF0" w:rsidRDefault="00E42DF0" w:rsidP="00FA108D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F730ED" w:rsidRPr="00F730ED" w:rsidRDefault="00F730ED" w:rsidP="00FA108D">
      <w:pPr>
        <w:spacing w:after="0" w:line="276" w:lineRule="auto"/>
        <w:jc w:val="both"/>
        <w:rPr>
          <w:rFonts w:ascii="Times New Roman" w:hAnsi="Times New Roman" w:cs="Times New Roman"/>
        </w:rPr>
      </w:pPr>
    </w:p>
    <w:p w:rsidR="00787C52" w:rsidRDefault="00986157" w:rsidP="00FA108D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550CA5"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2</w:t>
      </w:r>
      <w:r w:rsidR="00787C52"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550CA5"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p w:rsidR="00F730ED" w:rsidRPr="00F730ED" w:rsidRDefault="00F730ED" w:rsidP="00FA108D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F730ED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F730ED" w:rsidRDefault="00787C52" w:rsidP="00FA108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F730ED" w:rsidRDefault="00787C52" w:rsidP="00FA108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F730ED" w:rsidRDefault="00787C52" w:rsidP="00FA108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Výška dotácie</w:t>
            </w:r>
          </w:p>
        </w:tc>
      </w:tr>
      <w:tr w:rsidR="00787C52" w:rsidRPr="00F730ED" w:rsidTr="0022642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:rsidR="00787C52" w:rsidRPr="00F730ED" w:rsidRDefault="00550CA5" w:rsidP="00550CA5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Stavba Sokolovňa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87C52" w:rsidRPr="00F730ED" w:rsidRDefault="00896EDD" w:rsidP="00226427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802 699,64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:rsidR="00787C52" w:rsidRPr="00F730ED" w:rsidRDefault="007B59F5" w:rsidP="00226427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354 768,94</w:t>
            </w:r>
          </w:p>
        </w:tc>
      </w:tr>
      <w:tr w:rsidR="00787C52" w:rsidRPr="00F730ED" w:rsidTr="0022642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F730ED" w:rsidRDefault="00550CA5" w:rsidP="00FA108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Modernizácia MsKS Nova</w:t>
            </w: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7C52" w:rsidRPr="00F730ED" w:rsidRDefault="00896EDD" w:rsidP="00226427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2 075 527,15</w:t>
            </w: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87C52" w:rsidRPr="00F730ED" w:rsidRDefault="007B59F5" w:rsidP="00226427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70593,72</w:t>
            </w:r>
          </w:p>
        </w:tc>
      </w:tr>
      <w:tr w:rsidR="00787C52" w:rsidRPr="00F730ED" w:rsidTr="0022642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F730ED" w:rsidRDefault="00550CA5" w:rsidP="00FA108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Kúrenie ŠKF Sereď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7C52" w:rsidRPr="00F730ED" w:rsidRDefault="00550CA5" w:rsidP="00226427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13 430,78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787C52" w:rsidRPr="00F730ED" w:rsidRDefault="00550CA5" w:rsidP="00226427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11 500,00</w:t>
            </w:r>
          </w:p>
        </w:tc>
      </w:tr>
      <w:tr w:rsidR="00550CA5" w:rsidRPr="00F730ED" w:rsidTr="0022642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550CA5" w:rsidRPr="00F730ED" w:rsidRDefault="00550CA5" w:rsidP="00FA108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Umelý trávnik ŠKF Sereď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CA5" w:rsidRPr="00F730ED" w:rsidRDefault="00550CA5" w:rsidP="00226427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343 421,46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50CA5" w:rsidRPr="00F730ED" w:rsidRDefault="00550CA5" w:rsidP="00226427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343 421,46</w:t>
            </w:r>
          </w:p>
        </w:tc>
      </w:tr>
      <w:tr w:rsidR="00550CA5" w:rsidRPr="00F730ED" w:rsidTr="0022642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550CA5" w:rsidRPr="00F730ED" w:rsidRDefault="00550CA5" w:rsidP="00FA108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Traktor KUBOTA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CA5" w:rsidRPr="00F730ED" w:rsidRDefault="00550CA5" w:rsidP="00226427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19 588,00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50CA5" w:rsidRPr="00F730ED" w:rsidRDefault="00550CA5" w:rsidP="00226427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19 588,00</w:t>
            </w:r>
          </w:p>
        </w:tc>
      </w:tr>
      <w:tr w:rsidR="00550CA5" w:rsidRPr="00F730ED" w:rsidTr="0022642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550CA5" w:rsidRPr="00F730ED" w:rsidRDefault="00550CA5" w:rsidP="00FA108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Parkovisko Garbiarska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CA5" w:rsidRPr="00F730ED" w:rsidRDefault="00550CA5" w:rsidP="00226427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52 038,44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50CA5" w:rsidRPr="00F730ED" w:rsidRDefault="00550CA5" w:rsidP="00226427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50 000,00</w:t>
            </w:r>
          </w:p>
        </w:tc>
      </w:tr>
      <w:tr w:rsidR="00550CA5" w:rsidRPr="00F730ED" w:rsidTr="0022642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550CA5" w:rsidRPr="00F730ED" w:rsidRDefault="00550CA5" w:rsidP="00FA108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Cyklotrasa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CA5" w:rsidRPr="00F730ED" w:rsidRDefault="00550CA5" w:rsidP="00226427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99 100,00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50CA5" w:rsidRPr="00F730ED" w:rsidRDefault="00550CA5" w:rsidP="00226427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99 100,00</w:t>
            </w:r>
          </w:p>
        </w:tc>
      </w:tr>
      <w:tr w:rsidR="00550CA5" w:rsidRPr="00F730ED" w:rsidTr="0022642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550CA5" w:rsidRPr="00F730ED" w:rsidRDefault="00BD7744" w:rsidP="00BD7744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Technické zhodnotenie - </w:t>
            </w:r>
            <w:r w:rsidR="00550CA5" w:rsidRPr="00F730ED">
              <w:rPr>
                <w:rFonts w:ascii="Times New Roman" w:hAnsi="Times New Roman" w:cs="Times New Roman"/>
              </w:rPr>
              <w:t>Dom kultúry</w:t>
            </w:r>
            <w:r>
              <w:rPr>
                <w:rFonts w:ascii="Times New Roman" w:hAnsi="Times New Roman" w:cs="Times New Roman"/>
              </w:rPr>
              <w:t xml:space="preserve"> (rekonštrukcia okien)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CA5" w:rsidRPr="00F730ED" w:rsidRDefault="00550CA5" w:rsidP="00226427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21 131,33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50CA5" w:rsidRPr="00F730ED" w:rsidRDefault="00550CA5" w:rsidP="00226427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17 239,67</w:t>
            </w:r>
          </w:p>
        </w:tc>
      </w:tr>
      <w:tr w:rsidR="00550CA5" w:rsidRPr="00F730ED" w:rsidTr="0022642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550CA5" w:rsidRPr="00F730ED" w:rsidRDefault="00BD7744" w:rsidP="00FA108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Technické zhodnotenie - </w:t>
            </w:r>
            <w:r w:rsidRPr="00F730ED">
              <w:rPr>
                <w:rFonts w:ascii="Times New Roman" w:hAnsi="Times New Roman" w:cs="Times New Roman"/>
              </w:rPr>
              <w:t>Dom kultúry</w:t>
            </w:r>
            <w:r>
              <w:rPr>
                <w:rFonts w:ascii="Times New Roman" w:hAnsi="Times New Roman" w:cs="Times New Roman"/>
              </w:rPr>
              <w:t xml:space="preserve"> (rekonštrukcia strechy)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CA5" w:rsidRPr="00F730ED" w:rsidRDefault="00550CA5" w:rsidP="00226427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9 214,95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50CA5" w:rsidRPr="00F730ED" w:rsidRDefault="00550CA5" w:rsidP="00226427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9 214,95</w:t>
            </w:r>
          </w:p>
        </w:tc>
      </w:tr>
      <w:tr w:rsidR="00550CA5" w:rsidRPr="00F730ED" w:rsidTr="007B59F5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550CA5" w:rsidRPr="00F730ED" w:rsidRDefault="00550CA5" w:rsidP="00FA108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 xml:space="preserve">Okná </w:t>
            </w:r>
            <w:proofErr w:type="spellStart"/>
            <w:r w:rsidRPr="00F730ED">
              <w:rPr>
                <w:rFonts w:ascii="Times New Roman" w:hAnsi="Times New Roman" w:cs="Times New Roman"/>
              </w:rPr>
              <w:t>MsU</w:t>
            </w:r>
            <w:proofErr w:type="spellEnd"/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CA5" w:rsidRPr="00F730ED" w:rsidRDefault="00550CA5" w:rsidP="00226427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1 489,69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50CA5" w:rsidRPr="00F730ED" w:rsidRDefault="00550CA5" w:rsidP="00226427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1 489,69</w:t>
            </w:r>
          </w:p>
        </w:tc>
      </w:tr>
      <w:tr w:rsidR="007B59F5" w:rsidRPr="00F730ED" w:rsidTr="0022642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B59F5" w:rsidRPr="00F730ED" w:rsidRDefault="007B59F5" w:rsidP="00FA108D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Okná a dvere ŠKF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7B59F5" w:rsidRPr="00F730ED" w:rsidRDefault="007B59F5" w:rsidP="00226427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4 415,00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B59F5" w:rsidRPr="00F730ED" w:rsidRDefault="007B59F5" w:rsidP="00226427">
            <w:pPr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4 415,00</w:t>
            </w:r>
          </w:p>
        </w:tc>
      </w:tr>
    </w:tbl>
    <w:p w:rsidR="00997389" w:rsidRDefault="00997389" w:rsidP="00FA108D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F730ED" w:rsidRPr="00F730ED" w:rsidRDefault="00F730ED" w:rsidP="00FA108D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:rsidR="007247EF" w:rsidRPr="00F730ED" w:rsidRDefault="007247EF" w:rsidP="007247EF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Pohľadávky</w:t>
      </w:r>
    </w:p>
    <w:p w:rsidR="007247EF" w:rsidRPr="00F730ED" w:rsidRDefault="007247EF" w:rsidP="007247EF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247EF" w:rsidRDefault="007247EF" w:rsidP="007247E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Pohľadávky pri ich vzniku sa oceňujú ich menovitou hodnotou; postúpené pohľadávky a pohľadávky nadobudnuté vkladom do základného imania sa oceňujú obstarávacou cenou vrátane nákladov súvisiacich s obstaraním. Toto ocenenie sa znižuje o pochybné a nevymožiteľné pohľadávky.</w:t>
      </w:r>
    </w:p>
    <w:p w:rsidR="00896EDD" w:rsidRPr="00F730ED" w:rsidRDefault="00896EDD" w:rsidP="007247E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247EF" w:rsidRDefault="007247EF" w:rsidP="007247E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247EF" w:rsidRPr="00F730ED" w:rsidRDefault="007247EF" w:rsidP="007247EF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Finančné účty</w:t>
      </w:r>
    </w:p>
    <w:p w:rsidR="007247EF" w:rsidRPr="00F730ED" w:rsidRDefault="007247EF" w:rsidP="007247EF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247EF" w:rsidRPr="00F730ED" w:rsidRDefault="007247EF" w:rsidP="007247E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Finančné účty tvorí peňažná hotovosť, ceniny, zostatky na bankových účtoch a oceňujú sa menovitou hodnotou. Zníženie ich hodnoty sa vyjadruje opravnou položkou.</w:t>
      </w:r>
    </w:p>
    <w:p w:rsidR="007247EF" w:rsidRDefault="007247EF" w:rsidP="007247E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F730ED" w:rsidRPr="00F730ED" w:rsidRDefault="00F730ED" w:rsidP="007247E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247EF" w:rsidRPr="00F730ED" w:rsidRDefault="007247EF" w:rsidP="007247EF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Náklady budúcich období a príjmy budúcich období</w:t>
      </w:r>
    </w:p>
    <w:p w:rsidR="007247EF" w:rsidRPr="00F730ED" w:rsidRDefault="007247EF" w:rsidP="007247E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247EF" w:rsidRPr="00F730ED" w:rsidRDefault="007247EF" w:rsidP="007247E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Náklady budúcich období a príjmy budúcich období sa vykazujú vo výške, ktorá je potrebná na dodržanie zásady vecnej a časovej súvislosti s účtovným obdobím.</w:t>
      </w:r>
    </w:p>
    <w:p w:rsidR="007247EF" w:rsidRDefault="007247EF" w:rsidP="007247E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F730ED" w:rsidRPr="00F730ED" w:rsidRDefault="00F730ED" w:rsidP="007247E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5F49" w:rsidRPr="00F730ED" w:rsidRDefault="00D75F49" w:rsidP="00D75F49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III.6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Rezervy</w:t>
      </w:r>
    </w:p>
    <w:p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 </w:t>
      </w:r>
    </w:p>
    <w:p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na bonusy, rabaty, skontá a vrátenie kúpnej ceny pri reklamácii sa účtuje ako zníženie pôvodne dosiahnutých výnosov so súvzťažným zápisom v prospech účtu rezerv. </w:t>
      </w:r>
    </w:p>
    <w:p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Rezervy na nevyfakturované dodávky majetku sa nevykazujú s vplyvom na výsledok hospodárenia a oceňujú sa v odhadovanej výške záväzku.</w:t>
      </w:r>
    </w:p>
    <w:p w:rsidR="00D75F49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F730ED" w:rsidRPr="00F730ED" w:rsidRDefault="00F730ED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5F49" w:rsidRPr="00F730ED" w:rsidRDefault="00D75F49" w:rsidP="00D75F49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III.7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Záväzky</w:t>
      </w:r>
    </w:p>
    <w:p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:rsidR="00D75F49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F730ED" w:rsidRPr="00F730ED" w:rsidRDefault="00F730ED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5F49" w:rsidRPr="00F730ED" w:rsidRDefault="00D75F49" w:rsidP="00D75F49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III.8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Výdavky budúcich období a výnosy budúcich období</w:t>
      </w:r>
    </w:p>
    <w:p w:rsidR="00D75F49" w:rsidRPr="00F730ED" w:rsidRDefault="00D75F49" w:rsidP="007247E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247EF" w:rsidRPr="00F730ED" w:rsidRDefault="00D75F49" w:rsidP="007247E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Výdavky budúcich období a výnosy budúcich období sa vykazujú vo výške, ktorá je potrebná na dodržanie zásady vecnej a časovej súvislosti s účtovným obdobím.</w:t>
      </w:r>
    </w:p>
    <w:p w:rsidR="00D75F49" w:rsidRDefault="00D75F49" w:rsidP="007247E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F730ED" w:rsidRDefault="00F730ED" w:rsidP="007247E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F730ED" w:rsidRDefault="00F730ED" w:rsidP="007247E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F730ED" w:rsidRDefault="00F730ED" w:rsidP="007247E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F730ED" w:rsidRDefault="00F730ED" w:rsidP="007247E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F730ED" w:rsidRPr="00F730ED" w:rsidRDefault="00F730ED" w:rsidP="007247E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5F49" w:rsidRPr="00F730ED" w:rsidRDefault="00D75F49" w:rsidP="00D75F49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9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Výnosy</w:t>
      </w:r>
    </w:p>
    <w:p w:rsidR="00D75F49" w:rsidRPr="00F730ED" w:rsidRDefault="00D75F49" w:rsidP="007247EF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Tržby z predaja výrobkov a tovaru sa vykazujú v deň splnenia dodávky podľa Obchodného zákonníka, podľa </w:t>
      </w:r>
      <w:proofErr w:type="spellStart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Incoterms</w:t>
      </w:r>
      <w:proofErr w:type="spellEnd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alebo iných podmienok dohodnutých v zmluve. </w:t>
      </w:r>
    </w:p>
    <w:p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 predaja služieb sa vykazujú v účtovnom období, v ktorom boli služby poskytnuté.</w:t>
      </w:r>
    </w:p>
    <w:p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Výnosové úroky sa účtujú rovnomerne v účtovných obdobiach, ktorých sa vecne a časovo týkajú / na základe časového rozlíšenia metódou efektívnej úrokovej miery.</w:t>
      </w:r>
    </w:p>
    <w:p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Výnosy z dividend sa zaúčtujú v čase vzniku práva Spoločnosti na prijatie platby.</w:t>
      </w:r>
    </w:p>
    <w:p w:rsidR="00D75F49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F730ED" w:rsidRPr="00F730ED" w:rsidRDefault="00F730ED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5F49" w:rsidRPr="00F730ED" w:rsidRDefault="00D75F49" w:rsidP="00D75F49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10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Porovnateľné údaje</w:t>
      </w:r>
    </w:p>
    <w:p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v dôsledku zmeny účtovných metód a účtovných zásad nie sú hodnoty za bezprostredne predchádzajúce účtovné obdobie v jednotlivých súčastiach účtovnej závierky porovnateľné, uvádza sa vysvetlenie o neporovnateľných hodnotách v poznámkach. </w:t>
      </w:r>
    </w:p>
    <w:p w:rsidR="00D75F49" w:rsidRPr="00F730ED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 dôsledku zmeny zákona o dani z príjmov je rezerva na overenie účtovnej závierky a zostavenie daňového priznania k 31. decembru 201</w:t>
      </w:r>
      <w:r w:rsidR="007B59F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vykázaná ako krátkodobá ostatná rezerva, k 31. decembru 201</w:t>
      </w:r>
      <w:r w:rsidR="007B59F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ako krátkodobá zákonná rezerva.</w:t>
      </w:r>
    </w:p>
    <w:p w:rsidR="00D75F49" w:rsidRDefault="00D75F49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F730ED" w:rsidRPr="00F730ED" w:rsidRDefault="00F730ED" w:rsidP="00D75F49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F730ED" w:rsidRPr="00F730ED" w:rsidRDefault="00F730ED" w:rsidP="00FA108D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:rsidR="001D099A" w:rsidRPr="00F730ED" w:rsidRDefault="00986157" w:rsidP="00FA108D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5B9BD5" w:themeColor="accent1"/>
        </w:rPr>
      </w:pPr>
      <w:r w:rsidRPr="00F730ED">
        <w:rPr>
          <w:rFonts w:ascii="Times New Roman" w:hAnsi="Times New Roman" w:cs="Times New Roman"/>
          <w:b/>
          <w:color w:val="5B9BD5" w:themeColor="accent1"/>
        </w:rPr>
        <w:t>Čl. IV</w:t>
      </w:r>
      <w:r w:rsidRPr="00F730ED">
        <w:rPr>
          <w:rFonts w:ascii="Times New Roman" w:hAnsi="Times New Roman" w:cs="Times New Roman"/>
          <w:b/>
          <w:color w:val="5B9BD5" w:themeColor="accent1"/>
        </w:rPr>
        <w:tab/>
      </w:r>
      <w:r w:rsidR="001D099A" w:rsidRPr="00F730ED">
        <w:rPr>
          <w:rFonts w:ascii="Times New Roman" w:hAnsi="Times New Roman" w:cs="Times New Roman"/>
          <w:b/>
          <w:color w:val="5B9BD5" w:themeColor="accent1"/>
        </w:rPr>
        <w:t>Informácie, kto</w:t>
      </w:r>
      <w:r w:rsidR="00A562DA" w:rsidRPr="00F730ED">
        <w:rPr>
          <w:rFonts w:ascii="Times New Roman" w:hAnsi="Times New Roman" w:cs="Times New Roman"/>
          <w:b/>
          <w:color w:val="5B9BD5" w:themeColor="accent1"/>
        </w:rPr>
        <w:t xml:space="preserve">ré vysvetľujú a dopĺňajú položky </w:t>
      </w:r>
      <w:r w:rsidR="00D75F49" w:rsidRPr="00F730ED">
        <w:rPr>
          <w:rFonts w:ascii="Times New Roman" w:hAnsi="Times New Roman" w:cs="Times New Roman"/>
          <w:b/>
          <w:color w:val="5B9BD5" w:themeColor="accent1"/>
        </w:rPr>
        <w:t xml:space="preserve">súvahy a </w:t>
      </w:r>
      <w:r w:rsidR="001D099A" w:rsidRPr="00F730ED">
        <w:rPr>
          <w:rFonts w:ascii="Times New Roman" w:hAnsi="Times New Roman" w:cs="Times New Roman"/>
          <w:b/>
          <w:color w:val="5B9BD5" w:themeColor="accent1"/>
        </w:rPr>
        <w:t>výkaz</w:t>
      </w:r>
      <w:r w:rsidR="00A562DA" w:rsidRPr="00F730ED">
        <w:rPr>
          <w:rFonts w:ascii="Times New Roman" w:hAnsi="Times New Roman" w:cs="Times New Roman"/>
          <w:b/>
          <w:color w:val="5B9BD5" w:themeColor="accent1"/>
        </w:rPr>
        <w:t>u</w:t>
      </w:r>
      <w:r w:rsidR="001D099A" w:rsidRPr="00F730ED">
        <w:rPr>
          <w:rFonts w:ascii="Times New Roman" w:hAnsi="Times New Roman" w:cs="Times New Roman"/>
          <w:b/>
          <w:color w:val="5B9BD5" w:themeColor="accent1"/>
        </w:rPr>
        <w:t xml:space="preserve"> ziskov a</w:t>
      </w:r>
      <w:r w:rsidRPr="00F730ED">
        <w:rPr>
          <w:rFonts w:ascii="Times New Roman" w:hAnsi="Times New Roman" w:cs="Times New Roman"/>
          <w:b/>
          <w:color w:val="5B9BD5" w:themeColor="accent1"/>
        </w:rPr>
        <w:t> </w:t>
      </w:r>
      <w:r w:rsidR="001D099A" w:rsidRPr="00F730ED">
        <w:rPr>
          <w:rFonts w:ascii="Times New Roman" w:hAnsi="Times New Roman" w:cs="Times New Roman"/>
          <w:b/>
          <w:color w:val="5B9BD5" w:themeColor="accent1"/>
        </w:rPr>
        <w:t>strát</w:t>
      </w:r>
    </w:p>
    <w:p w:rsidR="00986157" w:rsidRPr="00F730ED" w:rsidRDefault="00986157" w:rsidP="00FA108D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:rsidR="00AE313E" w:rsidRPr="00F730ED" w:rsidRDefault="00AE313E" w:rsidP="00FA108D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IV. </w:t>
      </w:r>
      <w:r w:rsidR="00D75F49"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:rsidR="00F730ED" w:rsidRDefault="00F730ED" w:rsidP="00F730ED">
      <w:pPr>
        <w:pStyle w:val="Zkladntext"/>
        <w:ind w:left="0"/>
        <w:rPr>
          <w:sz w:val="22"/>
          <w:szCs w:val="22"/>
        </w:rPr>
      </w:pPr>
    </w:p>
    <w:p w:rsidR="00D75F49" w:rsidRPr="00F730ED" w:rsidRDefault="00D75F49" w:rsidP="00F730ED">
      <w:pPr>
        <w:pStyle w:val="Zkladntext"/>
        <w:ind w:left="0"/>
        <w:rPr>
          <w:sz w:val="22"/>
          <w:szCs w:val="22"/>
        </w:rPr>
      </w:pPr>
      <w:r w:rsidRPr="00F730ED">
        <w:rPr>
          <w:sz w:val="22"/>
          <w:szCs w:val="22"/>
        </w:rPr>
        <w:t>Štruktúra záväzkov (okrem záväzkov zo sociálneho fondu a odloženého daňového záväzku) podľa zostatkovej doby splatnosti je uvedená v nasledujúcom prehľade:</w:t>
      </w:r>
    </w:p>
    <w:p w:rsidR="00D75F49" w:rsidRPr="00F730ED" w:rsidRDefault="00D75F49" w:rsidP="00D75F49">
      <w:pPr>
        <w:pStyle w:val="Zkladntext"/>
        <w:rPr>
          <w:sz w:val="22"/>
          <w:szCs w:val="22"/>
        </w:rPr>
      </w:pPr>
    </w:p>
    <w:bookmarkStart w:id="0" w:name="_MON_1450595791"/>
    <w:bookmarkEnd w:id="0"/>
    <w:p w:rsidR="00D75F49" w:rsidRPr="00F730ED" w:rsidRDefault="007B59F5" w:rsidP="00D75F49">
      <w:pPr>
        <w:ind w:left="426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object w:dxaOrig="8972" w:dyaOrig="235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440.25pt;height:129pt" o:ole="" o:preferrelative="f">
            <v:imagedata r:id="rId7" o:title=""/>
            <o:lock v:ext="edit" aspectratio="f"/>
          </v:shape>
          <o:OLEObject Type="Embed" ProgID="Excel.Sheet.12" ShapeID="_x0000_i1030" DrawAspect="Content" ObjectID="_1552317204" r:id="rId8"/>
        </w:object>
      </w:r>
    </w:p>
    <w:p w:rsidR="007F13E7" w:rsidRDefault="007F13E7">
      <w:pPr>
        <w:rPr>
          <w:rFonts w:ascii="Times New Roman" w:hAnsi="Times New Roman" w:cs="Times New Roman"/>
          <w:b/>
          <w:color w:val="5B9BD5" w:themeColor="accent1"/>
        </w:rPr>
      </w:pPr>
      <w:r>
        <w:rPr>
          <w:rFonts w:ascii="Times New Roman" w:hAnsi="Times New Roman" w:cs="Times New Roman"/>
          <w:b/>
          <w:color w:val="5B9BD5" w:themeColor="accent1"/>
        </w:rPr>
        <w:br w:type="page"/>
      </w:r>
    </w:p>
    <w:p w:rsidR="00212400" w:rsidRPr="00F730ED" w:rsidRDefault="00212400" w:rsidP="00FA108D">
      <w:pPr>
        <w:spacing w:after="0" w:line="276" w:lineRule="auto"/>
        <w:ind w:left="993" w:hanging="993"/>
        <w:rPr>
          <w:rFonts w:ascii="Times New Roman" w:hAnsi="Times New Roman" w:cs="Times New Roman"/>
          <w:b/>
          <w:color w:val="5B9BD5" w:themeColor="accent1"/>
        </w:rPr>
      </w:pPr>
      <w:r w:rsidRPr="00F730ED">
        <w:rPr>
          <w:rFonts w:ascii="Times New Roman" w:hAnsi="Times New Roman" w:cs="Times New Roman"/>
          <w:b/>
          <w:color w:val="5B9BD5" w:themeColor="accent1"/>
        </w:rPr>
        <w:lastRenderedPageBreak/>
        <w:t>Čl. V</w:t>
      </w:r>
      <w:r w:rsidR="002718B4" w:rsidRPr="00F730ED">
        <w:rPr>
          <w:rFonts w:ascii="Times New Roman" w:hAnsi="Times New Roman" w:cs="Times New Roman"/>
          <w:b/>
          <w:color w:val="5B9BD5" w:themeColor="accent1"/>
        </w:rPr>
        <w:tab/>
      </w:r>
      <w:r w:rsidRPr="00F730ED">
        <w:rPr>
          <w:rFonts w:ascii="Times New Roman" w:hAnsi="Times New Roman" w:cs="Times New Roman"/>
          <w:b/>
          <w:color w:val="5B9BD5" w:themeColor="accent1"/>
        </w:rPr>
        <w:t>Informácie o iných aktívach a</w:t>
      </w:r>
      <w:r w:rsidR="002718B4" w:rsidRPr="00F730ED">
        <w:rPr>
          <w:rFonts w:ascii="Times New Roman" w:hAnsi="Times New Roman" w:cs="Times New Roman"/>
          <w:b/>
          <w:color w:val="5B9BD5" w:themeColor="accent1"/>
        </w:rPr>
        <w:t xml:space="preserve"> iných </w:t>
      </w:r>
      <w:r w:rsidRPr="00F730ED">
        <w:rPr>
          <w:rFonts w:ascii="Times New Roman" w:hAnsi="Times New Roman" w:cs="Times New Roman"/>
          <w:b/>
          <w:color w:val="5B9BD5" w:themeColor="accent1"/>
        </w:rPr>
        <w:t>pasívach</w:t>
      </w:r>
    </w:p>
    <w:p w:rsidR="00212400" w:rsidRPr="00F730ED" w:rsidRDefault="00212400" w:rsidP="00FA108D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:rsidR="00212400" w:rsidRPr="00F730ED" w:rsidRDefault="00212400" w:rsidP="00FA108D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</w:p>
    <w:p w:rsidR="00994202" w:rsidRPr="00F730ED" w:rsidRDefault="00994202" w:rsidP="00994202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podmienený majetok.</w:t>
      </w:r>
    </w:p>
    <w:p w:rsidR="00994202" w:rsidRPr="00F730ED" w:rsidRDefault="00994202" w:rsidP="00994202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Pr="00F730ED" w:rsidRDefault="00BE3A69" w:rsidP="00FA108D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F730ED" w:rsidRDefault="00212400" w:rsidP="00FA108D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p w:rsidR="00BE3A69" w:rsidRPr="00F730ED" w:rsidRDefault="00994202" w:rsidP="00994202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</w:t>
      </w:r>
    </w:p>
    <w:p w:rsidR="00BE3A69" w:rsidRPr="00F730ED" w:rsidRDefault="00BE3A69" w:rsidP="00FA108D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Pr="00F730ED" w:rsidRDefault="00BE3A69" w:rsidP="00FA108D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Pr="00F730ED" w:rsidRDefault="00923190" w:rsidP="00FA108D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F730ED" w:rsidTr="00F730ED">
        <w:trPr>
          <w:trHeight w:val="330"/>
        </w:trPr>
        <w:tc>
          <w:tcPr>
            <w:tcW w:w="4140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F730ED" w:rsidRDefault="00923190" w:rsidP="00FA108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F730E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F730ED" w:rsidRDefault="00923190" w:rsidP="00FA108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F730E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F730ED" w:rsidRDefault="00923190" w:rsidP="00FA108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F730E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7B59F5" w:rsidRPr="00F730ED" w:rsidTr="00F730ED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hideMark/>
          </w:tcPr>
          <w:p w:rsidR="007B59F5" w:rsidRPr="00F730ED" w:rsidRDefault="007B59F5" w:rsidP="007B59F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730E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Knihy - IKAR 10% DPH (</w:t>
            </w:r>
            <w:proofErr w:type="spellStart"/>
            <w:r w:rsidRPr="00F730E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komis</w:t>
            </w:r>
            <w:proofErr w:type="spellEnd"/>
            <w:r w:rsidRPr="00F730E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)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7B59F5" w:rsidRPr="00F730ED" w:rsidRDefault="007B59F5" w:rsidP="007B59F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46 588,29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7B59F5" w:rsidRPr="00F730ED" w:rsidRDefault="007B59F5" w:rsidP="007B59F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730E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45 054,24</w:t>
            </w:r>
          </w:p>
        </w:tc>
      </w:tr>
      <w:tr w:rsidR="007B59F5" w:rsidRPr="00F730ED" w:rsidTr="00F730ED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hideMark/>
          </w:tcPr>
          <w:p w:rsidR="007B59F5" w:rsidRPr="00F730ED" w:rsidRDefault="007B59F5" w:rsidP="007B59F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730E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Knihy - IKAR 20% DPH (</w:t>
            </w:r>
            <w:proofErr w:type="spellStart"/>
            <w:r w:rsidRPr="00F730E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komis</w:t>
            </w:r>
            <w:proofErr w:type="spellEnd"/>
            <w:r w:rsidRPr="00F730E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7B59F5" w:rsidRPr="00F730ED" w:rsidRDefault="007B59F5" w:rsidP="007B59F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719,63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7B59F5" w:rsidRPr="00F730ED" w:rsidRDefault="007B59F5" w:rsidP="007B59F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730E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656,55</w:t>
            </w:r>
          </w:p>
        </w:tc>
      </w:tr>
      <w:tr w:rsidR="007B59F5" w:rsidRPr="00F730ED" w:rsidTr="00F730ED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hideMark/>
          </w:tcPr>
          <w:p w:rsidR="007B59F5" w:rsidRPr="00F730ED" w:rsidRDefault="007B59F5" w:rsidP="007B59F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730E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Knihy - </w:t>
            </w:r>
            <w:proofErr w:type="spellStart"/>
            <w:r w:rsidRPr="00F730E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Marenčin</w:t>
            </w:r>
            <w:proofErr w:type="spellEnd"/>
            <w:r w:rsidRPr="00F730E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10% DPH (</w:t>
            </w:r>
            <w:proofErr w:type="spellStart"/>
            <w:r w:rsidRPr="00F730E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komis</w:t>
            </w:r>
            <w:proofErr w:type="spellEnd"/>
            <w:r w:rsidRPr="00F730E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7B59F5" w:rsidRPr="00F730ED" w:rsidRDefault="007B59F5" w:rsidP="007B59F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1 658,95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7B59F5" w:rsidRPr="00F730ED" w:rsidRDefault="007B59F5" w:rsidP="007B59F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730E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646,02</w:t>
            </w:r>
          </w:p>
        </w:tc>
      </w:tr>
      <w:tr w:rsidR="007B59F5" w:rsidRPr="00F730ED" w:rsidTr="00F730ED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hideMark/>
          </w:tcPr>
          <w:p w:rsidR="007B59F5" w:rsidRPr="00F730ED" w:rsidRDefault="007B59F5" w:rsidP="007B59F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730E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Knihy - SLOVART 10% DPH (</w:t>
            </w:r>
            <w:proofErr w:type="spellStart"/>
            <w:r w:rsidRPr="00F730E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komis</w:t>
            </w:r>
            <w:proofErr w:type="spellEnd"/>
            <w:r w:rsidRPr="00F730E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7B59F5" w:rsidRPr="00F730ED" w:rsidRDefault="007B59F5" w:rsidP="007B59F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1 1240,44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7B59F5" w:rsidRPr="00F730ED" w:rsidRDefault="007B59F5" w:rsidP="007B59F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730E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7 851,82</w:t>
            </w:r>
          </w:p>
        </w:tc>
      </w:tr>
      <w:tr w:rsidR="007B59F5" w:rsidRPr="00F730ED" w:rsidTr="00F730ED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7B59F5" w:rsidRPr="00F730ED" w:rsidRDefault="007B59F5" w:rsidP="007B59F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730E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voči ŠKF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7B59F5" w:rsidRPr="00F730ED" w:rsidRDefault="007B59F5" w:rsidP="007B59F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730E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406 033,00 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7B59F5" w:rsidRPr="00F730ED" w:rsidRDefault="007B59F5" w:rsidP="007B59F5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730ED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406 033,00 </w:t>
            </w:r>
          </w:p>
        </w:tc>
      </w:tr>
    </w:tbl>
    <w:p w:rsidR="00BE3A69" w:rsidRPr="00F730ED" w:rsidRDefault="00BE3A69" w:rsidP="00FA108D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F730ED" w:rsidRDefault="00923190" w:rsidP="00FA108D">
      <w:pPr>
        <w:spacing w:after="0" w:line="276" w:lineRule="auto"/>
        <w:jc w:val="both"/>
        <w:rPr>
          <w:rFonts w:ascii="Times New Roman" w:eastAsia="MS Gothic" w:hAnsi="Times New Roman" w:cs="Times New Roman"/>
          <w:b/>
          <w:color w:val="5B9BD5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F730ED" w:rsidRDefault="00923190" w:rsidP="00FA108D">
      <w:pPr>
        <w:spacing w:after="0" w:line="276" w:lineRule="auto"/>
        <w:ind w:left="993" w:hanging="993"/>
        <w:rPr>
          <w:rFonts w:ascii="Times New Roman" w:hAnsi="Times New Roman" w:cs="Times New Roman"/>
          <w:b/>
          <w:color w:val="5B9BD5" w:themeColor="accent1"/>
        </w:rPr>
      </w:pPr>
      <w:r w:rsidRPr="00F730ED">
        <w:rPr>
          <w:rFonts w:ascii="Times New Roman" w:hAnsi="Times New Roman" w:cs="Times New Roman"/>
          <w:b/>
          <w:color w:val="5B9BD5" w:themeColor="accent1"/>
        </w:rPr>
        <w:t>Čl. VI</w:t>
      </w:r>
      <w:r w:rsidRPr="00F730ED">
        <w:rPr>
          <w:rFonts w:ascii="Times New Roman" w:hAnsi="Times New Roman" w:cs="Times New Roman"/>
          <w:b/>
          <w:color w:val="5B9BD5" w:themeColor="accent1"/>
        </w:rPr>
        <w:tab/>
        <w:t> Udalosti, ktoré nastali po dni, ku ktorému sa zostavuje účtovná závierka</w:t>
      </w:r>
    </w:p>
    <w:p w:rsidR="00923190" w:rsidRPr="00F730ED" w:rsidRDefault="00923190" w:rsidP="00FA108D">
      <w:pPr>
        <w:spacing w:after="0" w:line="276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p w:rsidR="00CC398E" w:rsidRPr="00F730ED" w:rsidRDefault="00CC398E" w:rsidP="00FA108D">
      <w:pPr>
        <w:tabs>
          <w:tab w:val="left" w:pos="3150"/>
        </w:tabs>
        <w:spacing w:after="0" w:line="276" w:lineRule="auto"/>
        <w:rPr>
          <w:rFonts w:ascii="Times New Roman" w:eastAsia="MS Gothic" w:hAnsi="Times New Roman" w:cs="Times New Roman"/>
        </w:rPr>
      </w:pPr>
    </w:p>
    <w:p w:rsidR="00C5195B" w:rsidRPr="00F730ED" w:rsidRDefault="00CC398E" w:rsidP="00F730ED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neidentifikovala žiadne skutočnosti medzi dňom, ku ktorému sa účtovná závierka zostavuje a dňom zostavenia účtovnej závierky, ktoré by mali významný vplyv na výsledok hospodárenia Spoločnosti prípadne na celkovú finančnú situáciu Spoločnosti za obdobi</w:t>
      </w:r>
      <w:bookmarkStart w:id="1" w:name="_GoBack"/>
      <w:bookmarkEnd w:id="1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 od 1. januára 2015 do 31. decembra 2015.</w:t>
      </w:r>
    </w:p>
    <w:sectPr w:rsidR="00C5195B" w:rsidRPr="00F730ED" w:rsidSect="00FB3281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7FB1" w:rsidRDefault="00A07FB1" w:rsidP="00CE03EC">
      <w:pPr>
        <w:spacing w:after="0" w:line="240" w:lineRule="auto"/>
      </w:pPr>
      <w:r>
        <w:separator/>
      </w:r>
    </w:p>
  </w:endnote>
  <w:endnote w:type="continuationSeparator" w:id="0">
    <w:p w:rsidR="00A07FB1" w:rsidRDefault="00A07FB1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25F" w:rsidRPr="00F17E37" w:rsidRDefault="00B8325F" w:rsidP="00195651">
    <w:pPr>
      <w:pStyle w:val="Pta"/>
      <w:jc w:val="center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Strana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PAGE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 w:rsidR="00887EBA"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5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 z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NUMPAGES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 w:rsidR="00887EBA"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6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7FB1" w:rsidRDefault="00A07FB1" w:rsidP="00CE03EC">
      <w:pPr>
        <w:spacing w:after="0" w:line="240" w:lineRule="auto"/>
      </w:pPr>
      <w:r>
        <w:separator/>
      </w:r>
    </w:p>
  </w:footnote>
  <w:footnote w:type="continuationSeparator" w:id="0">
    <w:p w:rsidR="00A07FB1" w:rsidRDefault="00A07FB1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8325F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B8325F" w:rsidRPr="0018540B" w:rsidRDefault="00B8325F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B8325F" w:rsidRPr="0018540B" w:rsidRDefault="00B8325F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B8325F" w:rsidRPr="0018540B" w:rsidRDefault="00B8325F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B8325F" w:rsidRPr="0018540B" w:rsidRDefault="00B8325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2</w:t>
          </w:r>
        </w:p>
      </w:tc>
    </w:tr>
  </w:tbl>
  <w:p w:rsidR="00B8325F" w:rsidRPr="00CE03EC" w:rsidRDefault="00B8325F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7E0AB7"/>
    <w:multiLevelType w:val="hybridMultilevel"/>
    <w:tmpl w:val="72D865A6"/>
    <w:lvl w:ilvl="0" w:tplc="B76671AC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90EEC"/>
    <w:rsid w:val="000937F9"/>
    <w:rsid w:val="000B4576"/>
    <w:rsid w:val="000B5CDC"/>
    <w:rsid w:val="000D561E"/>
    <w:rsid w:val="00156EEC"/>
    <w:rsid w:val="00173C34"/>
    <w:rsid w:val="0018540B"/>
    <w:rsid w:val="00195651"/>
    <w:rsid w:val="001D099A"/>
    <w:rsid w:val="001D4FB8"/>
    <w:rsid w:val="00212400"/>
    <w:rsid w:val="00223286"/>
    <w:rsid w:val="00226427"/>
    <w:rsid w:val="002577F5"/>
    <w:rsid w:val="002718B4"/>
    <w:rsid w:val="002E2695"/>
    <w:rsid w:val="00360F88"/>
    <w:rsid w:val="0039390F"/>
    <w:rsid w:val="003A2A62"/>
    <w:rsid w:val="003B6528"/>
    <w:rsid w:val="003D2C52"/>
    <w:rsid w:val="003F3E00"/>
    <w:rsid w:val="003F5AF5"/>
    <w:rsid w:val="00414FB4"/>
    <w:rsid w:val="004609A1"/>
    <w:rsid w:val="004701FB"/>
    <w:rsid w:val="00504DBD"/>
    <w:rsid w:val="00547F9F"/>
    <w:rsid w:val="00550CA5"/>
    <w:rsid w:val="005877C7"/>
    <w:rsid w:val="00600C1D"/>
    <w:rsid w:val="00621534"/>
    <w:rsid w:val="00656664"/>
    <w:rsid w:val="006E4085"/>
    <w:rsid w:val="007247EF"/>
    <w:rsid w:val="00787C52"/>
    <w:rsid w:val="007A588C"/>
    <w:rsid w:val="007B59F5"/>
    <w:rsid w:val="007C37DE"/>
    <w:rsid w:val="007F13E7"/>
    <w:rsid w:val="00811FFA"/>
    <w:rsid w:val="008200B8"/>
    <w:rsid w:val="0083794D"/>
    <w:rsid w:val="008774C4"/>
    <w:rsid w:val="008777C2"/>
    <w:rsid w:val="00887EBA"/>
    <w:rsid w:val="00896EDD"/>
    <w:rsid w:val="008E4E28"/>
    <w:rsid w:val="008F739A"/>
    <w:rsid w:val="00900440"/>
    <w:rsid w:val="00923190"/>
    <w:rsid w:val="00985F05"/>
    <w:rsid w:val="00986157"/>
    <w:rsid w:val="00994202"/>
    <w:rsid w:val="00994678"/>
    <w:rsid w:val="00997389"/>
    <w:rsid w:val="009A274C"/>
    <w:rsid w:val="009D60B5"/>
    <w:rsid w:val="009E6AD6"/>
    <w:rsid w:val="009F1252"/>
    <w:rsid w:val="00A07FB1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8325F"/>
    <w:rsid w:val="00B832B9"/>
    <w:rsid w:val="00BD7744"/>
    <w:rsid w:val="00BE3A69"/>
    <w:rsid w:val="00C21550"/>
    <w:rsid w:val="00C45AF1"/>
    <w:rsid w:val="00C5195B"/>
    <w:rsid w:val="00C54666"/>
    <w:rsid w:val="00CC398E"/>
    <w:rsid w:val="00CD1824"/>
    <w:rsid w:val="00CE03EC"/>
    <w:rsid w:val="00CE6A45"/>
    <w:rsid w:val="00D06A5E"/>
    <w:rsid w:val="00D0740C"/>
    <w:rsid w:val="00D75F49"/>
    <w:rsid w:val="00D77AF9"/>
    <w:rsid w:val="00D92374"/>
    <w:rsid w:val="00DC3B5F"/>
    <w:rsid w:val="00DF187C"/>
    <w:rsid w:val="00E03DFF"/>
    <w:rsid w:val="00E42DF0"/>
    <w:rsid w:val="00E84CA1"/>
    <w:rsid w:val="00ED71A7"/>
    <w:rsid w:val="00F17E37"/>
    <w:rsid w:val="00F730ED"/>
    <w:rsid w:val="00FA108D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98EAF9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Tabulka">
    <w:name w:val="Tabulka"/>
    <w:basedOn w:val="Normlny"/>
    <w:rsid w:val="00FA108D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styleId="Zkladntext">
    <w:name w:val="Body Text"/>
    <w:basedOn w:val="Normlny"/>
    <w:link w:val="ZkladntextChar"/>
    <w:rsid w:val="00D75F49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D75F49"/>
    <w:rPr>
      <w:rFonts w:ascii="Times New Roman" w:eastAsia="Times New Roman" w:hAnsi="Times New Roman" w:cs="Times New Roman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1674</Words>
  <Characters>9548</Characters>
  <Application>Microsoft Office Word</Application>
  <DocSecurity>0</DocSecurity>
  <Lines>79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Milena Miklošíková</cp:lastModifiedBy>
  <cp:revision>4</cp:revision>
  <cp:lastPrinted>2017-03-29T16:27:00Z</cp:lastPrinted>
  <dcterms:created xsi:type="dcterms:W3CDTF">2017-03-29T16:06:00Z</dcterms:created>
  <dcterms:modified xsi:type="dcterms:W3CDTF">2017-03-29T16:27:00Z</dcterms:modified>
</cp:coreProperties>
</file>